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50836" w14:textId="4B370D06" w:rsidR="00A43157" w:rsidRDefault="00000000">
      <w:pPr>
        <w:spacing w:after="120"/>
      </w:pPr>
      <w:r>
        <w:rPr>
          <w:b/>
          <w:bCs/>
          <w:color w:val="2E7DA6"/>
          <w:sz w:val="20"/>
          <w:szCs w:val="20"/>
        </w:rPr>
        <w:t xml:space="preserve">Módulo 2  •  </w:t>
      </w:r>
    </w:p>
    <w:p w14:paraId="1C48E7C5" w14:textId="57482CCC" w:rsidR="00A43157" w:rsidRDefault="00000000">
      <w:pPr>
        <w:pStyle w:val="Ttulo1"/>
      </w:pPr>
      <w:r>
        <w:t>Avaliação</w:t>
      </w:r>
      <w:r w:rsidR="009E0084">
        <w:t xml:space="preserve"> Clínica e</w:t>
      </w:r>
      <w:r>
        <w:t xml:space="preserve"> Neuropsicológica do Transtorno do Déficit de Atenção e Hiperatividade (TDAH)</w:t>
      </w:r>
    </w:p>
    <w:p w14:paraId="33F0367A" w14:textId="77777777" w:rsidR="00A43157" w:rsidRDefault="00A43157">
      <w:pPr>
        <w:pBdr>
          <w:bottom w:val="single" w:sz="6" w:space="1" w:color="2E7DA6"/>
        </w:pBdr>
        <w:spacing w:after="240"/>
      </w:pPr>
    </w:p>
    <w:p w14:paraId="2166ABDB" w14:textId="77777777" w:rsidR="00A43157" w:rsidRDefault="00000000">
      <w:pPr>
        <w:pStyle w:val="Ttulo2"/>
      </w:pPr>
      <w:r>
        <w:t>Resumo do Módulo</w:t>
      </w:r>
    </w:p>
    <w:p w14:paraId="7ADBB99C" w14:textId="77777777" w:rsidR="00A43157" w:rsidRDefault="00000000">
      <w:pPr>
        <w:spacing w:before="80" w:after="120"/>
      </w:pPr>
      <w:r>
        <w:t>Este módulo é dedicado à avaliação clínica e neuropsicológica do Transtorno do Déficit de Atenção e Hiperatividade (TDAH). São abordados desde os fundamentos teóricos sobre atenção e funções executivas até os critérios diagnósticos e os principais instrumentos utilizados na prática clínica.</w:t>
      </w:r>
    </w:p>
    <w:p w14:paraId="5A6C99B2" w14:textId="77777777" w:rsidR="00A43157" w:rsidRDefault="00000000">
      <w:pPr>
        <w:pStyle w:val="Ttulo2"/>
      </w:pPr>
      <w:r>
        <w:t>Conteúdos Teóricos</w:t>
      </w:r>
    </w:p>
    <w:p w14:paraId="13511D9B" w14:textId="77777777" w:rsidR="00A43157" w:rsidRDefault="00000000">
      <w:pPr>
        <w:pStyle w:val="PargrafodaLista"/>
        <w:numPr>
          <w:ilvl w:val="0"/>
          <w:numId w:val="2"/>
        </w:numPr>
        <w:spacing w:before="60" w:after="60"/>
      </w:pPr>
      <w:r>
        <w:t>Teoria e conceitos gerais sobre atenção</w:t>
      </w:r>
    </w:p>
    <w:p w14:paraId="29E971EA" w14:textId="77777777" w:rsidR="00A43157" w:rsidRDefault="00000000">
      <w:pPr>
        <w:pStyle w:val="PargrafodaLista"/>
        <w:numPr>
          <w:ilvl w:val="0"/>
          <w:numId w:val="2"/>
        </w:numPr>
        <w:spacing w:before="60" w:after="60"/>
      </w:pPr>
      <w:r>
        <w:t>Tipos de atenção: concentrada, sustentada, seletiva, alternada e dividida</w:t>
      </w:r>
    </w:p>
    <w:p w14:paraId="7BC3F718" w14:textId="77777777" w:rsidR="00A43157" w:rsidRDefault="00000000">
      <w:pPr>
        <w:pStyle w:val="PargrafodaLista"/>
        <w:numPr>
          <w:ilvl w:val="0"/>
          <w:numId w:val="2"/>
        </w:numPr>
        <w:spacing w:before="60" w:after="60"/>
      </w:pPr>
      <w:r>
        <w:t>Funções Executivas (FE): teoria e conceitos gerais</w:t>
      </w:r>
    </w:p>
    <w:p w14:paraId="27EB52CD" w14:textId="77777777" w:rsidR="00A43157" w:rsidRDefault="00000000">
      <w:pPr>
        <w:pStyle w:val="PargrafodaLista"/>
        <w:numPr>
          <w:ilvl w:val="0"/>
          <w:numId w:val="2"/>
        </w:numPr>
        <w:spacing w:before="60" w:after="60"/>
      </w:pPr>
      <w:r>
        <w:t>Análise de laudos e históricos clínicos com déficits atencionais e nas Funções Executivas</w:t>
      </w:r>
    </w:p>
    <w:p w14:paraId="09D4385A" w14:textId="77777777" w:rsidR="00A43157" w:rsidRDefault="00000000">
      <w:pPr>
        <w:pStyle w:val="PargrafodaLista"/>
        <w:numPr>
          <w:ilvl w:val="0"/>
          <w:numId w:val="2"/>
        </w:numPr>
        <w:spacing w:before="60" w:after="60"/>
      </w:pPr>
      <w:r>
        <w:t>Avaliação clínica do TDAH e critérios diagnósticos</w:t>
      </w:r>
    </w:p>
    <w:p w14:paraId="2D8278D0" w14:textId="77777777" w:rsidR="00A43157" w:rsidRDefault="00000000">
      <w:pPr>
        <w:pStyle w:val="Ttulo2"/>
      </w:pPr>
      <w:r>
        <w:t>Testes e Instrumentos Trabalhados</w:t>
      </w:r>
    </w:p>
    <w:p w14:paraId="01618C2C" w14:textId="77777777" w:rsidR="00A43157" w:rsidRDefault="00000000">
      <w:pPr>
        <w:pStyle w:val="PargrafodaLista"/>
        <w:numPr>
          <w:ilvl w:val="0"/>
          <w:numId w:val="2"/>
        </w:numPr>
        <w:spacing w:before="60" w:after="60"/>
      </w:pPr>
      <w:r>
        <w:t>BPA — Bateria Psicológica da Atenção</w:t>
      </w:r>
    </w:p>
    <w:p w14:paraId="164B27D6" w14:textId="77777777" w:rsidR="00A43157" w:rsidRDefault="00000000">
      <w:pPr>
        <w:pStyle w:val="PargrafodaLista"/>
        <w:numPr>
          <w:ilvl w:val="0"/>
          <w:numId w:val="2"/>
        </w:numPr>
        <w:spacing w:before="60" w:after="60"/>
      </w:pPr>
      <w:r>
        <w:t>Teste D-2-R — Teste de Atenção Concentrada</w:t>
      </w:r>
    </w:p>
    <w:p w14:paraId="5C440AE4" w14:textId="77777777" w:rsidR="00A43157" w:rsidRDefault="00000000">
      <w:pPr>
        <w:pStyle w:val="PargrafodaLista"/>
        <w:numPr>
          <w:ilvl w:val="0"/>
          <w:numId w:val="2"/>
        </w:numPr>
        <w:spacing w:before="60" w:after="60"/>
      </w:pPr>
      <w:r>
        <w:t>FDT — Teste dos Cinco Dígitos</w:t>
      </w:r>
    </w:p>
    <w:p w14:paraId="3962C37A" w14:textId="77777777" w:rsidR="00A43157" w:rsidRDefault="00000000">
      <w:pPr>
        <w:pStyle w:val="PargrafodaLista"/>
        <w:numPr>
          <w:ilvl w:val="0"/>
          <w:numId w:val="2"/>
        </w:numPr>
        <w:spacing w:before="60" w:after="60"/>
      </w:pPr>
      <w:r>
        <w:t>BDEFS — Bateria de Disfunções Executivas de Barkley</w:t>
      </w:r>
    </w:p>
    <w:p w14:paraId="1CF1FE08" w14:textId="77777777" w:rsidR="00A43157" w:rsidRDefault="00000000">
      <w:pPr>
        <w:pStyle w:val="PargrafodaLista"/>
        <w:numPr>
          <w:ilvl w:val="0"/>
          <w:numId w:val="2"/>
        </w:numPr>
        <w:spacing w:before="60" w:after="60"/>
      </w:pPr>
      <w:r>
        <w:t>EPF-TDAH — Escala de Prejuízos Funcionais do TDAH</w:t>
      </w:r>
    </w:p>
    <w:p w14:paraId="0AAB432A" w14:textId="77777777" w:rsidR="00A43157" w:rsidRDefault="00000000">
      <w:pPr>
        <w:pStyle w:val="PargrafodaLista"/>
        <w:numPr>
          <w:ilvl w:val="0"/>
          <w:numId w:val="2"/>
        </w:numPr>
        <w:spacing w:before="60" w:after="60"/>
      </w:pPr>
      <w:r>
        <w:t>ETDAH-AD — Escala de Transtorno do Déficit de Atenção e Hiperatividade</w:t>
      </w:r>
    </w:p>
    <w:p w14:paraId="673C55F5" w14:textId="77777777" w:rsidR="00A43157" w:rsidRDefault="00000000">
      <w:pPr>
        <w:pStyle w:val="PargrafodaLista"/>
        <w:numPr>
          <w:ilvl w:val="0"/>
          <w:numId w:val="2"/>
        </w:numPr>
        <w:spacing w:before="60" w:after="60"/>
      </w:pPr>
      <w:r>
        <w:t>Inventários e material de apoio diagnóstico do TDAH</w:t>
      </w:r>
    </w:p>
    <w:p w14:paraId="10BA7E95" w14:textId="77777777" w:rsidR="00A43157" w:rsidRDefault="00A43157">
      <w:pPr>
        <w:spacing w:before="60" w:after="60"/>
      </w:pPr>
    </w:p>
    <w:p w14:paraId="5D96E727" w14:textId="77777777" w:rsidR="00A43157" w:rsidRDefault="00000000">
      <w:pPr>
        <w:spacing w:before="80" w:after="120"/>
      </w:pPr>
      <w:r>
        <w:rPr>
          <w:i/>
          <w:iCs/>
        </w:rPr>
        <w:t>Para cada instrumento serão trabalhadas: aplicação, correção e análise clínica dos resultados.</w:t>
      </w:r>
    </w:p>
    <w:sectPr w:rsidR="00A4315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11614"/>
    <w:multiLevelType w:val="hybridMultilevel"/>
    <w:tmpl w:val="40A8C732"/>
    <w:lvl w:ilvl="0" w:tplc="6B7262E4">
      <w:start w:val="1"/>
      <w:numFmt w:val="bullet"/>
      <w:lvlText w:val="•"/>
      <w:lvlJc w:val="left"/>
      <w:pPr>
        <w:ind w:left="720" w:hanging="360"/>
      </w:pPr>
      <w:rPr>
        <w:color w:val="2E7DA6"/>
      </w:rPr>
    </w:lvl>
    <w:lvl w:ilvl="1" w:tplc="3D18386E">
      <w:numFmt w:val="decimal"/>
      <w:lvlText w:val=""/>
      <w:lvlJc w:val="left"/>
    </w:lvl>
    <w:lvl w:ilvl="2" w:tplc="49BE5692">
      <w:numFmt w:val="decimal"/>
      <w:lvlText w:val=""/>
      <w:lvlJc w:val="left"/>
    </w:lvl>
    <w:lvl w:ilvl="3" w:tplc="AB74F160">
      <w:numFmt w:val="decimal"/>
      <w:lvlText w:val=""/>
      <w:lvlJc w:val="left"/>
    </w:lvl>
    <w:lvl w:ilvl="4" w:tplc="7CF43490">
      <w:numFmt w:val="decimal"/>
      <w:lvlText w:val=""/>
      <w:lvlJc w:val="left"/>
    </w:lvl>
    <w:lvl w:ilvl="5" w:tplc="C400D88E">
      <w:numFmt w:val="decimal"/>
      <w:lvlText w:val=""/>
      <w:lvlJc w:val="left"/>
    </w:lvl>
    <w:lvl w:ilvl="6" w:tplc="5B924898">
      <w:numFmt w:val="decimal"/>
      <w:lvlText w:val=""/>
      <w:lvlJc w:val="left"/>
    </w:lvl>
    <w:lvl w:ilvl="7" w:tplc="72A245A4">
      <w:numFmt w:val="decimal"/>
      <w:lvlText w:val=""/>
      <w:lvlJc w:val="left"/>
    </w:lvl>
    <w:lvl w:ilvl="8" w:tplc="0D2C93A6">
      <w:numFmt w:val="decimal"/>
      <w:lvlText w:val=""/>
      <w:lvlJc w:val="left"/>
    </w:lvl>
  </w:abstractNum>
  <w:abstractNum w:abstractNumId="1" w15:restartNumberingAfterBreak="0">
    <w:nsid w:val="59985C5C"/>
    <w:multiLevelType w:val="hybridMultilevel"/>
    <w:tmpl w:val="83BA0CC4"/>
    <w:lvl w:ilvl="0" w:tplc="2280F462">
      <w:start w:val="1"/>
      <w:numFmt w:val="bullet"/>
      <w:lvlText w:val="●"/>
      <w:lvlJc w:val="left"/>
      <w:pPr>
        <w:ind w:left="720" w:hanging="360"/>
      </w:pPr>
    </w:lvl>
    <w:lvl w:ilvl="1" w:tplc="E4A40296">
      <w:start w:val="1"/>
      <w:numFmt w:val="bullet"/>
      <w:lvlText w:val="○"/>
      <w:lvlJc w:val="left"/>
      <w:pPr>
        <w:ind w:left="1440" w:hanging="360"/>
      </w:pPr>
    </w:lvl>
    <w:lvl w:ilvl="2" w:tplc="AE54599A">
      <w:start w:val="1"/>
      <w:numFmt w:val="bullet"/>
      <w:lvlText w:val="■"/>
      <w:lvlJc w:val="left"/>
      <w:pPr>
        <w:ind w:left="2160" w:hanging="360"/>
      </w:pPr>
    </w:lvl>
    <w:lvl w:ilvl="3" w:tplc="DAA0BF16">
      <w:start w:val="1"/>
      <w:numFmt w:val="bullet"/>
      <w:lvlText w:val="●"/>
      <w:lvlJc w:val="left"/>
      <w:pPr>
        <w:ind w:left="2880" w:hanging="360"/>
      </w:pPr>
    </w:lvl>
    <w:lvl w:ilvl="4" w:tplc="41D02C78">
      <w:start w:val="1"/>
      <w:numFmt w:val="bullet"/>
      <w:lvlText w:val="○"/>
      <w:lvlJc w:val="left"/>
      <w:pPr>
        <w:ind w:left="3600" w:hanging="360"/>
      </w:pPr>
    </w:lvl>
    <w:lvl w:ilvl="5" w:tplc="3E92F158">
      <w:start w:val="1"/>
      <w:numFmt w:val="bullet"/>
      <w:lvlText w:val="■"/>
      <w:lvlJc w:val="left"/>
      <w:pPr>
        <w:ind w:left="4320" w:hanging="360"/>
      </w:pPr>
    </w:lvl>
    <w:lvl w:ilvl="6" w:tplc="450EB5CC">
      <w:start w:val="1"/>
      <w:numFmt w:val="bullet"/>
      <w:lvlText w:val="●"/>
      <w:lvlJc w:val="left"/>
      <w:pPr>
        <w:ind w:left="5040" w:hanging="360"/>
      </w:pPr>
    </w:lvl>
    <w:lvl w:ilvl="7" w:tplc="F030117C">
      <w:start w:val="1"/>
      <w:numFmt w:val="bullet"/>
      <w:lvlText w:val="●"/>
      <w:lvlJc w:val="left"/>
      <w:pPr>
        <w:ind w:left="5760" w:hanging="360"/>
      </w:pPr>
    </w:lvl>
    <w:lvl w:ilvl="8" w:tplc="3D38E9AE">
      <w:start w:val="1"/>
      <w:numFmt w:val="bullet"/>
      <w:lvlText w:val="●"/>
      <w:lvlJc w:val="left"/>
      <w:pPr>
        <w:ind w:left="6480" w:hanging="360"/>
      </w:pPr>
    </w:lvl>
  </w:abstractNum>
  <w:num w:numId="1" w16cid:durableId="161510657">
    <w:abstractNumId w:val="1"/>
    <w:lvlOverride w:ilvl="0">
      <w:startOverride w:val="1"/>
    </w:lvlOverride>
  </w:num>
  <w:num w:numId="2" w16cid:durableId="4737635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157"/>
    <w:rsid w:val="009E0084"/>
    <w:rsid w:val="00A43157"/>
    <w:rsid w:val="00D0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A73AF"/>
  <w15:docId w15:val="{9918A8E9-552C-471B-B56E-17B17DC0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160"/>
      <w:outlineLvl w:val="0"/>
    </w:pPr>
    <w:rPr>
      <w:b/>
      <w:bCs/>
      <w:color w:val="1A3A4A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DA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Jeice Jeice</cp:lastModifiedBy>
  <cp:revision>2</cp:revision>
  <dcterms:created xsi:type="dcterms:W3CDTF">2026-05-19T18:16:00Z</dcterms:created>
  <dcterms:modified xsi:type="dcterms:W3CDTF">2026-05-19T18:22:00Z</dcterms:modified>
</cp:coreProperties>
</file>