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Arial" w:hAnsi="Arial"/>
          <w:b/>
          <w:color w:val="0284C7"/>
          <w:sz w:val="19"/>
        </w:rPr>
        <w:t>UNIVERSIDAD DE CÓRDOBA — FACULTAD DE EDUCACIÓN Y CIENCIAS HUMANAS — DEPARTAMENTO DE INFORMÁTICA EDUCATIVA</w:t>
      </w:r>
    </w:p>
    <w:p>
      <w:pPr>
        <w:spacing w:before="40" w:after="80" w:line="276" w:lineRule="auto"/>
      </w:pPr>
      <w:r>
        <w:rPr>
          <w:rFonts w:ascii="Arial" w:hAnsi="Arial"/>
          <w:b/>
          <w:color w:val="0F172A"/>
          <w:sz w:val="33"/>
        </w:rPr>
        <w:t>Lista de Chequeo para la Verificación del Frontend: UX, Movilidad y Patrones de Diseño</w:t>
      </w:r>
    </w:p>
    <w:p>
      <w:pPr>
        <w:spacing w:before="0" w:after="120" w:line="276" w:lineRule="auto"/>
      </w:pPr>
      <w:r>
        <w:rPr>
          <w:rFonts w:ascii="Arial" w:hAnsi="Arial"/>
          <w:color w:val="64748B"/>
          <w:sz w:val="20"/>
        </w:rPr>
        <w:t>Instrumento de evaluación formativa y autoevaluación para interfaces de usuario en informática educativa</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Pr>
          <w:p>
            <w:pPr>
              <w:spacing w:before="0" w:after="0" w:line="276" w:lineRule="auto"/>
            </w:pPr>
            <w:r>
              <w:rPr>
                <w:rFonts w:ascii="Arial" w:hAnsi="Arial"/>
                <w:b/>
                <w:color w:val="1E3A8A"/>
                <w:sz w:val="17"/>
              </w:rPr>
              <w:t>FUENTE BIBLIOGRÁFICA DE REFERENCIA EXIGIDA:</w:t>
              <w:br/>
            </w:r>
            <w:r>
              <w:rPr>
                <w:rFonts w:ascii="Arial" w:hAnsi="Arial"/>
                <w:i/>
                <w:color w:val="0F172A"/>
                <w:sz w:val="17"/>
              </w:rPr>
              <w:t>Roger S. Pressman &amp; Bruce R. Maxim (2019). Software Engineering: A Practitioner's Approach (9th Edition, McGraw-Hill Education). Capítulo 12 (User Experience Design), Capítulo 13 (Design for Mobility) y Capítulo 14 (Pattern-Based Design).</w:t>
            </w:r>
          </w:p>
        </w:tc>
      </w:tr>
    </w:tbl>
    <w:p>
      <w:pPr>
        <w:spacing w:before="0" w:after="80" w:line="276" w:lineRule="auto"/>
      </w:pPr>
    </w:p>
    <w:p>
      <w:pPr>
        <w:spacing w:before="80" w:after="40" w:line="276" w:lineRule="auto"/>
      </w:pPr>
      <w:r>
        <w:rPr>
          <w:rFonts w:ascii="Arial" w:hAnsi="Arial"/>
          <w:b/>
          <w:color w:val="0F172A"/>
          <w:sz w:val="22"/>
        </w:rPr>
        <w:t>1. DATOS GENERALES DEL PROYECTO Y CONTROL DE EVALUACIÓN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968"/>
        <w:gridCol w:w="4968"/>
      </w:tblGrid>
      <w:tr>
        <w:tc>
          <w:tcPr>
            <w:tcW w:type="dxa" w:w="5616"/>
            <w:tcMar>
              <w:top w:w="75" w:type="dxa"/>
              <w:bottom w:w="75" w:type="dxa"/>
              <w:left w:w="120" w:type="dxa"/>
              <w:right w:w="120" w:type="dxa"/>
            </w:tcMar>
            <w:shd w:fill="FFFFFF"/>
          </w:tcPr>
          <w:p>
            <w:pPr>
              <w:spacing w:before="0" w:after="0" w:line="276" w:lineRule="auto"/>
            </w:pPr>
            <w:r>
              <w:rPr>
                <w:b/>
                <w:color w:val="1E3A8A"/>
                <w:sz w:val="18"/>
              </w:rPr>
              <w:t xml:space="preserve">Asignatura / Curso: </w:t>
            </w:r>
            <w:r>
              <w:rPr>
                <w:color w:val="0F172A"/>
                <w:sz w:val="18"/>
              </w:rPr>
              <w:t>Diseño y Desarrollo de Software Educativo III (203457) — Semana 9 del curso (Reto 3) · 2026-2</w:t>
            </w:r>
          </w:p>
        </w:tc>
        <w:tc>
          <w:tcPr>
            <w:tcW w:type="dxa" w:w="4320"/>
            <w:tcMar>
              <w:top w:w="75" w:type="dxa"/>
              <w:bottom w:w="75" w:type="dxa"/>
              <w:left w:w="120" w:type="dxa"/>
              <w:right w:w="120" w:type="dxa"/>
            </w:tcMar>
            <w:shd w:fill="FFFFFF"/>
          </w:tcPr>
          <w:p>
            <w:pPr>
              <w:spacing w:before="0" w:after="0" w:line="276" w:lineRule="auto"/>
            </w:pPr>
            <w:r>
              <w:rPr>
                <w:b/>
                <w:color w:val="1E3A8A"/>
                <w:sz w:val="18"/>
              </w:rPr>
              <w:t xml:space="preserve">Fecha de Evaluación: </w:t>
            </w:r>
            <w:r>
              <w:rPr>
                <w:color w:val="0F172A"/>
                <w:sz w:val="18"/>
              </w:rPr>
              <w:t>17 / 10 / 2026 (revisión humana del equipo, del 09 al 17/10/2026, con las correcciones confirmadas)</w:t>
            </w:r>
          </w:p>
        </w:tc>
      </w:tr>
      <w:tr>
        <w:tc>
          <w:tcPr>
            <w:tcW w:type="dxa" w:w="5616"/>
            <w:tcMar>
              <w:top w:w="75" w:type="dxa"/>
              <w:bottom w:w="75" w:type="dxa"/>
              <w:left w:w="120" w:type="dxa"/>
              <w:right w:w="120" w:type="dxa"/>
            </w:tcMar>
            <w:shd w:fill="F8FAFC"/>
          </w:tcPr>
          <w:p>
            <w:pPr>
              <w:spacing w:before="0" w:after="0" w:line="276" w:lineRule="auto"/>
            </w:pPr>
            <w:r>
              <w:rPr>
                <w:b/>
                <w:color w:val="1E3A8A"/>
                <w:sz w:val="18"/>
              </w:rPr>
              <w:t xml:space="preserve">Nombre de la Aplicación / Frontend: </w:t>
            </w:r>
            <w:r>
              <w:rPr>
                <w:color w:val="0F172A"/>
                <w:sz w:val="18"/>
              </w:rPr>
              <w:t>STIRE-Soft — Sistema Tutor Inteligente con Repetición Espaciada (frontend Nuxt 3)</w:t>
            </w:r>
          </w:p>
        </w:tc>
        <w:tc>
          <w:tcPr>
            <w:tcW w:type="dxa" w:w="4320"/>
            <w:tcMar>
              <w:top w:w="75" w:type="dxa"/>
              <w:bottom w:w="75" w:type="dxa"/>
              <w:left w:w="120" w:type="dxa"/>
              <w:right w:w="120" w:type="dxa"/>
            </w:tcMar>
            <w:shd w:fill="F8FAFC"/>
          </w:tcPr>
          <w:p>
            <w:pPr>
              <w:spacing w:before="0" w:after="0" w:line="276" w:lineRule="auto"/>
            </w:pPr>
            <w:r>
              <w:rPr>
                <w:b/>
                <w:color w:val="1E3A8A"/>
                <w:sz w:val="18"/>
              </w:rPr>
              <w:t xml:space="preserve">Versión / Rama Git: </w:t>
            </w:r>
            <w:r>
              <w:rPr>
                <w:color w:val="0F172A"/>
                <w:sz w:val="18"/>
              </w:rPr>
              <w:t>v2.0.0 (etiqueta del 17/10/2026) / main, desplegada en https://stire-soft.vercel.app</w:t>
            </w:r>
          </w:p>
        </w:tc>
      </w:tr>
      <w:tr>
        <w:tc>
          <w:tcPr>
            <w:tcW w:type="dxa" w:w="5616"/>
            <w:tcMar>
              <w:top w:w="75" w:type="dxa"/>
              <w:bottom w:w="75" w:type="dxa"/>
              <w:left w:w="120" w:type="dxa"/>
              <w:right w:w="120" w:type="dxa"/>
            </w:tcMar>
            <w:shd w:fill="FFFFFF"/>
          </w:tcPr>
          <w:p>
            <w:pPr>
              <w:spacing w:before="0" w:after="0" w:line="276" w:lineRule="auto"/>
            </w:pPr>
            <w:r>
              <w:rPr>
                <w:b/>
                <w:color w:val="1E3A8A"/>
                <w:sz w:val="18"/>
              </w:rPr>
              <w:t xml:space="preserve">Integrantes del Equipo: </w:t>
            </w:r>
            <w:r>
              <w:rPr>
                <w:color w:val="0F172A"/>
                <w:sz w:val="18"/>
              </w:rPr>
              <w:t>Jeider Gómez · Pedro Romero · José López · Julio Galvis · Jorge Iván Cervantes García (códigos: completar)</w:t>
            </w:r>
          </w:p>
        </w:tc>
        <w:tc>
          <w:tcPr>
            <w:tcW w:type="dxa" w:w="4320"/>
            <w:tcMar>
              <w:top w:w="75" w:type="dxa"/>
              <w:bottom w:w="75" w:type="dxa"/>
              <w:left w:w="120" w:type="dxa"/>
              <w:right w:w="120" w:type="dxa"/>
            </w:tcMar>
            <w:shd w:fill="FFFFFF"/>
          </w:tcPr>
          <w:p>
            <w:pPr>
              <w:spacing w:before="0" w:after="0" w:line="276" w:lineRule="auto"/>
            </w:pPr>
            <w:r>
              <w:rPr>
                <w:b/>
                <w:color w:val="1E3A8A"/>
                <w:sz w:val="18"/>
              </w:rPr>
              <w:t xml:space="preserve">URL Demo / Repositorio: </w:t>
            </w:r>
            <w:r>
              <w:rPr>
                <w:color w:val="0F172A"/>
                <w:sz w:val="18"/>
              </w:rPr>
              <w:t>https://stire-soft.vercel.app · https://github.com/Jeider-Gomez/Stire-Soft</w:t>
            </w:r>
          </w:p>
        </w:tc>
      </w:tr>
      <w:tr>
        <w:tc>
          <w:tcPr>
            <w:tcW w:type="dxa" w:w="5616"/>
            <w:tcMar>
              <w:top w:w="75" w:type="dxa"/>
              <w:bottom w:w="75" w:type="dxa"/>
              <w:left w:w="120" w:type="dxa"/>
              <w:right w:w="120" w:type="dxa"/>
            </w:tcMar>
            <w:shd w:fill="F8FAFC"/>
          </w:tcPr>
          <w:p>
            <w:pPr>
              <w:spacing w:before="0" w:after="0" w:line="276" w:lineRule="auto"/>
            </w:pPr>
            <w:r>
              <w:rPr>
                <w:b/>
                <w:color w:val="1E3A8A"/>
                <w:sz w:val="18"/>
              </w:rPr>
              <w:t xml:space="preserve">Docente / Evaluador: </w:t>
            </w:r>
            <w:r>
              <w:rPr>
                <w:color w:val="0F172A"/>
                <w:sz w:val="18"/>
              </w:rPr>
              <w:t>Prof. Raúl Toscano Miranda · Revisión humana del equipo STIRE-Soft (cada integrante como usuario)</w:t>
            </w:r>
          </w:p>
        </w:tc>
        <w:tc>
          <w:tcPr>
            <w:tcW w:type="dxa" w:w="4320"/>
            <w:tcMar>
              <w:top w:w="75" w:type="dxa"/>
              <w:bottom w:w="75" w:type="dxa"/>
              <w:left w:w="120" w:type="dxa"/>
              <w:right w:w="120" w:type="dxa"/>
            </w:tcMar>
            <w:shd w:fill="F8FAFC"/>
          </w:tcPr>
          <w:p>
            <w:pPr>
              <w:spacing w:before="0" w:after="0" w:line="276" w:lineRule="auto"/>
            </w:pPr>
            <w:r>
              <w:rPr>
                <w:b/>
                <w:color w:val="1E3A8A"/>
                <w:sz w:val="18"/>
              </w:rPr>
              <w:t xml:space="preserve">Calificación Final: </w:t>
            </w:r>
            <w:r>
              <w:rPr>
                <w:color w:val="0F172A"/>
                <w:sz w:val="18"/>
              </w:rPr>
              <w:t>100.0 / 100 pts  (100.0 %) — 32 de 32 puntos · Sobresaliente</w:t>
            </w:r>
          </w:p>
        </w:tc>
      </w:tr>
    </w:tbl>
    <w:p>
      <w:pPr>
        <w:spacing w:before="0" w:after="80" w:line="276" w:lineRule="auto"/>
      </w:pPr>
    </w:p>
    <w:p>
      <w:pPr>
        <w:spacing w:before="80" w:after="40" w:line="276" w:lineRule="auto"/>
      </w:pPr>
      <w:r>
        <w:rPr>
          <w:rFonts w:ascii="Arial" w:hAnsi="Arial"/>
          <w:b/>
          <w:color w:val="0F172A"/>
          <w:sz w:val="22"/>
        </w:rPr>
        <w:t>2. INSTRUCCIONES DE USO Y ESCALA DE VALORACIÓN</w:t>
      </w:r>
    </w:p>
    <w:p>
      <w:pPr>
        <w:spacing w:before="0" w:after="80" w:line="276" w:lineRule="auto"/>
      </w:pPr>
      <w:r>
        <w:rPr>
          <w:color w:val="334155"/>
          <w:sz w:val="19"/>
        </w:rPr>
        <w:t>Esta lista de chequeo tiene como objetivo verificar que el equipo de desarrollo haya aplicado con rigor metodológico los modelos, reglas ergonómicas, principios de movilidad y patrones de diseño formalizados en los Capítulos 12, 13 y 14 de Pressman &amp; Maxim. Cada ítem debe sustentarse mediante evidencia tangible en la interfaz interactiva desplegada o en el código fuente del frontend.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1152"/>
            <w:shd w:fill="1E3A8A"/>
            <w:tcMar>
              <w:top w:w="80" w:type="dxa"/>
              <w:bottom w:w="80" w:type="dxa"/>
              <w:left w:w="100" w:type="dxa"/>
              <w:right w:w="100" w:type="dxa"/>
            </w:tcMar>
          </w:tcPr>
          <w:p>
            <w:pPr>
              <w:spacing w:before="0" w:after="0" w:line="276" w:lineRule="auto"/>
              <w:jc w:val="center"/>
            </w:pPr>
            <w:r>
              <w:rPr>
                <w:b/>
                <w:color w:val="FFFFFF"/>
                <w:sz w:val="17"/>
              </w:rPr>
              <w:t>Código</w:t>
            </w:r>
          </w:p>
        </w:tc>
        <w:tc>
          <w:tcPr>
            <w:tcW w:type="dxa" w:w="2592"/>
            <w:shd w:fill="1E3A8A"/>
            <w:tcMar>
              <w:top w:w="80" w:type="dxa"/>
              <w:bottom w:w="80" w:type="dxa"/>
              <w:left w:w="100" w:type="dxa"/>
              <w:right w:w="100" w:type="dxa"/>
            </w:tcMar>
          </w:tcPr>
          <w:p>
            <w:pPr>
              <w:spacing w:before="0" w:after="0" w:line="276" w:lineRule="auto"/>
              <w:jc w:val="center"/>
            </w:pPr>
            <w:r>
              <w:rPr>
                <w:b/>
                <w:color w:val="FFFFFF"/>
                <w:sz w:val="17"/>
              </w:rPr>
              <w:t>Escala de Calificación</w:t>
            </w:r>
          </w:p>
        </w:tc>
        <w:tc>
          <w:tcPr>
            <w:tcW w:type="dxa" w:w="1584"/>
            <w:shd w:fill="1E3A8A"/>
            <w:tcMar>
              <w:top w:w="80" w:type="dxa"/>
              <w:bottom w:w="80" w:type="dxa"/>
              <w:left w:w="100" w:type="dxa"/>
              <w:right w:w="100" w:type="dxa"/>
            </w:tcMar>
          </w:tcPr>
          <w:p>
            <w:pPr>
              <w:spacing w:before="0" w:after="0" w:line="276" w:lineRule="auto"/>
              <w:jc w:val="center"/>
            </w:pPr>
            <w:r>
              <w:rPr>
                <w:b/>
                <w:color w:val="FFFFFF"/>
                <w:sz w:val="17"/>
              </w:rPr>
              <w:t>Ponderación</w:t>
            </w:r>
          </w:p>
        </w:tc>
        <w:tc>
          <w:tcPr>
            <w:tcW w:type="dxa" w:w="4608"/>
            <w:shd w:fill="1E3A8A"/>
            <w:tcMar>
              <w:top w:w="80" w:type="dxa"/>
              <w:bottom w:w="80" w:type="dxa"/>
              <w:left w:w="100" w:type="dxa"/>
              <w:right w:w="100" w:type="dxa"/>
            </w:tcMar>
          </w:tcPr>
          <w:p>
            <w:pPr>
              <w:spacing w:before="0" w:after="0" w:line="276" w:lineRule="auto"/>
              <w:jc w:val="center"/>
            </w:pPr>
            <w:r>
              <w:rPr>
                <w:b/>
                <w:color w:val="FFFFFF"/>
                <w:sz w:val="17"/>
              </w:rPr>
              <w:t>Criterio de Evaluación Operativo</w:t>
            </w:r>
          </w:p>
        </w:tc>
      </w:tr>
      <w:tr>
        <w:tc>
          <w:tcPr>
            <w:tcW w:type="dxa" w:w="1152"/>
            <w:shd w:fill="FFFFFF"/>
            <w:tcMar>
              <w:top w:w="70" w:type="dxa"/>
              <w:bottom w:w="70" w:type="dxa"/>
              <w:left w:w="100" w:type="dxa"/>
              <w:right w:w="100" w:type="dxa"/>
            </w:tcMar>
          </w:tcPr>
          <w:p>
            <w:pPr>
              <w:spacing w:before="0" w:after="0" w:line="276" w:lineRule="auto"/>
              <w:jc w:val="center"/>
            </w:pPr>
            <w:r>
              <w:rPr>
                <w:b/>
                <w:color w:val="0F172A"/>
                <w:sz w:val="17"/>
              </w:rPr>
              <w:t>C</w:t>
            </w:r>
          </w:p>
        </w:tc>
        <w:tc>
          <w:tcPr>
            <w:tcW w:type="dxa" w:w="2592"/>
            <w:shd w:fill="FFFFFF"/>
            <w:tcMar>
              <w:top w:w="70" w:type="dxa"/>
              <w:bottom w:w="70" w:type="dxa"/>
              <w:left w:w="100" w:type="dxa"/>
              <w:right w:w="100" w:type="dxa"/>
            </w:tcMar>
          </w:tcPr>
          <w:p>
            <w:pPr>
              <w:spacing w:before="0" w:after="0" w:line="276" w:lineRule="auto"/>
            </w:pPr>
            <w:r>
              <w:rPr>
                <w:b/>
                <w:color w:val="0F172A"/>
                <w:sz w:val="17"/>
              </w:rPr>
              <w:t>Cumple Totalmente</w:t>
            </w:r>
          </w:p>
        </w:tc>
        <w:tc>
          <w:tcPr>
            <w:tcW w:type="dxa" w:w="1584"/>
            <w:shd w:fill="FFFFFF"/>
            <w:tcMar>
              <w:top w:w="70" w:type="dxa"/>
              <w:bottom w:w="70" w:type="dxa"/>
              <w:left w:w="100" w:type="dxa"/>
              <w:right w:w="100" w:type="dxa"/>
            </w:tcMar>
          </w:tcPr>
          <w:p>
            <w:pPr>
              <w:spacing w:before="0" w:after="0" w:line="276" w:lineRule="auto"/>
              <w:jc w:val="center"/>
            </w:pPr>
            <w:r>
              <w:rPr>
                <w:color w:val="0F172A"/>
                <w:sz w:val="17"/>
              </w:rPr>
              <w:t>2 Puntos (100%)</w:t>
            </w:r>
          </w:p>
        </w:tc>
        <w:tc>
          <w:tcPr>
            <w:tcW w:type="dxa" w:w="4608"/>
            <w:shd w:fill="FFFFFF"/>
            <w:tcMar>
              <w:top w:w="70" w:type="dxa"/>
              <w:bottom w:w="70" w:type="dxa"/>
              <w:left w:w="100" w:type="dxa"/>
              <w:right w:w="100" w:type="dxa"/>
            </w:tcMar>
          </w:tcPr>
          <w:p>
            <w:pPr>
              <w:spacing w:before="0" w:after="0" w:line="276" w:lineRule="auto"/>
            </w:pPr>
            <w:r>
              <w:rPr>
                <w:color w:val="0F172A"/>
                <w:sz w:val="17"/>
              </w:rPr>
              <w:t>El frontend implementa rigurosamente el criterio teórico; es funcional, visible y comprobable en la demo.</w:t>
            </w:r>
          </w:p>
        </w:tc>
      </w:tr>
      <w:tr>
        <w:tc>
          <w:tcPr>
            <w:tcW w:type="dxa" w:w="1152"/>
            <w:shd w:fill="F8FAFC"/>
            <w:tcMar>
              <w:top w:w="70" w:type="dxa"/>
              <w:bottom w:w="70" w:type="dxa"/>
              <w:left w:w="100" w:type="dxa"/>
              <w:right w:w="100" w:type="dxa"/>
            </w:tcMar>
          </w:tcPr>
          <w:p>
            <w:pPr>
              <w:spacing w:before="0" w:after="0" w:line="276" w:lineRule="auto"/>
              <w:jc w:val="center"/>
            </w:pPr>
            <w:r>
              <w:rPr>
                <w:b/>
                <w:color w:val="0F172A"/>
                <w:sz w:val="17"/>
              </w:rPr>
              <w:t>CP</w:t>
            </w:r>
          </w:p>
        </w:tc>
        <w:tc>
          <w:tcPr>
            <w:tcW w:type="dxa" w:w="2592"/>
            <w:shd w:fill="F8FAFC"/>
            <w:tcMar>
              <w:top w:w="70" w:type="dxa"/>
              <w:bottom w:w="70" w:type="dxa"/>
              <w:left w:w="100" w:type="dxa"/>
              <w:right w:w="100" w:type="dxa"/>
            </w:tcMar>
          </w:tcPr>
          <w:p>
            <w:pPr>
              <w:spacing w:before="0" w:after="0" w:line="276" w:lineRule="auto"/>
            </w:pPr>
            <w:r>
              <w:rPr>
                <w:b/>
                <w:color w:val="0F172A"/>
                <w:sz w:val="17"/>
              </w:rPr>
              <w:t>Cumple Parcialmente</w:t>
            </w:r>
          </w:p>
        </w:tc>
        <w:tc>
          <w:tcPr>
            <w:tcW w:type="dxa" w:w="1584"/>
            <w:shd w:fill="F8FAFC"/>
            <w:tcMar>
              <w:top w:w="70" w:type="dxa"/>
              <w:bottom w:w="70" w:type="dxa"/>
              <w:left w:w="100" w:type="dxa"/>
              <w:right w:w="100" w:type="dxa"/>
            </w:tcMar>
          </w:tcPr>
          <w:p>
            <w:pPr>
              <w:spacing w:before="0" w:after="0" w:line="276" w:lineRule="auto"/>
              <w:jc w:val="center"/>
            </w:pPr>
            <w:r>
              <w:rPr>
                <w:color w:val="0F172A"/>
                <w:sz w:val="17"/>
              </w:rPr>
              <w:t>1 Punto (50%)</w:t>
            </w:r>
          </w:p>
        </w:tc>
        <w:tc>
          <w:tcPr>
            <w:tcW w:type="dxa" w:w="4608"/>
            <w:shd w:fill="F8FAFC"/>
            <w:tcMar>
              <w:top w:w="70" w:type="dxa"/>
              <w:bottom w:w="70" w:type="dxa"/>
              <w:left w:w="100" w:type="dxa"/>
              <w:right w:w="100" w:type="dxa"/>
            </w:tcMar>
          </w:tcPr>
          <w:p>
            <w:pPr>
              <w:spacing w:before="0" w:after="0" w:line="276" w:lineRule="auto"/>
            </w:pPr>
            <w:r>
              <w:rPr>
                <w:color w:val="0F172A"/>
                <w:sz w:val="17"/>
              </w:rPr>
              <w:t>Se evidencia la intención en la interfaz o código, pero con inconsistencias, fallos visuales o cobertura incompleta.</w:t>
            </w:r>
          </w:p>
        </w:tc>
      </w:tr>
      <w:tr>
        <w:tc>
          <w:tcPr>
            <w:tcW w:type="dxa" w:w="1152"/>
            <w:shd w:fill="FFFFFF"/>
            <w:tcMar>
              <w:top w:w="70" w:type="dxa"/>
              <w:bottom w:w="70" w:type="dxa"/>
              <w:left w:w="100" w:type="dxa"/>
              <w:right w:w="100" w:type="dxa"/>
            </w:tcMar>
          </w:tcPr>
          <w:p>
            <w:pPr>
              <w:spacing w:before="0" w:after="0" w:line="276" w:lineRule="auto"/>
              <w:jc w:val="center"/>
            </w:pPr>
            <w:r>
              <w:rPr>
                <w:b/>
                <w:color w:val="0F172A"/>
                <w:sz w:val="17"/>
              </w:rPr>
              <w:t>NC</w:t>
            </w:r>
          </w:p>
        </w:tc>
        <w:tc>
          <w:tcPr>
            <w:tcW w:type="dxa" w:w="2592"/>
            <w:shd w:fill="FFFFFF"/>
            <w:tcMar>
              <w:top w:w="70" w:type="dxa"/>
              <w:bottom w:w="70" w:type="dxa"/>
              <w:left w:w="100" w:type="dxa"/>
              <w:right w:w="100" w:type="dxa"/>
            </w:tcMar>
          </w:tcPr>
          <w:p>
            <w:pPr>
              <w:spacing w:before="0" w:after="0" w:line="276" w:lineRule="auto"/>
            </w:pPr>
            <w:r>
              <w:rPr>
                <w:b/>
                <w:color w:val="0F172A"/>
                <w:sz w:val="17"/>
              </w:rPr>
              <w:t>No Cumple</w:t>
            </w:r>
          </w:p>
        </w:tc>
        <w:tc>
          <w:tcPr>
            <w:tcW w:type="dxa" w:w="1584"/>
            <w:shd w:fill="FFFFFF"/>
            <w:tcMar>
              <w:top w:w="70" w:type="dxa"/>
              <w:bottom w:w="70" w:type="dxa"/>
              <w:left w:w="100" w:type="dxa"/>
              <w:right w:w="100" w:type="dxa"/>
            </w:tcMar>
          </w:tcPr>
          <w:p>
            <w:pPr>
              <w:spacing w:before="0" w:after="0" w:line="276" w:lineRule="auto"/>
              <w:jc w:val="center"/>
            </w:pPr>
            <w:r>
              <w:rPr>
                <w:color w:val="0F172A"/>
                <w:sz w:val="17"/>
              </w:rPr>
              <w:t>0 Puntos (0%)</w:t>
            </w:r>
          </w:p>
        </w:tc>
        <w:tc>
          <w:tcPr>
            <w:tcW w:type="dxa" w:w="4608"/>
            <w:shd w:fill="FFFFFF"/>
            <w:tcMar>
              <w:top w:w="70" w:type="dxa"/>
              <w:bottom w:w="70" w:type="dxa"/>
              <w:left w:w="100" w:type="dxa"/>
              <w:right w:w="100" w:type="dxa"/>
            </w:tcMar>
          </w:tcPr>
          <w:p>
            <w:pPr>
              <w:spacing w:before="0" w:after="0" w:line="276" w:lineRule="auto"/>
            </w:pPr>
            <w:r>
              <w:rPr>
                <w:color w:val="0F172A"/>
                <w:sz w:val="17"/>
              </w:rPr>
              <w:t>El criterio teórico no fue considerado; está ausente o no funciona en la interfaz de usuario desarrollada.</w:t>
            </w:r>
          </w:p>
        </w:tc>
      </w:tr>
      <w:tr>
        <w:tc>
          <w:tcPr>
            <w:tcW w:type="dxa" w:w="1152"/>
            <w:shd w:fill="F8FAFC"/>
            <w:tcMar>
              <w:top w:w="70" w:type="dxa"/>
              <w:bottom w:w="70" w:type="dxa"/>
              <w:left w:w="100" w:type="dxa"/>
              <w:right w:w="100" w:type="dxa"/>
            </w:tcMar>
          </w:tcPr>
          <w:p>
            <w:pPr>
              <w:spacing w:before="0" w:after="0" w:line="276" w:lineRule="auto"/>
              <w:jc w:val="center"/>
            </w:pPr>
            <w:r>
              <w:rPr>
                <w:b/>
                <w:color w:val="0F172A"/>
                <w:sz w:val="17"/>
              </w:rPr>
              <w:t>NA</w:t>
            </w:r>
          </w:p>
        </w:tc>
        <w:tc>
          <w:tcPr>
            <w:tcW w:type="dxa" w:w="2592"/>
            <w:shd w:fill="F8FAFC"/>
            <w:tcMar>
              <w:top w:w="70" w:type="dxa"/>
              <w:bottom w:w="70" w:type="dxa"/>
              <w:left w:w="100" w:type="dxa"/>
              <w:right w:w="100" w:type="dxa"/>
            </w:tcMar>
          </w:tcPr>
          <w:p>
            <w:pPr>
              <w:spacing w:before="0" w:after="0" w:line="276" w:lineRule="auto"/>
            </w:pPr>
            <w:r>
              <w:rPr>
                <w:b/>
                <w:color w:val="0F172A"/>
                <w:sz w:val="17"/>
              </w:rPr>
              <w:t>No Aplica</w:t>
            </w:r>
          </w:p>
        </w:tc>
        <w:tc>
          <w:tcPr>
            <w:tcW w:type="dxa" w:w="1584"/>
            <w:shd w:fill="F8FAFC"/>
            <w:tcMar>
              <w:top w:w="70" w:type="dxa"/>
              <w:bottom w:w="70" w:type="dxa"/>
              <w:left w:w="100" w:type="dxa"/>
              <w:right w:w="100" w:type="dxa"/>
            </w:tcMar>
          </w:tcPr>
          <w:p>
            <w:pPr>
              <w:spacing w:before="0" w:after="0" w:line="276" w:lineRule="auto"/>
              <w:jc w:val="center"/>
            </w:pPr>
            <w:r>
              <w:rPr>
                <w:color w:val="0F172A"/>
                <w:sz w:val="17"/>
              </w:rPr>
              <w:t>Excluido (N/A)</w:t>
            </w:r>
          </w:p>
        </w:tc>
        <w:tc>
          <w:tcPr>
            <w:tcW w:type="dxa" w:w="4608"/>
            <w:shd w:fill="F8FAFC"/>
            <w:tcMar>
              <w:top w:w="70" w:type="dxa"/>
              <w:bottom w:w="70" w:type="dxa"/>
              <w:left w:w="100" w:type="dxa"/>
              <w:right w:w="100" w:type="dxa"/>
            </w:tcMar>
          </w:tcPr>
          <w:p>
            <w:pPr>
              <w:spacing w:before="0" w:after="0" w:line="276" w:lineRule="auto"/>
            </w:pPr>
            <w:r>
              <w:rPr>
                <w:color w:val="0F172A"/>
                <w:sz w:val="17"/>
              </w:rPr>
              <w:t>El criterio fue explícitamente descartado del alcance por mutuo acuerdo con el docente.</w:t>
            </w:r>
          </w:p>
        </w:tc>
      </w:tr>
    </w:tbl>
    <w:p>
      <w:pPr>
        <w:spacing w:before="0" w:after="120" w:line="276" w:lineRule="auto"/>
      </w:pPr>
    </w:p>
    <w:p>
      <w:pPr>
        <w:spacing w:before="160" w:after="60" w:line="276" w:lineRule="auto"/>
      </w:pPr>
      <w:r>
        <w:rPr>
          <w:rFonts w:ascii="Arial" w:hAnsi="Arial"/>
          <w:b/>
          <w:color w:val="0F172A"/>
          <w:sz w:val="22"/>
        </w:rPr>
        <w:t>3. CAPÍTULO 12: DISEÑO DE LA EXPERIENCIA DE USUARIO (UX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87"/>
        <w:gridCol w:w="1987"/>
        <w:gridCol w:w="1987"/>
        <w:gridCol w:w="1987"/>
        <w:gridCol w:w="1987"/>
      </w:tblGrid>
      <w:tr>
        <w:tc>
          <w:tcPr>
            <w:tcW w:type="dxa" w:w="792"/>
            <w:shd w:fill="0F172A"/>
            <w:tcMar>
              <w:top w:w="80" w:type="dxa"/>
              <w:bottom w:w="80" w:type="dxa"/>
              <w:left w:w="90" w:type="dxa"/>
              <w:right w:w="90" w:type="dxa"/>
            </w:tcMar>
          </w:tcPr>
          <w:p>
            <w:pPr>
              <w:spacing w:before="0" w:after="0" w:line="276" w:lineRule="auto"/>
              <w:jc w:val="center"/>
            </w:pPr>
            <w:r>
              <w:rPr>
                <w:rFonts w:ascii="Arial" w:hAnsi="Arial"/>
                <w:b/>
                <w:color w:val="FFFFFF"/>
                <w:sz w:val="17"/>
              </w:rPr>
              <w:t>ID</w:t>
            </w:r>
          </w:p>
        </w:tc>
        <w:tc>
          <w:tcPr>
            <w:tcW w:type="dxa" w:w="2952"/>
            <w:shd w:fill="0F172A"/>
            <w:tcMar>
              <w:top w:w="80" w:type="dxa"/>
              <w:bottom w:w="80" w:type="dxa"/>
              <w:left w:w="90" w:type="dxa"/>
              <w:right w:w="90" w:type="dxa"/>
            </w:tcMar>
          </w:tcPr>
          <w:p>
            <w:pPr>
              <w:spacing w:before="0" w:after="0" w:line="276" w:lineRule="auto"/>
              <w:jc w:val="center"/>
            </w:pPr>
            <w:r>
              <w:rPr>
                <w:rFonts w:ascii="Arial" w:hAnsi="Arial"/>
                <w:b/>
                <w:color w:val="FFFFFF"/>
                <w:sz w:val="17"/>
              </w:rPr>
              <w:t>Criterio y Fundamento Teórico</w:t>
            </w:r>
          </w:p>
        </w:tc>
        <w:tc>
          <w:tcPr>
            <w:tcW w:type="dxa" w:w="3744"/>
            <w:shd w:fill="0F172A"/>
            <w:tcMar>
              <w:top w:w="80" w:type="dxa"/>
              <w:bottom w:w="80" w:type="dxa"/>
              <w:left w:w="90" w:type="dxa"/>
              <w:right w:w="90" w:type="dxa"/>
            </w:tcMar>
          </w:tcPr>
          <w:p>
            <w:pPr>
              <w:spacing w:before="0" w:after="0" w:line="276" w:lineRule="auto"/>
              <w:jc w:val="center"/>
            </w:pPr>
            <w:r>
              <w:rPr>
                <w:rFonts w:ascii="Arial" w:hAnsi="Arial"/>
                <w:b/>
                <w:color w:val="FFFFFF"/>
                <w:sz w:val="17"/>
              </w:rPr>
              <w:t>Evidencia Observable en el Frontend</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Valoración</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Puntos y Notas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UX-01</w:t>
            </w:r>
          </w:p>
        </w:tc>
        <w:tc>
          <w:tcPr>
            <w:tcW w:type="dxa" w:w="2952"/>
            <w:shd w:fill="FFFFFF"/>
            <w:tcMar>
              <w:top w:w="70" w:type="dxa"/>
              <w:bottom w:w="70" w:type="dxa"/>
              <w:left w:w="70" w:type="dxa"/>
              <w:right w:w="70" w:type="dxa"/>
            </w:tcMar>
          </w:tcPr>
          <w:p>
            <w:pPr>
              <w:spacing w:before="0" w:after="40" w:line="276" w:lineRule="auto"/>
            </w:pPr>
            <w:r>
              <w:rPr>
                <w:b/>
                <w:color w:val="0F172A"/>
                <w:sz w:val="17"/>
              </w:rPr>
              <w:t>Los 5 Planos de Garrett y Arquitectura de Información (IA)</w:t>
              <w:br/>
            </w:r>
            <w:r>
              <w:rPr>
                <w:i/>
                <w:color w:val="64748B"/>
                <w:sz w:val="15"/>
              </w:rPr>
              <w:t>Ref: Pressman Cap. 12.1 y Cap. 12.1.1 ("Information Architecture", p. 236); Garrett [Gar02/Gar11]</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Arquitectura de Contenido (Organización y Rotulado/Labeling): Objetos de información y pantallas/widgets estructurados lógicamente con etiquetas y títulos unívocos.</w:t>
            </w:r>
          </w:p>
          <w:p>
            <w:pPr>
              <w:spacing w:before="0" w:after="20" w:line="276" w:lineRule="auto"/>
            </w:pPr>
            <w:r>
              <w:rPr>
                <w:b/>
                <w:color w:val="0284C7"/>
                <w:sz w:val="16"/>
              </w:rPr>
              <w:t xml:space="preserve">• </w:t>
            </w:r>
            <w:r>
              <w:rPr>
                <w:color w:val="334155"/>
                <w:sz w:val="16"/>
              </w:rPr>
              <w:t>Filosofía de Navegación y Recorrido (Traversal): La arquitectura permite un recorrido intuitivo, fluido y sin callejones sin salida, facilitando la búsqueda y asimilación eficiente de contenidos.</w:t>
            </w:r>
          </w:p>
          <w:p>
            <w:pPr>
              <w:spacing w:before="0" w:after="20" w:line="276" w:lineRule="auto"/>
            </w:pPr>
            <w:r>
              <w:rPr>
                <w:b/>
                <w:color w:val="0284C7"/>
                <w:sz w:val="16"/>
              </w:rPr>
              <w:t xml:space="preserve">• </w:t>
            </w:r>
            <w:r>
              <w:rPr>
                <w:color w:val="334155"/>
                <w:sz w:val="16"/>
              </w:rPr>
              <w:t>Estrategia, Alcance y Superficie: La solución satisface los objetivos de los usuarios sin sobrecarga, con un plano de esqueleto y superficie visualmente equilibrado y armónico.</w:t>
            </w:r>
          </w:p>
          <w:p>
            <w:pPr>
              <w:spacing w:before="60" w:after="20" w:line="276" w:lineRule="auto"/>
            </w:pPr>
            <w:r>
              <w:rPr>
                <w:b/>
                <w:color w:val="1E3A8A"/>
                <w:sz w:val="15"/>
              </w:rPr>
              <w:t xml:space="preserve">Ejemplo en Frontend: </w:t>
            </w:r>
            <w:r>
              <w:rPr>
                <w:i/>
                <w:color w:val="0F172A"/>
                <w:sz w:val="15"/>
              </w:rPr>
              <w:t>Un panel de bienvenida (Dashboard) estructurado según la arquitectura de información: menú lateral con rotulado claro (Labeling) por unidades temáticas, buscador o filtros de temas, y tarjetas (Cards) que organizan los objetos de contenido con jerarquía visual y títulos descriptivos.</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Revisó: José (como usuario) · nota inicial CP, corregido y confirmado el 17/10</w:t>
              <w:br/>
              <w:t>Lo que vio: Las migas funcionan, pero no decía cuánto dominio faltaba para abrir el siguiente módulo.</w:t>
              <w:br/>
              <w:t>Qué se hizo: Candado del módulo con «Se abre con N % · llevas N %» y meta de cada lección.</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UX-02</w:t>
            </w:r>
          </w:p>
        </w:tc>
        <w:tc>
          <w:tcPr>
            <w:tcW w:type="dxa" w:w="2952"/>
            <w:shd w:fill="F8FAFC"/>
            <w:tcMar>
              <w:top w:w="70" w:type="dxa"/>
              <w:bottom w:w="70" w:type="dxa"/>
              <w:left w:w="70" w:type="dxa"/>
              <w:right w:w="70" w:type="dxa"/>
            </w:tcMar>
          </w:tcPr>
          <w:p>
            <w:pPr>
              <w:spacing w:before="0" w:after="40" w:line="276" w:lineRule="auto"/>
            </w:pPr>
            <w:r>
              <w:rPr>
                <w:b/>
                <w:color w:val="0F172A"/>
                <w:sz w:val="17"/>
              </w:rPr>
              <w:t>Regla de Oro 1 de Mandel: Poner al Usuario en Control</w:t>
              <w:br/>
            </w:r>
            <w:r>
              <w:rPr>
                <w:i/>
                <w:color w:val="64748B"/>
                <w:sz w:val="15"/>
              </w:rPr>
              <w:t>Ref: Pressman Cap. 12.2.1 ("Place the User in Control"); Theo Mandel [Man97]</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Interacción flexible: El usuario no se ve atrapado en secuencias modales forzadas ni flujos rígidos obligatorios que limiten su autonomía.</w:t>
            </w:r>
          </w:p>
          <w:p>
            <w:pPr>
              <w:spacing w:before="0" w:after="20" w:line="276" w:lineRule="auto"/>
            </w:pPr>
            <w:r>
              <w:rPr>
                <w:b/>
                <w:color w:val="0284C7"/>
                <w:sz w:val="16"/>
              </w:rPr>
              <w:t xml:space="preserve">• </w:t>
            </w:r>
            <w:r>
              <w:rPr>
                <w:color w:val="334155"/>
                <w:sz w:val="16"/>
              </w:rPr>
              <w:t>Reversibilidad de acciones: Mecanismos visibles para deshacer (Undo / Ctrl+Z), retroceder o cancelar operaciones en curso antes de ejecuciones irreversibles.</w:t>
            </w:r>
          </w:p>
          <w:p>
            <w:pPr>
              <w:spacing w:before="0" w:after="20" w:line="276" w:lineRule="auto"/>
            </w:pPr>
            <w:r>
              <w:rPr>
                <w:b/>
                <w:color w:val="0284C7"/>
                <w:sz w:val="16"/>
              </w:rPr>
              <w:t xml:space="preserve">• </w:t>
            </w:r>
            <w:r>
              <w:rPr>
                <w:color w:val="334155"/>
                <w:sz w:val="16"/>
              </w:rPr>
              <w:t>Persistencia de borradores: Posibilidad de interrumpir procesos o formularios extensos y retomarlos más tarde sin pérdida de información ingresada.</w:t>
            </w:r>
          </w:p>
          <w:p>
            <w:pPr>
              <w:spacing w:before="60" w:after="20" w:line="276" w:lineRule="auto"/>
            </w:pPr>
            <w:r>
              <w:rPr>
                <w:b/>
                <w:color w:val="1E3A8A"/>
                <w:sz w:val="15"/>
              </w:rPr>
              <w:t xml:space="preserve">Ejemplo en Frontend: </w:t>
            </w:r>
            <w:r>
              <w:rPr>
                <w:i/>
                <w:color w:val="0F172A"/>
                <w:sz w:val="15"/>
              </w:rPr>
              <w:t>En un ejercicio o formulario de registro extenso, el estudiante dispone de un botón visible "Guardar borrador", un botón "Cancelar" que solicita confirmación no invasiva, y la libertad de alternar entre preguntas sin estar encadenado a una secuencia irreversible.</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Revisó: Jorge (como usuario) · nota inicial CP, corregido y confirmado el 17/10</w:t>
              <w:br/>
              <w:t>Lo que vio: «Antes de entregar» no se podía cancelar: tocar fuera entregaba la respuesta.</w:t>
              <w:br/>
              <w:t>Qué se hizo: «Volver a editar» en la ventana; tocar fuera o Escape ya no entrega.</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UX-03</w:t>
            </w:r>
          </w:p>
        </w:tc>
        <w:tc>
          <w:tcPr>
            <w:tcW w:type="dxa" w:w="2952"/>
            <w:shd w:fill="FFFFFF"/>
            <w:tcMar>
              <w:top w:w="70" w:type="dxa"/>
              <w:bottom w:w="70" w:type="dxa"/>
              <w:left w:w="70" w:type="dxa"/>
              <w:right w:w="70" w:type="dxa"/>
            </w:tcMar>
          </w:tcPr>
          <w:p>
            <w:r>
              <w:t>Regla de Oro 2 de Mandel: Reducir la Carga de Memoria</w:t>
              <w:br/>
              <w:t>Ref: Pressman Cap. 12.2.2 ("Reduce the User’s Memory Load"); Theo Mandel [Man97], Miller (1956, regla 7±2)</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Reconocimiento sobre recuerdo: Las opciones, instrucciones contextuales y estados del sistema son visibles en pantalla en el momento de actuar.</w:t>
            </w:r>
          </w:p>
          <w:p>
            <w:pPr>
              <w:spacing w:before="0" w:after="20" w:line="276" w:lineRule="auto"/>
            </w:pPr>
            <w:r>
              <w:rPr>
                <w:b/>
                <w:color w:val="0284C7"/>
                <w:sz w:val="16"/>
              </w:rPr>
              <w:t xml:space="preserve">• </w:t>
            </w:r>
            <w:r>
              <w:rPr>
                <w:color w:val="334155"/>
                <w:sz w:val="16"/>
              </w:rPr>
              <w:t>Segmentación (Chunking): Formularios y contenidos densos fragmentados en pasos progresivos (Wizards o Steppers) respetando la capacidad de la memoria de trabajo.</w:t>
            </w:r>
          </w:p>
          <w:p>
            <w:pPr>
              <w:spacing w:before="0" w:after="20" w:line="276" w:lineRule="auto"/>
            </w:pPr>
            <w:r>
              <w:rPr>
                <w:b/>
                <w:color w:val="0284C7"/>
                <w:sz w:val="16"/>
              </w:rPr>
              <w:t xml:space="preserve">• </w:t>
            </w:r>
            <w:r>
              <w:rPr>
                <w:color w:val="334155"/>
                <w:sz w:val="16"/>
              </w:rPr>
              <w:t>Valores por defecto y sugerencias: Campos con valores predeterminados sensatos, placeholders ilustrativos y autocompletado inteligente.</w:t>
            </w:r>
          </w:p>
          <w:p>
            <w:pPr>
              <w:spacing w:before="60" w:after="20" w:line="276" w:lineRule="auto"/>
            </w:pPr>
            <w:r>
              <w:rPr>
                <w:b/>
                <w:color w:val="1E3A8A"/>
                <w:sz w:val="15"/>
              </w:rPr>
              <w:t xml:space="preserve">Ejemplo en Frontend: </w:t>
            </w:r>
            <w:r>
              <w:rPr>
                <w:i/>
                <w:color w:val="0F172A"/>
                <w:sz w:val="15"/>
              </w:rPr>
              <w:t>Un asistente de configuración guiada en 3 pasos con barra de progreso ("Paso 1: Datos", "Paso 2: Preferencias", "Paso 3: Confirmación"), con textos de ayuda contextual (tooltips) en los campos técnicos y valores comunes preseleccionados.</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Revisó: Jeider (como usuario)</w:t>
              <w:br/>
              <w:t>Lo que vio: La app muestra lo que se necesita; faltaba decir qué ejercicio ya no sube el dominio y cuánto pide el módulo siguiente.</w:t>
              <w:br/>
              <w:t>Qué se hizo: Aviso «Este ejercicio ya no sube tu dominio» y meta de la lección.</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UX-04</w:t>
            </w:r>
          </w:p>
        </w:tc>
        <w:tc>
          <w:tcPr>
            <w:tcW w:type="dxa" w:w="2952"/>
            <w:shd w:fill="F8FAFC"/>
            <w:tcMar>
              <w:top w:w="70" w:type="dxa"/>
              <w:bottom w:w="70" w:type="dxa"/>
              <w:left w:w="70" w:type="dxa"/>
              <w:right w:w="70" w:type="dxa"/>
            </w:tcMar>
          </w:tcPr>
          <w:p>
            <w:pPr>
              <w:spacing w:before="0" w:after="40" w:line="276" w:lineRule="auto"/>
            </w:pPr>
            <w:r>
              <w:rPr>
                <w:b/>
                <w:color w:val="0F172A"/>
                <w:sz w:val="17"/>
              </w:rPr>
              <w:t>Regla de Oro 3 de Mandel: Consistencia Integral</w:t>
              <w:br/>
            </w:r>
            <w:r>
              <w:rPr>
                <w:i/>
                <w:color w:val="64748B"/>
                <w:sz w:val="15"/>
              </w:rPr>
              <w:t>Ref: Pressman Cap. 12.2.3 ("Make the Interface Consistent"); Theo Mandel [Man97]</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Consistencia visual: Misma paleta cromática corporativa, escalas tipográficas jerárquicas y familia iconográfica homogénea en todas las vistas.</w:t>
            </w:r>
          </w:p>
          <w:p>
            <w:pPr>
              <w:spacing w:before="0" w:after="20" w:line="276" w:lineRule="auto"/>
            </w:pPr>
            <w:r>
              <w:rPr>
                <w:b/>
                <w:color w:val="0284C7"/>
                <w:sz w:val="16"/>
              </w:rPr>
              <w:t xml:space="preserve">• </w:t>
            </w:r>
            <w:r>
              <w:rPr>
                <w:color w:val="334155"/>
                <w:sz w:val="16"/>
              </w:rPr>
              <w:t>Consistencia operativa: Idénticos gestos, clics y atajos de teclado producen siempre los mismos resultados en cualquier sección de la aplicación.</w:t>
            </w:r>
          </w:p>
          <w:p>
            <w:pPr>
              <w:spacing w:before="0" w:after="20" w:line="276" w:lineRule="auto"/>
            </w:pPr>
            <w:r>
              <w:rPr>
                <w:b/>
                <w:color w:val="0284C7"/>
                <w:sz w:val="16"/>
              </w:rPr>
              <w:t xml:space="preserve">• </w:t>
            </w:r>
            <w:r>
              <w:rPr>
                <w:color w:val="334155"/>
                <w:sz w:val="16"/>
              </w:rPr>
              <w:t>Consistencia terminológica: Textos y botones con vocabulario estandarizado (evitando alternar arbitrariamente entre "Guardar", "Salvar" o "Registrar" para la misma función).</w:t>
            </w:r>
          </w:p>
          <w:p>
            <w:pPr>
              <w:spacing w:before="60" w:after="20" w:line="276" w:lineRule="auto"/>
            </w:pPr>
            <w:r>
              <w:rPr>
                <w:b/>
                <w:color w:val="1E3A8A"/>
                <w:sz w:val="15"/>
              </w:rPr>
              <w:t xml:space="preserve">Ejemplo en Frontend: </w:t>
            </w:r>
            <w:r>
              <w:rPr>
                <w:i/>
                <w:color w:val="0F172A"/>
                <w:sz w:val="15"/>
              </w:rPr>
              <w:t>En todas las pantallas, los botones principales usan la clase `.btn-primary` (azul marino `#1E3A8A` con bordes redondeados); los iconos pertenecen a la misma librería y grosor de trazo; y la barra de navegación superior conserva la misma estructura en todo el sitio.</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Revisó: José (como usuario) · nota inicial CP, corregido y confirmado el 17/10</w:t>
              <w:br/>
              <w:t>Lo que vio: Marcó términos técnicos en inglés en el panel del administrador; el 17/10 José corrigió su nota: son términos propios de la administración del servidor, no de lo que usan estudiantes y docentes.</w:t>
              <w:br/>
              <w:t>Qué se hizo: De todas formas, el estado del sistema quedó en español claro.</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UX-05</w:t>
            </w:r>
          </w:p>
        </w:tc>
        <w:tc>
          <w:tcPr>
            <w:tcW w:type="dxa" w:w="2952"/>
            <w:shd w:fill="FFFFFF"/>
            <w:tcMar>
              <w:top w:w="70" w:type="dxa"/>
              <w:bottom w:w="70" w:type="dxa"/>
              <w:left w:w="70" w:type="dxa"/>
              <w:right w:w="70" w:type="dxa"/>
            </w:tcMar>
          </w:tcPr>
          <w:p>
            <w:pPr>
              <w:spacing w:before="0" w:after="40" w:line="276" w:lineRule="auto"/>
            </w:pPr>
            <w:r>
              <w:rPr>
                <w:b/>
                <w:color w:val="0F172A"/>
                <w:sz w:val="17"/>
              </w:rPr>
              <w:t>Modelado de Usuarios, Personas y Análisis de Tareas</w:t>
              <w:br/>
            </w:r>
            <w:r>
              <w:rPr>
                <w:i/>
                <w:color w:val="64748B"/>
                <w:sz w:val="15"/>
              </w:rPr>
              <w:t>Ref: Pressman Cap. 12.4.2 ("User Modeling", Recuadro SafeHome) y Cap. 12.4.3 ("Task Analysis")</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Diseño centrado en el arquetipo: La interfaz responde con fidelidad al perfil de habilidades, limitaciones y necesidades del usuario meta (Persona estudiantil o docente).</w:t>
            </w:r>
          </w:p>
          <w:p>
            <w:pPr>
              <w:spacing w:before="0" w:after="20" w:line="276" w:lineRule="auto"/>
            </w:pPr>
            <w:r>
              <w:rPr>
                <w:b/>
                <w:color w:val="0284C7"/>
                <w:sz w:val="16"/>
              </w:rPr>
              <w:t xml:space="preserve">• </w:t>
            </w:r>
            <w:r>
              <w:rPr>
                <w:color w:val="334155"/>
                <w:sz w:val="16"/>
              </w:rPr>
              <w:t>Optimización de tareas frecuentes: Los flujos de interacción eliminan fricciones y pasos innecesarios en las actividades prioritarias del usuario.</w:t>
            </w:r>
          </w:p>
          <w:p>
            <w:pPr>
              <w:spacing w:before="0" w:after="20" w:line="276" w:lineRule="auto"/>
            </w:pPr>
            <w:r>
              <w:rPr>
                <w:b/>
                <w:color w:val="0284C7"/>
                <w:sz w:val="16"/>
              </w:rPr>
              <w:t xml:space="preserve">• </w:t>
            </w:r>
            <w:r>
              <w:rPr>
                <w:color w:val="334155"/>
                <w:sz w:val="16"/>
              </w:rPr>
              <w:t>Análisis Jerárquico de Tareas (HTA): Descomposición lógica de operaciones complejas en sub-tareas guiadas y comprensibles.</w:t>
            </w:r>
          </w:p>
          <w:p>
            <w:pPr>
              <w:spacing w:before="60" w:after="20" w:line="276" w:lineRule="auto"/>
            </w:pPr>
            <w:r>
              <w:rPr>
                <w:b/>
                <w:color w:val="1E3A8A"/>
                <w:sz w:val="15"/>
              </w:rPr>
              <w:t xml:space="preserve">Ejemplo en Frontend: </w:t>
            </w:r>
            <w:r>
              <w:rPr>
                <w:i/>
                <w:color w:val="0F172A"/>
                <w:sz w:val="15"/>
              </w:rPr>
              <w:t>Para el perfil de "Estudiante de Primer Semestre" (Persona validada), la pantalla de inicio prioriza una tarjeta prominente "Continuar con mi lección actual", permitiéndole retomar su trabajo en un solo clic sin tener que buscar en menús profundos de administración.</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Revisó: Jeider (como usuario)</w:t>
              <w:br/>
              <w:t>Lo que vio: Las Personas y las tareas se parecen a los estudiantes y docentes de la prueba.</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UX-06</w:t>
            </w:r>
          </w:p>
        </w:tc>
        <w:tc>
          <w:tcPr>
            <w:tcW w:type="dxa" w:w="2952"/>
            <w:shd w:fill="F8FAFC"/>
            <w:tcMar>
              <w:top w:w="70" w:type="dxa"/>
              <w:bottom w:w="70" w:type="dxa"/>
              <w:left w:w="70" w:type="dxa"/>
              <w:right w:w="70" w:type="dxa"/>
            </w:tcMar>
          </w:tcPr>
          <w:p>
            <w:pPr>
              <w:spacing w:before="0" w:after="40" w:line="276" w:lineRule="auto"/>
            </w:pPr>
            <w:r>
              <w:rPr>
                <w:b/>
                <w:color w:val="0F172A"/>
                <w:sz w:val="17"/>
              </w:rPr>
              <w:t>Directrices Ergonómicas de Bruce Tognazzini</w:t>
              <w:br/>
            </w:r>
            <w:r>
              <w:rPr>
                <w:i/>
                <w:color w:val="64748B"/>
                <w:sz w:val="15"/>
              </w:rPr>
              <w:t>Ref: Pressman Cap. 12.8.1 ("Usability Guidelines"); Bruce Tognazzini [Tog01]</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Ley de Fitts: Botones de acción clave de tamaño generoso, bien delimitados y situados en zonas de fácil alcance visual y cursorial.</w:t>
            </w:r>
          </w:p>
          <w:p>
            <w:pPr>
              <w:spacing w:before="0" w:after="20" w:line="276" w:lineRule="auto"/>
            </w:pPr>
            <w:r>
              <w:rPr>
                <w:b/>
                <w:color w:val="0284C7"/>
                <w:sz w:val="16"/>
              </w:rPr>
              <w:t xml:space="preserve">• </w:t>
            </w:r>
            <w:r>
              <w:rPr>
                <w:color w:val="334155"/>
                <w:sz w:val="16"/>
              </w:rPr>
              <w:t>Anticipación del sistema y retroalimentación: Respuesta inmediata ante cualquier evento (spinners, barras de progreso, skeleton screens o cambios de estado hover/focus).</w:t>
            </w:r>
          </w:p>
          <w:p>
            <w:pPr>
              <w:spacing w:before="0" w:after="20" w:line="276" w:lineRule="auto"/>
            </w:pPr>
            <w:r>
              <w:rPr>
                <w:b/>
                <w:color w:val="0284C7"/>
                <w:sz w:val="16"/>
              </w:rPr>
              <w:t xml:space="preserve">• </w:t>
            </w:r>
            <w:r>
              <w:rPr>
                <w:color w:val="334155"/>
                <w:sz w:val="16"/>
              </w:rPr>
              <w:t>Preservación del estado: La interfaz preserva los campos y el estado de la interacción si ocurre un error temporal de red o recarga accidental de página.</w:t>
            </w:r>
          </w:p>
          <w:p>
            <w:pPr>
              <w:spacing w:before="60" w:after="20" w:line="276" w:lineRule="auto"/>
            </w:pPr>
            <w:r>
              <w:rPr>
                <w:b/>
                <w:color w:val="1E3A8A"/>
                <w:sz w:val="15"/>
              </w:rPr>
              <w:t xml:space="preserve">Ejemplo en Frontend: </w:t>
            </w:r>
            <w:r>
              <w:rPr>
                <w:i/>
                <w:color w:val="0F172A"/>
                <w:sz w:val="15"/>
              </w:rPr>
              <w:t>Al pulsar "Calificar Ejercicio", el botón se inhabilita mostrando un spinner animado con el texto "Verificando solución..." para evitar envíos duplicados; si el estudiante pulsa F5 por error, los campos de texto conservan el contenido redactado en el almacenamiento local.</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Revisó: José (como usuario)</w:t>
              <w:br/>
              <w:t>Lo que vio: La entrega dice «Calificando…», el resultado y el dominio; los botones se leen bien.</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UX-07</w:t>
            </w:r>
          </w:p>
        </w:tc>
        <w:tc>
          <w:tcPr>
            <w:tcW w:type="dxa" w:w="2952"/>
            <w:shd w:fill="FFFFFF"/>
            <w:tcMar>
              <w:top w:w="70" w:type="dxa"/>
              <w:bottom w:w="70" w:type="dxa"/>
              <w:left w:w="70" w:type="dxa"/>
              <w:right w:w="70" w:type="dxa"/>
            </w:tcMar>
          </w:tcPr>
          <w:p>
            <w:pPr>
              <w:spacing w:before="0" w:after="40" w:line="276" w:lineRule="auto"/>
            </w:pPr>
            <w:r>
              <w:rPr>
                <w:b/>
                <w:color w:val="0F172A"/>
                <w:sz w:val="17"/>
              </w:rPr>
              <w:t>Accesibilidad Universal y Principios WCAG (POUR)</w:t>
              <w:br/>
            </w:r>
            <w:r>
              <w:rPr>
                <w:i/>
                <w:color w:val="64748B"/>
                <w:sz w:val="15"/>
              </w:rPr>
              <w:t>Ref: Pressman Cap. 12.8.2 ("Accessibility Guidelines"); W3C WCAG 2.1 (POUR)</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Perceptible: Relación de contraste cromático mínima de 4.5:1 para texto estándar y alternativas textuales descriptivas (atributos alt) en imágenes funcionales.</w:t>
            </w:r>
          </w:p>
          <w:p>
            <w:pPr>
              <w:spacing w:before="0" w:after="20" w:line="276" w:lineRule="auto"/>
            </w:pPr>
            <w:r>
              <w:rPr>
                <w:b/>
                <w:color w:val="0284C7"/>
                <w:sz w:val="16"/>
              </w:rPr>
              <w:t xml:space="preserve">• </w:t>
            </w:r>
            <w:r>
              <w:rPr>
                <w:color w:val="334155"/>
                <w:sz w:val="16"/>
              </w:rPr>
              <w:t>Operable: Navegabilidad íntegra mediante teclado (Tab, Shift+Tab, Enter, Espacio, Escape) con indicador de foco visual claramente delimitado (focus ring).</w:t>
            </w:r>
          </w:p>
          <w:p>
            <w:pPr>
              <w:spacing w:before="0" w:after="20" w:line="276" w:lineRule="auto"/>
            </w:pPr>
            <w:r>
              <w:rPr>
                <w:b/>
                <w:color w:val="0284C7"/>
                <w:sz w:val="16"/>
              </w:rPr>
              <w:t xml:space="preserve">• </w:t>
            </w:r>
            <w:r>
              <w:rPr>
                <w:color w:val="334155"/>
                <w:sz w:val="16"/>
              </w:rPr>
              <w:t>Comprensible y Robusto: Mensajes de error en línea (inline validation) con semántica HTML5 adecuada (&lt;nav&gt;, &lt;main&gt;, &lt;button&gt;) y compatibilidad con lectores de pantalla.</w:t>
            </w:r>
          </w:p>
          <w:p>
            <w:pPr>
              <w:spacing w:before="60" w:after="20" w:line="276" w:lineRule="auto"/>
            </w:pPr>
            <w:r>
              <w:rPr>
                <w:b/>
                <w:color w:val="1E3A8A"/>
                <w:sz w:val="15"/>
              </w:rPr>
              <w:t xml:space="preserve">Ejemplo en Frontend: </w:t>
            </w:r>
            <w:r>
              <w:rPr>
                <w:i/>
                <w:color w:val="0F172A"/>
                <w:sz w:val="15"/>
              </w:rPr>
              <w:t>Al navegar la aplicación usando exclusivamente la tecla Tab, cada botón resalta con un anillo de foco visible (`focus:ring-2 focus:ring-blue-600`), las auditorías automáticas de Lighthouse reportan &gt; 90 en Accesibilidad y los esquemas gráficos incluyen atributos alt descriptivos.</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Revisó: Jorge (como usuario)</w:t>
              <w:br/>
              <w:t>Lo que vio: El foco se ve siempre y todo se usa solo con Tab y Enter.</w:t>
            </w:r>
          </w:p>
        </w:tc>
      </w:tr>
      <w:tr>
        <w:tc>
          <w:tcPr>
            <w:tcW w:type="dxa" w:w="792"/>
            <w:shd w:fill="FFFFFF"/>
            <w:tcMar>
              <w:top w:w="70" w:type="dxa"/>
              <w:bottom w:w="70" w:type="dxa"/>
              <w:left w:w="50" w:type="dxa"/>
              <w:right w:w="50" w:type="dxa"/>
            </w:tcMar>
          </w:tcPr>
          <w:p>
            <w:r>
              <w:t>UX-08</w:t>
            </w:r>
          </w:p>
        </w:tc>
        <w:tc>
          <w:tcPr>
            <w:tcW w:type="dxa" w:w="2952"/>
            <w:shd w:fill="FFFFFF"/>
            <w:tcMar>
              <w:top w:w="70" w:type="dxa"/>
              <w:bottom w:w="70" w:type="dxa"/>
              <w:left w:w="70" w:type="dxa"/>
              <w:right w:w="70" w:type="dxa"/>
            </w:tcMar>
          </w:tcPr>
          <w:p>
            <w:r>
              <w:t>Prototipado Validado y Métricas de Usabilidad</w:t>
              <w:br/>
              <w:t>Ref: Pressman Cap. 12.5 y Cap. 12.7; Knapp et al. (2016); Nielsen (1993)</w:t>
              <w:br/>
              <w:t>• Prototipado Interactivo: Evidencia de prototipos elaborados previamente a la codificación (ej. Figma).</w:t>
              <w:br/>
              <w:t>• Pruebas con Usuarios: Aplicación de la regla de los 5 usuarios (Nielsen).</w:t>
              <w:br/>
              <w:t>• Medición de Usabilidad: Cálculo del índice SUS (System Usability Scale).</w:t>
            </w:r>
          </w:p>
        </w:tc>
        <w:tc>
          <w:tcPr>
            <w:tcW w:type="dxa" w:w="3744"/>
            <w:shd w:fill="FFFFFF"/>
            <w:tcMar>
              <w:top w:w="70" w:type="dxa"/>
              <w:bottom w:w="70" w:type="dxa"/>
              <w:left w:w="80" w:type="dxa"/>
              <w:right w:w="80" w:type="dxa"/>
            </w:tcMar>
          </w:tcPr>
          <w:p>
            <w:r>
              <w:t>Ejemplo en Frontend: En el repositorio se incluye una carpeta /docs/ux/ con los wireframes iniciales aprobados y un documento con los resultados de las pruebas de usabilidad realizadas con 5 estudiantes de muestra, justificando los ajustes finales en la UI.</w:t>
            </w:r>
          </w:p>
        </w:tc>
        <w:tc>
          <w:tcPr>
            <w:tcW w:type="dxa" w:w="1224"/>
            <w:shd w:fill="FFFFFF"/>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r>
              <w:t>Pts: 2 / 2</w:t>
              <w:br/>
              <w:t>Revisó: Jeider (como usuario)</w:t>
              <w:br/>
              <w:t>Lo que vio: La encuesta SUS está dentro de STIRE y se calcula sola.</w:t>
              <w:br/>
              <w:t>Qué se hizo: SUS del equipo: 81,5 con 5 respuestas (bueno).</w:t>
            </w:r>
          </w:p>
        </w:tc>
      </w:tr>
    </w:tbl>
    <w:p>
      <w:pPr>
        <w:spacing w:before="0" w:after="80" w:line="276" w:lineRule="auto"/>
      </w:pPr>
    </w:p>
    <w:p>
      <w:pPr>
        <w:spacing w:before="160" w:after="60" w:line="276" w:lineRule="auto"/>
      </w:pPr>
      <w:r>
        <w:rPr>
          <w:rFonts w:ascii="Arial" w:hAnsi="Arial"/>
          <w:b/>
          <w:color w:val="0F172A"/>
          <w:sz w:val="22"/>
        </w:rPr>
        <w:t>4. CAPÍTULO 13: DISEÑO PARA LA MOVILIDAD (MOBILE UI/UX)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87"/>
        <w:gridCol w:w="1987"/>
        <w:gridCol w:w="1987"/>
        <w:gridCol w:w="1987"/>
        <w:gridCol w:w="1987"/>
      </w:tblGrid>
      <w:tr>
        <w:tc>
          <w:tcPr>
            <w:tcW w:type="dxa" w:w="792"/>
            <w:shd w:fill="0F172A"/>
            <w:tcMar>
              <w:top w:w="80" w:type="dxa"/>
              <w:bottom w:w="80" w:type="dxa"/>
              <w:left w:w="90" w:type="dxa"/>
              <w:right w:w="90" w:type="dxa"/>
            </w:tcMar>
          </w:tcPr>
          <w:p>
            <w:pPr>
              <w:spacing w:before="0" w:after="0" w:line="276" w:lineRule="auto"/>
              <w:jc w:val="center"/>
            </w:pPr>
            <w:r>
              <w:rPr>
                <w:rFonts w:ascii="Arial" w:hAnsi="Arial"/>
                <w:b/>
                <w:color w:val="FFFFFF"/>
                <w:sz w:val="17"/>
              </w:rPr>
              <w:t>ID</w:t>
            </w:r>
          </w:p>
        </w:tc>
        <w:tc>
          <w:tcPr>
            <w:tcW w:type="dxa" w:w="2952"/>
            <w:shd w:fill="0F172A"/>
            <w:tcMar>
              <w:top w:w="80" w:type="dxa"/>
              <w:bottom w:w="80" w:type="dxa"/>
              <w:left w:w="90" w:type="dxa"/>
              <w:right w:w="90" w:type="dxa"/>
            </w:tcMar>
          </w:tcPr>
          <w:p>
            <w:pPr>
              <w:spacing w:before="0" w:after="0" w:line="276" w:lineRule="auto"/>
              <w:jc w:val="center"/>
            </w:pPr>
            <w:r>
              <w:rPr>
                <w:rFonts w:ascii="Arial" w:hAnsi="Arial"/>
                <w:b/>
                <w:color w:val="FFFFFF"/>
                <w:sz w:val="17"/>
              </w:rPr>
              <w:t>Criterio y Fundamento Teórico</w:t>
            </w:r>
          </w:p>
        </w:tc>
        <w:tc>
          <w:tcPr>
            <w:tcW w:type="dxa" w:w="3744"/>
            <w:shd w:fill="0F172A"/>
            <w:tcMar>
              <w:top w:w="80" w:type="dxa"/>
              <w:bottom w:w="80" w:type="dxa"/>
              <w:left w:w="90" w:type="dxa"/>
              <w:right w:w="90" w:type="dxa"/>
            </w:tcMar>
          </w:tcPr>
          <w:p>
            <w:pPr>
              <w:spacing w:before="0" w:after="0" w:line="276" w:lineRule="auto"/>
              <w:jc w:val="center"/>
            </w:pPr>
            <w:r>
              <w:rPr>
                <w:rFonts w:ascii="Arial" w:hAnsi="Arial"/>
                <w:b/>
                <w:color w:val="FFFFFF"/>
                <w:sz w:val="17"/>
              </w:rPr>
              <w:t>Evidencia Observable en el Frontend</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Valoración</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Puntos y Notas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MOB-01</w:t>
            </w:r>
          </w:p>
        </w:tc>
        <w:tc>
          <w:tcPr>
            <w:tcW w:type="dxa" w:w="2952"/>
            <w:shd w:fill="FFFFFF"/>
            <w:tcMar>
              <w:top w:w="70" w:type="dxa"/>
              <w:bottom w:w="70" w:type="dxa"/>
              <w:left w:w="70" w:type="dxa"/>
              <w:right w:w="70" w:type="dxa"/>
            </w:tcMar>
          </w:tcPr>
          <w:p>
            <w:pPr>
              <w:spacing w:before="0" w:after="40" w:line="276" w:lineRule="auto"/>
            </w:pPr>
            <w:r>
              <w:rPr>
                <w:b/>
                <w:color w:val="0F172A"/>
                <w:sz w:val="17"/>
              </w:rPr>
              <w:t>Pirámide de Diseño Móvil / Web (Pressman &amp; Lowe)</w:t>
              <w:br/>
            </w:r>
            <w:r>
              <w:rPr>
                <w:i/>
                <w:color w:val="64748B"/>
                <w:sz w:val="15"/>
              </w:rPr>
              <w:t>Ref: Pressman Cap. 13.5 ("Web Design Pyramid", Pressman &amp; Lowe [Pre08])</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Simplicidad radical del contenido: Eliminación de sobrecarga visual y clutter; priorización estricta de la información esencial para pantallas pequeñas.</w:t>
            </w:r>
          </w:p>
          <w:p>
            <w:pPr>
              <w:spacing w:before="0" w:after="20" w:line="276" w:lineRule="auto"/>
            </w:pPr>
            <w:r>
              <w:rPr>
                <w:b/>
                <w:color w:val="0284C7"/>
                <w:sz w:val="16"/>
              </w:rPr>
              <w:t xml:space="preserve">• </w:t>
            </w:r>
            <w:r>
              <w:rPr>
                <w:color w:val="334155"/>
                <w:sz w:val="16"/>
              </w:rPr>
              <w:t>Unidades Semánticas de Navegación (NSU): Información fragmentada en bloques semánticos atómicos que facilitan la lectura rápida y concentrada.</w:t>
            </w:r>
          </w:p>
          <w:p>
            <w:pPr>
              <w:spacing w:before="0" w:after="20" w:line="276" w:lineRule="auto"/>
            </w:pPr>
            <w:r>
              <w:rPr>
                <w:b/>
                <w:color w:val="0284C7"/>
                <w:sz w:val="16"/>
              </w:rPr>
              <w:t xml:space="preserve">• </w:t>
            </w:r>
            <w:r>
              <w:rPr>
                <w:color w:val="334155"/>
                <w:sz w:val="16"/>
              </w:rPr>
              <w:t>Diseño responsivo fluido: Adaptación natural a smartphones, tablets y escritorio mediante Media Queries, Flexbox o CSS Grid, sin desplazamiento horizontal.</w:t>
            </w:r>
          </w:p>
          <w:p>
            <w:pPr>
              <w:spacing w:before="60" w:after="20" w:line="276" w:lineRule="auto"/>
            </w:pPr>
            <w:r>
              <w:rPr>
                <w:b/>
                <w:color w:val="1E3A8A"/>
                <w:sz w:val="15"/>
              </w:rPr>
              <w:t xml:space="preserve">Ejemplo en Frontend: </w:t>
            </w:r>
            <w:r>
              <w:rPr>
                <w:i/>
                <w:color w:val="0F172A"/>
                <w:sz w:val="15"/>
              </w:rPr>
              <w:t>En pantallas móviles de 375px a 414px, el diseño colapsa de 3 columnas a 1 sola columna vertical con espaciado amplio, la barra lateral se transforma en menú deslizable (drawer) y los párrafos no superan 60 caracteres por línea para facilitar la lectura.</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Revisó: José (como usuario) · nota inicial CP, corregido y confirmado el 17/10</w:t>
              <w:br/>
              <w:t>Lo que vio: Diagramas, pruebas de escritorio y el chat del Tutor obligaban a moverse de lado en el celular.</w:t>
              <w:br/>
              <w:t>Qué se hizo: Un código largo ya no mueve el chat de lado.</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MOB-02</w:t>
            </w:r>
          </w:p>
        </w:tc>
        <w:tc>
          <w:tcPr>
            <w:tcW w:type="dxa" w:w="2952"/>
            <w:shd w:fill="F8FAFC"/>
            <w:tcMar>
              <w:top w:w="70" w:type="dxa"/>
              <w:bottom w:w="70" w:type="dxa"/>
              <w:left w:w="70" w:type="dxa"/>
              <w:right w:w="70" w:type="dxa"/>
            </w:tcMar>
          </w:tcPr>
          <w:p>
            <w:r>
              <w:t>Ergonomía Táctil y Zona del Pulgar (Thumb Zone)</w:t>
              <w:br/>
              <w:t>Ref: Pressman Cap. 13.2.1, Cap. 13.8 (Hoober &amp; Berkman [Hoo12]; Schumacher [Sch09]) y Cap. 14.7 (Patrones Móviles)</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Zona natural del pulgar (Thumb Zone): Botones y controles de interacción principal situados en el tercio inferior de la pantalla móvil.</w:t>
            </w:r>
          </w:p>
          <w:p>
            <w:pPr>
              <w:spacing w:before="0" w:after="20" w:line="276" w:lineRule="auto"/>
            </w:pPr>
            <w:r>
              <w:rPr>
                <w:b/>
                <w:color w:val="0284C7"/>
                <w:sz w:val="16"/>
              </w:rPr>
              <w:t xml:space="preserve">• </w:t>
            </w:r>
            <w:r>
              <w:rPr>
                <w:color w:val="334155"/>
                <w:sz w:val="16"/>
              </w:rPr>
              <w:t>Dimensiones mínimas de toque (Touch Targets): Áreas de contacto interactivas con un tamaño de al menos 48x48 px/dp y padding suficiente.</w:t>
            </w:r>
          </w:p>
          <w:p>
            <w:pPr>
              <w:spacing w:before="0" w:after="20" w:line="276" w:lineRule="auto"/>
            </w:pPr>
            <w:r>
              <w:rPr>
                <w:b/>
                <w:color w:val="0284C7"/>
                <w:sz w:val="16"/>
              </w:rPr>
              <w:t xml:space="preserve">• </w:t>
            </w:r>
            <w:r>
              <w:rPr>
                <w:color w:val="334155"/>
                <w:sz w:val="16"/>
              </w:rPr>
              <w:t>Espaciado de seguridad: Separación preventiva de al menos 8-12 px entre controles adyacentes para prevenir toques involuntarios en acciones críticas.</w:t>
            </w:r>
          </w:p>
          <w:p>
            <w:pPr>
              <w:spacing w:before="60" w:after="20" w:line="276" w:lineRule="auto"/>
            </w:pPr>
            <w:r>
              <w:rPr>
                <w:b/>
                <w:color w:val="1E3A8A"/>
                <w:sz w:val="15"/>
              </w:rPr>
              <w:t xml:space="preserve">Ejemplo en Frontend: </w:t>
            </w:r>
            <w:r>
              <w:rPr>
                <w:i/>
                <w:color w:val="0F172A"/>
                <w:sz w:val="15"/>
              </w:rPr>
              <w:t>Los controles de navegación "Siguiente Lección" y "Solicitar Pista" se ubican en una barra inferior fija (Bottom Bar) de fácil pulsación con una mano, y ningún botón táctil mide menos de 48px de alto, evitando toques accidentales en el botón "Salir".</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Revisó: José (como usuario) · nota inicial CP, corregido y confirmado el 17/10</w:t>
              <w:br/>
              <w:t>Lo que vio: El botón del Tutor tapaba opciones y acciones del pie en pantallas bajas.</w:t>
              <w:br/>
              <w:t>Qué se hizo: Espacio abajo para el Tutor y botón en ícono en pantallas de menos de 380 px.</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MOB-03</w:t>
            </w:r>
          </w:p>
        </w:tc>
        <w:tc>
          <w:tcPr>
            <w:tcW w:type="dxa" w:w="2952"/>
            <w:shd w:fill="FFFFFF"/>
            <w:tcMar>
              <w:top w:w="70" w:type="dxa"/>
              <w:bottom w:w="70" w:type="dxa"/>
              <w:left w:w="70" w:type="dxa"/>
              <w:right w:w="70" w:type="dxa"/>
            </w:tcMar>
          </w:tcPr>
          <w:p>
            <w:pPr>
              <w:spacing w:before="0" w:after="40" w:line="276" w:lineRule="auto"/>
            </w:pPr>
            <w:r>
              <w:rPr>
                <w:b/>
                <w:color w:val="0F172A"/>
                <w:sz w:val="17"/>
              </w:rPr>
              <w:t>Sensibilidad al Contexto y Adaptabilidad (Context-Aware Apps)</w:t>
              <w:br/>
            </w:r>
            <w:r>
              <w:rPr>
                <w:i/>
                <w:color w:val="64748B"/>
                <w:sz w:val="15"/>
              </w:rPr>
              <w:t>Ref: Pressman Cap. 13.4 ("Context-Aware Apps") y Cap. 13.1.2 ("Technical Considerations")</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Adaptación a orientación del dispositivo: Reorganización limpia de la interfaz al alternar entre modo vertical (portrait) y horizontal (landscape) sin reiniciar el flujo.</w:t>
            </w:r>
          </w:p>
          <w:p>
            <w:pPr>
              <w:spacing w:before="0" w:after="20" w:line="276" w:lineRule="auto"/>
            </w:pPr>
            <w:r>
              <w:rPr>
                <w:b/>
                <w:color w:val="0284C7"/>
                <w:sz w:val="16"/>
              </w:rPr>
              <w:t xml:space="preserve">• </w:t>
            </w:r>
            <w:r>
              <w:rPr>
                <w:color w:val="334155"/>
                <w:sz w:val="16"/>
              </w:rPr>
              <w:t>Sensibilidad lumínica y ambiental: Compatibilidad con modo oscuro/claro (prefers-color-scheme) para entornos de baja luminosidad.</w:t>
            </w:r>
          </w:p>
          <w:p>
            <w:pPr>
              <w:spacing w:before="0" w:after="20" w:line="276" w:lineRule="auto"/>
            </w:pPr>
            <w:r>
              <w:rPr>
                <w:b/>
                <w:color w:val="0284C7"/>
                <w:sz w:val="16"/>
              </w:rPr>
              <w:t xml:space="preserve">• </w:t>
            </w:r>
            <w:r>
              <w:rPr>
                <w:color w:val="334155"/>
                <w:sz w:val="16"/>
              </w:rPr>
              <w:t>Entrada contextual optimizada: Formularios que invocan automáticamente el teclado virtual especializado según el tipo de dato (numérico, email, fecha).</w:t>
            </w:r>
          </w:p>
          <w:p>
            <w:pPr>
              <w:spacing w:before="60" w:after="20" w:line="276" w:lineRule="auto"/>
            </w:pPr>
            <w:r>
              <w:rPr>
                <w:b/>
                <w:color w:val="1E3A8A"/>
                <w:sz w:val="15"/>
              </w:rPr>
              <w:t xml:space="preserve">Ejemplo en Frontend: </w:t>
            </w:r>
            <w:r>
              <w:rPr>
                <w:i/>
                <w:color w:val="0F172A"/>
                <w:sz w:val="15"/>
              </w:rPr>
              <w:t>Al hacer foco en el campo de código de matrícula, el móvil abre automáticamente el teclado numérico (`inputmode="numeric"`); y al girar la pantalla a horizontal, el editor y la consola de resultados se reorganizan en dos columnas contiguas automáticamente.</w:t>
            </w:r>
          </w:p>
        </w:tc>
        <w:tc>
          <w:tcPr>
            <w:tcW w:type="dxa" w:w="1224"/>
            <w:shd w:fill="FFFFFF"/>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Revisó: José (como usuario)</w:t>
              <w:br/>
              <w:t>Lo que vio: «Apariencia» se encuentra a la primera; oscuro y alto contraste funcionan.</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MOB-04</w:t>
            </w:r>
          </w:p>
        </w:tc>
        <w:tc>
          <w:tcPr>
            <w:tcW w:type="dxa" w:w="2952"/>
            <w:shd w:fill="F8FAFC"/>
            <w:tcMar>
              <w:top w:w="70" w:type="dxa"/>
              <w:bottom w:w="70" w:type="dxa"/>
              <w:left w:w="70" w:type="dxa"/>
              <w:right w:w="70" w:type="dxa"/>
            </w:tcMar>
          </w:tcPr>
          <w:p>
            <w:pPr>
              <w:spacing w:before="0" w:after="40" w:line="276" w:lineRule="auto"/>
            </w:pPr>
            <w:r>
              <w:rPr>
                <w:b/>
                <w:color w:val="0F172A"/>
                <w:sz w:val="17"/>
              </w:rPr>
              <w:t>Resiliencia de Red y Rendimiento en Movilidad</w:t>
              <w:br/>
            </w:r>
            <w:r>
              <w:rPr>
                <w:i/>
                <w:color w:val="64748B"/>
                <w:sz w:val="15"/>
              </w:rPr>
              <w:t>Ref: Pressman Cap. 13.1.2 ("Technical Considerations") y Cap. 13.8 ("Mobility Design Best Practices")</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Manejo elegante offline / conexión lenta: Notificación transparente y no invasiva ante pérdidas de red, permitiendo continuar tareas locales.</w:t>
            </w:r>
          </w:p>
          <w:p>
            <w:pPr>
              <w:spacing w:before="0" w:after="20" w:line="276" w:lineRule="auto"/>
            </w:pPr>
            <w:r>
              <w:rPr>
                <w:b/>
                <w:color w:val="0284C7"/>
                <w:sz w:val="16"/>
              </w:rPr>
              <w:t xml:space="preserve">• </w:t>
            </w:r>
            <w:r>
              <w:rPr>
                <w:color w:val="334155"/>
                <w:sz w:val="16"/>
              </w:rPr>
              <w:t>Optimización de recursos multimedia: Imágenes en formatos eficientes (WebP, SVG) con carga diferida (lazy loading) para reducir consumo de datos móviles.</w:t>
            </w:r>
          </w:p>
          <w:p>
            <w:pPr>
              <w:spacing w:before="0" w:after="20" w:line="276" w:lineRule="auto"/>
            </w:pPr>
            <w:r>
              <w:rPr>
                <w:b/>
                <w:color w:val="0284C7"/>
                <w:sz w:val="16"/>
              </w:rPr>
              <w:t xml:space="preserve">• </w:t>
            </w:r>
            <w:r>
              <w:rPr>
                <w:color w:val="334155"/>
                <w:sz w:val="16"/>
              </w:rPr>
              <w:t>Fluidez e hilo principal despejado: Operaciones asíncronas no bloqueantes que impiden la congelación del hilo de renderizado (UI Thread).</w:t>
            </w:r>
          </w:p>
          <w:p>
            <w:pPr>
              <w:spacing w:before="60" w:after="20" w:line="276" w:lineRule="auto"/>
            </w:pPr>
            <w:r>
              <w:rPr>
                <w:b/>
                <w:color w:val="1E3A8A"/>
                <w:sz w:val="15"/>
              </w:rPr>
              <w:t xml:space="preserve">Ejemplo en Frontend: </w:t>
            </w:r>
            <w:r>
              <w:rPr>
                <w:i/>
                <w:color w:val="0F172A"/>
                <w:sz w:val="15"/>
              </w:rPr>
              <w:t>Al simular desconexión en DevTools ("Network: Offline"), aparece un aviso flotante sutil: "Modo sin conexión activado; tus avances se sincronizarán automáticamente al reconectar", permitiendo que el estudiante continúe leyendo su guía sin bloqueos de pantalla.</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Revisó: Jorge (como usuario)</w:t>
              <w:br/>
              <w:t>Lo que vio: Sin red avisa sin estorbar, guarda el código y el Tutor ofrece «Reintentar».</w:t>
            </w:r>
          </w:p>
        </w:tc>
      </w:tr>
    </w:tbl>
    <w:p>
      <w:pPr>
        <w:spacing w:before="0" w:after="80" w:line="276" w:lineRule="auto"/>
      </w:pPr>
    </w:p>
    <w:p>
      <w:pPr>
        <w:spacing w:before="160" w:after="60" w:line="276" w:lineRule="auto"/>
      </w:pPr>
      <w:r>
        <w:rPr>
          <w:rFonts w:ascii="Arial" w:hAnsi="Arial"/>
          <w:b/>
          <w:color w:val="0F172A"/>
          <w:sz w:val="22"/>
        </w:rPr>
        <w:t>5. CAPÍTULO 14: DISEÑO BASADO EN PATRONES (PATTERN-BASED UI)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87"/>
        <w:gridCol w:w="1987"/>
        <w:gridCol w:w="1987"/>
        <w:gridCol w:w="1987"/>
        <w:gridCol w:w="1987"/>
      </w:tblGrid>
      <w:tr>
        <w:tc>
          <w:tcPr>
            <w:tcW w:type="dxa" w:w="792"/>
            <w:shd w:fill="0F172A"/>
            <w:tcMar>
              <w:top w:w="80" w:type="dxa"/>
              <w:bottom w:w="80" w:type="dxa"/>
              <w:left w:w="90" w:type="dxa"/>
              <w:right w:w="90" w:type="dxa"/>
            </w:tcMar>
          </w:tcPr>
          <w:p>
            <w:pPr>
              <w:spacing w:before="0" w:after="0" w:line="276" w:lineRule="auto"/>
              <w:jc w:val="center"/>
            </w:pPr>
            <w:r>
              <w:rPr>
                <w:rFonts w:ascii="Arial" w:hAnsi="Arial"/>
                <w:b/>
                <w:color w:val="FFFFFF"/>
                <w:sz w:val="17"/>
              </w:rPr>
              <w:t>ID</w:t>
            </w:r>
          </w:p>
        </w:tc>
        <w:tc>
          <w:tcPr>
            <w:tcW w:type="dxa" w:w="2952"/>
            <w:shd w:fill="0F172A"/>
            <w:tcMar>
              <w:top w:w="80" w:type="dxa"/>
              <w:bottom w:w="80" w:type="dxa"/>
              <w:left w:w="90" w:type="dxa"/>
              <w:right w:w="90" w:type="dxa"/>
            </w:tcMar>
          </w:tcPr>
          <w:p>
            <w:pPr>
              <w:spacing w:before="0" w:after="0" w:line="276" w:lineRule="auto"/>
              <w:jc w:val="center"/>
            </w:pPr>
            <w:r>
              <w:rPr>
                <w:rFonts w:ascii="Arial" w:hAnsi="Arial"/>
                <w:b/>
                <w:color w:val="FFFFFF"/>
                <w:sz w:val="17"/>
              </w:rPr>
              <w:t>Criterio y Fundamento Teórico</w:t>
            </w:r>
          </w:p>
        </w:tc>
        <w:tc>
          <w:tcPr>
            <w:tcW w:type="dxa" w:w="3744"/>
            <w:shd w:fill="0F172A"/>
            <w:tcMar>
              <w:top w:w="80" w:type="dxa"/>
              <w:bottom w:w="80" w:type="dxa"/>
              <w:left w:w="90" w:type="dxa"/>
              <w:right w:w="90" w:type="dxa"/>
            </w:tcMar>
          </w:tcPr>
          <w:p>
            <w:pPr>
              <w:spacing w:before="0" w:after="0" w:line="276" w:lineRule="auto"/>
              <w:jc w:val="center"/>
            </w:pPr>
            <w:r>
              <w:rPr>
                <w:rFonts w:ascii="Arial" w:hAnsi="Arial"/>
                <w:b/>
                <w:color w:val="FFFFFF"/>
                <w:sz w:val="17"/>
              </w:rPr>
              <w:t>Evidencia Observable en el Frontend</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Valoración</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Puntos y Notas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PAT-01</w:t>
            </w:r>
          </w:p>
        </w:tc>
        <w:tc>
          <w:tcPr>
            <w:tcW w:type="dxa" w:w="2952"/>
            <w:shd w:fill="FFFFFF"/>
            <w:tcMar>
              <w:top w:w="70" w:type="dxa"/>
              <w:bottom w:w="70" w:type="dxa"/>
              <w:left w:w="70" w:type="dxa"/>
              <w:right w:w="70" w:type="dxa"/>
            </w:tcMar>
          </w:tcPr>
          <w:p>
            <w:pPr>
              <w:spacing w:before="0" w:after="40" w:line="276" w:lineRule="auto"/>
            </w:pPr>
            <w:r>
              <w:rPr>
                <w:b/>
                <w:color w:val="0F172A"/>
                <w:sz w:val="17"/>
              </w:rPr>
              <w:t>Patrones Arquitectónicos y de Presentación (MVC / Componentes)</w:t>
              <w:br/>
            </w:r>
            <w:r>
              <w:rPr>
                <w:i/>
                <w:color w:val="64748B"/>
                <w:sz w:val="15"/>
              </w:rPr>
              <w:t>Ref: Pressman Cap. 14.1.1 (Gamma et al. [Gam95]) y Cap. 14.3 ("Architectural Patterns - MVC")</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Separación estricta de responsabilidades: Desacoplamiento entre componentes de presentación visual, lógica de control y acceso a datos.</w:t>
            </w:r>
          </w:p>
          <w:p>
            <w:pPr>
              <w:spacing w:before="0" w:after="20" w:line="276" w:lineRule="auto"/>
            </w:pPr>
            <w:r>
              <w:rPr>
                <w:b/>
                <w:color w:val="0284C7"/>
                <w:sz w:val="16"/>
              </w:rPr>
              <w:t xml:space="preserve">• </w:t>
            </w:r>
            <w:r>
              <w:rPr>
                <w:color w:val="334155"/>
                <w:sz w:val="16"/>
              </w:rPr>
              <w:t>Arquitectura de componentes modulares: Interfaz construida a partir de bloques reutilizables, independientes y con bajo acoplamiento.</w:t>
            </w:r>
          </w:p>
          <w:p>
            <w:pPr>
              <w:spacing w:before="0" w:after="20" w:line="276" w:lineRule="auto"/>
            </w:pPr>
            <w:r>
              <w:rPr>
                <w:b/>
                <w:color w:val="0284C7"/>
                <w:sz w:val="16"/>
              </w:rPr>
              <w:t xml:space="preserve">• </w:t>
            </w:r>
            <w:r>
              <w:rPr>
                <w:color w:val="334155"/>
                <w:sz w:val="16"/>
              </w:rPr>
              <w:t>Gestión de estado predecible: El flujo de datos entre la interfaz y el estado global es unidireccional y fácil de auditar.</w:t>
            </w:r>
          </w:p>
          <w:p>
            <w:pPr>
              <w:spacing w:before="60" w:after="20" w:line="276" w:lineRule="auto"/>
            </w:pPr>
            <w:r>
              <w:rPr>
                <w:b/>
                <w:color w:val="1E3A8A"/>
                <w:sz w:val="15"/>
              </w:rPr>
              <w:t xml:space="preserve">Ejemplo en Frontend: </w:t>
            </w:r>
            <w:r>
              <w:rPr>
                <w:i/>
                <w:color w:val="0F172A"/>
                <w:sz w:val="15"/>
              </w:rPr>
              <w:t>Estructura de código ordenada donde los componentes visuales (`StudentCard.jsx`, `ModalDialog.vue`) se ubican en `/components`, mientras que la lógica de peticiones y estado se gestiona de forma aislada en `/services` o `/store`, sin llamadas a base de datos dentro de la vista.</w:t>
            </w:r>
          </w:p>
        </w:tc>
        <w:tc>
          <w:tcPr>
            <w:tcW w:type="dxa" w:w="1224"/>
            <w:shd w:fill="FFFFFF"/>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Revisó: Jeider (como usuario)</w:t>
              <w:br/>
              <w:t>Lo que vio: Las páginas no llaman a la API: lo hacen los composables.</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PAT-02</w:t>
            </w:r>
          </w:p>
        </w:tc>
        <w:tc>
          <w:tcPr>
            <w:tcW w:type="dxa" w:w="2952"/>
            <w:shd w:fill="F8FAFC"/>
            <w:tcMar>
              <w:top w:w="70" w:type="dxa"/>
              <w:bottom w:w="70" w:type="dxa"/>
              <w:left w:w="70" w:type="dxa"/>
              <w:right w:w="70" w:type="dxa"/>
            </w:tcMar>
          </w:tcPr>
          <w:p>
            <w:pPr>
              <w:spacing w:before="0" w:after="40" w:line="276" w:lineRule="auto"/>
            </w:pPr>
            <w:r>
              <w:rPr>
                <w:b/>
                <w:color w:val="0F172A"/>
                <w:sz w:val="17"/>
              </w:rPr>
              <w:t>Patrones de Navegación de Interfaz (Tidwell &amp; van Welie)</w:t>
              <w:br/>
            </w:r>
            <w:r>
              <w:rPr>
                <w:i/>
                <w:color w:val="64748B"/>
                <w:sz w:val="15"/>
              </w:rPr>
              <w:t>Ref: Pressman Cap. 14.6 ("User Interface Design Patterns"); Tidwell [Tid11] y van Welie [Wel01]</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Patrones canónicos de navegación: Uso adecuado de Pestañas (Tabs) para vistas paralelas, Migas de Pan (Breadcrumbs) para jerarquías y Menú Lateral (Drawer) para navegación principal.</w:t>
            </w:r>
          </w:p>
          <w:p>
            <w:pPr>
              <w:spacing w:before="0" w:after="20" w:line="276" w:lineRule="auto"/>
            </w:pPr>
            <w:r>
              <w:rPr>
                <w:b/>
                <w:color w:val="0284C7"/>
                <w:sz w:val="16"/>
              </w:rPr>
              <w:t xml:space="preserve">• </w:t>
            </w:r>
            <w:r>
              <w:rPr>
                <w:color w:val="334155"/>
                <w:sz w:val="16"/>
              </w:rPr>
              <w:t>Localización espacial permanente: El usuario siempre sabe dónde se encuentra dentro del mapa del sitio mediante estados activos resaltados en los menús.</w:t>
            </w:r>
          </w:p>
          <w:p>
            <w:pPr>
              <w:spacing w:before="0" w:after="20" w:line="276" w:lineRule="auto"/>
            </w:pPr>
            <w:r>
              <w:rPr>
                <w:b/>
                <w:color w:val="0284C7"/>
                <w:sz w:val="16"/>
              </w:rPr>
              <w:t xml:space="preserve">• </w:t>
            </w:r>
            <w:r>
              <w:rPr>
                <w:color w:val="334155"/>
                <w:sz w:val="16"/>
              </w:rPr>
              <w:t>Paginación o scroll estructurado: Listados extensos gestionados mediante paginación clara o scroll continuo con indicador de fin de contenido.</w:t>
            </w:r>
          </w:p>
          <w:p>
            <w:pPr>
              <w:spacing w:before="60" w:after="20" w:line="276" w:lineRule="auto"/>
            </w:pPr>
            <w:r>
              <w:rPr>
                <w:b/>
                <w:color w:val="1E3A8A"/>
                <w:sz w:val="15"/>
              </w:rPr>
              <w:t xml:space="preserve">Ejemplo en Frontend: </w:t>
            </w:r>
            <w:r>
              <w:rPr>
                <w:i/>
                <w:color w:val="0F172A"/>
                <w:sz w:val="15"/>
              </w:rPr>
              <w:t>En un módulo con subtemas, el estudiante observa una ruta superior de migas de pan "Inicio &gt; Programación &gt; Bucles &gt; Práctica 1", pestañas horizontales para alternar entre "Teoría", "Ejemplos" y "Retos", y el menú lateral resalta la lección activa con fondo azul.</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Revisó: Jorge (como usuario)</w:t>
              <w:br/>
              <w:t>Lo que vio: Migas completas, menú con la sección activa y menú lateral en el celular.</w:t>
              <w:br/>
              <w:t>Qué se hizo: Plan del curso compacto en la barra lateral, con un solo scroll.</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PAT-03</w:t>
            </w:r>
          </w:p>
        </w:tc>
        <w:tc>
          <w:tcPr>
            <w:tcW w:type="dxa" w:w="2952"/>
            <w:shd w:fill="FFFFFF"/>
            <w:tcMar>
              <w:top w:w="70" w:type="dxa"/>
              <w:bottom w:w="70" w:type="dxa"/>
              <w:left w:w="70" w:type="dxa"/>
              <w:right w:w="70" w:type="dxa"/>
            </w:tcMar>
          </w:tcPr>
          <w:p>
            <w:pPr>
              <w:spacing w:before="0" w:after="40" w:line="276" w:lineRule="auto"/>
            </w:pPr>
            <w:r>
              <w:rPr>
                <w:b/>
                <w:color w:val="0F172A"/>
                <w:sz w:val="17"/>
              </w:rPr>
              <w:t>Patrones de Entrada de Datos y Formularios</w:t>
              <w:br/>
            </w:r>
            <w:r>
              <w:rPr>
                <w:i/>
                <w:color w:val="64748B"/>
                <w:sz w:val="15"/>
              </w:rPr>
              <w:t>Ref: Pressman Cap. 14.6 ("User Interface Design Patterns - Input &amp; Forms"); Tidwell [Tid11]</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Validación reactiva en línea (Inline Validation): Comprobación de datos campo a campo en tiempo real, mostrando errores descriptivos bajo el campo involucrado.</w:t>
            </w:r>
          </w:p>
          <w:p>
            <w:pPr>
              <w:spacing w:before="0" w:after="20" w:line="276" w:lineRule="auto"/>
            </w:pPr>
            <w:r>
              <w:rPr>
                <w:b/>
                <w:color w:val="0284C7"/>
                <w:sz w:val="16"/>
              </w:rPr>
              <w:t xml:space="preserve">• </w:t>
            </w:r>
            <w:r>
              <w:rPr>
                <w:color w:val="334155"/>
                <w:sz w:val="16"/>
              </w:rPr>
              <w:t>Máscaras de entrada y formateo asistido: Controles especializados para fechas, teléfonos o códigos que facilitan el llenado correcto sin fricción.</w:t>
            </w:r>
          </w:p>
          <w:p>
            <w:pPr>
              <w:spacing w:before="0" w:after="20" w:line="276" w:lineRule="auto"/>
            </w:pPr>
            <w:r>
              <w:rPr>
                <w:b/>
                <w:color w:val="0284C7"/>
                <w:sz w:val="16"/>
              </w:rPr>
              <w:t xml:space="preserve">• </w:t>
            </w:r>
            <w:r>
              <w:rPr>
                <w:color w:val="334155"/>
                <w:sz w:val="16"/>
              </w:rPr>
              <w:t>Agrupación semántica de campos: Formularios extensos agrupados en tarjetas temáticas o acordeones colapsables.</w:t>
            </w:r>
          </w:p>
          <w:p>
            <w:pPr>
              <w:spacing w:before="60" w:after="20" w:line="276" w:lineRule="auto"/>
            </w:pPr>
            <w:r>
              <w:rPr>
                <w:b/>
                <w:color w:val="1E3A8A"/>
                <w:sz w:val="15"/>
              </w:rPr>
              <w:t xml:space="preserve">Ejemplo en Frontend: </w:t>
            </w:r>
            <w:r>
              <w:rPr>
                <w:i/>
                <w:color w:val="0F172A"/>
                <w:sz w:val="15"/>
              </w:rPr>
              <w:t>Al escribir un formato inválido en el campo de correo o código institucional, el borde del input se tiñe de rojo suave y aparece el mensaje explicativo justo debajo ("Ingrese un correo válido @unicordoba.edu.co"), desapareciendo de inmediato al corregirlo sin recargar la página.</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Revisó: Jorge (como usuario)</w:t>
              <w:br/>
              <w:t>Lo que vio: El error sale en rojo al enviar incompleto; sugirió pintar también el borde del campo que falta.</w:t>
              <w:br/>
              <w:t>Qué se hizo: El campo que falta se marca en rojo.</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PAT-04</w:t>
            </w:r>
          </w:p>
        </w:tc>
        <w:tc>
          <w:tcPr>
            <w:tcW w:type="dxa" w:w="2952"/>
            <w:shd w:fill="F8FAFC"/>
            <w:tcMar>
              <w:top w:w="70" w:type="dxa"/>
              <w:bottom w:w="70" w:type="dxa"/>
              <w:left w:w="70" w:type="dxa"/>
              <w:right w:w="70" w:type="dxa"/>
            </w:tcMar>
          </w:tcPr>
          <w:p>
            <w:pPr>
              <w:spacing w:before="0" w:after="40" w:line="276" w:lineRule="auto"/>
            </w:pPr>
            <w:r>
              <w:rPr>
                <w:b/>
                <w:color w:val="0F172A"/>
                <w:sz w:val="17"/>
              </w:rPr>
              <w:t>Prevención y Eliminación de Antipatrones de Diseño de UI</w:t>
              <w:br/>
            </w:r>
            <w:r>
              <w:rPr>
                <w:i/>
                <w:color w:val="64748B"/>
                <w:sz w:val="15"/>
              </w:rPr>
              <w:t>Ref: Pressman Cap. 14.5 ("Anti-Patterns"); William Brown et al. [Bro98]</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Ausencia de The Blob (Componente Dios): Ningún archivo de interfaz concentra excesiva lógica, estilos y peticiones en un solo bloque monolítico inmanejable.</w:t>
            </w:r>
          </w:p>
          <w:p>
            <w:pPr>
              <w:spacing w:before="0" w:after="20" w:line="276" w:lineRule="auto"/>
            </w:pPr>
            <w:r>
              <w:rPr>
                <w:b/>
                <w:color w:val="0284C7"/>
                <w:sz w:val="16"/>
              </w:rPr>
              <w:t xml:space="preserve">• </w:t>
            </w:r>
            <w:r>
              <w:rPr>
                <w:color w:val="334155"/>
                <w:sz w:val="16"/>
              </w:rPr>
              <w:t>Ausencia de Mystery Meat Navigation: Todos los iconos interactivos cuentan con texto explicativo visible o tooltip descriptivo inmediato.</w:t>
            </w:r>
          </w:p>
          <w:p>
            <w:pPr>
              <w:spacing w:before="0" w:after="20" w:line="276" w:lineRule="auto"/>
            </w:pPr>
            <w:r>
              <w:rPr>
                <w:b/>
                <w:color w:val="0284C7"/>
                <w:sz w:val="16"/>
              </w:rPr>
              <w:t xml:space="preserve">• </w:t>
            </w:r>
            <w:r>
              <w:rPr>
                <w:color w:val="334155"/>
                <w:sz w:val="16"/>
              </w:rPr>
              <w:t>Ausencia de Modal Hell y Spaghetti UI: No se superponen ventanas modales sobre otras modales ni existen enlaces desorientadores en bucle.</w:t>
            </w:r>
          </w:p>
          <w:p>
            <w:pPr>
              <w:spacing w:before="60" w:after="20" w:line="276" w:lineRule="auto"/>
            </w:pPr>
            <w:r>
              <w:rPr>
                <w:b/>
                <w:color w:val="1E3A8A"/>
                <w:sz w:val="15"/>
              </w:rPr>
              <w:t xml:space="preserve">Ejemplo en Frontend: </w:t>
            </w:r>
            <w:r>
              <w:rPr>
                <w:i/>
                <w:color w:val="0F172A"/>
                <w:sz w:val="15"/>
              </w:rPr>
              <w:t>Ningún componente supera las 300 líneas de código; todos los botones con iconos (ej. un engranaje de configuración) poseen texto visible o un tooltip descriptivo con `role="tooltip"`; y la aplicación jamás abre un diálogo modal encima de otro diálogo modal abierto.</w:t>
            </w:r>
          </w:p>
        </w:tc>
        <w:tc>
          <w:tcPr>
            <w:tcW w:type="dxa" w:w="1224"/>
            <w:shd w:fill="F8FAFC"/>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Revisó: Jeider (como usuario)</w:t>
              <w:br/>
              <w:t>Lo que vio: Pocos errores, pequeños; el código ya está dividido en componentes.</w:t>
            </w:r>
          </w:p>
        </w:tc>
      </w:tr>
    </w:tbl>
    <w:p>
      <w:pPr>
        <w:spacing w:before="0" w:after="80" w:line="276" w:lineRule="auto"/>
      </w:pPr>
    </w:p>
    <w:p>
      <w:pPr>
        <w:spacing w:before="160" w:after="60" w:line="276" w:lineRule="auto"/>
      </w:pPr>
      <w:r>
        <w:rPr>
          <w:rFonts w:ascii="Arial" w:hAnsi="Arial"/>
          <w:b/>
          <w:color w:val="0F172A"/>
          <w:sz w:val="22"/>
        </w:rPr>
        <w:t>CUADRO DE CONSOLIDACIÓN Y DICTAMEN DE EVALUACIÓN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4608"/>
            <w:shd w:fill="1E3A8A"/>
            <w:tcMar>
              <w:top w:w="80" w:type="dxa"/>
              <w:bottom w:w="80" w:type="dxa"/>
              <w:left w:w="100" w:type="dxa"/>
              <w:right w:w="100" w:type="dxa"/>
            </w:tcMar>
          </w:tcPr>
          <w:p>
            <w:pPr>
              <w:spacing w:before="0" w:after="0" w:line="276" w:lineRule="auto"/>
              <w:jc w:val="center"/>
            </w:pPr>
            <w:r>
              <w:rPr>
                <w:b/>
                <w:color w:val="FFFFFF"/>
                <w:sz w:val="17"/>
              </w:rPr>
              <w:t>Sección / Bloque Evaluado</w:t>
            </w:r>
          </w:p>
        </w:tc>
        <w:tc>
          <w:tcPr>
            <w:tcW w:type="dxa" w:w="1872"/>
            <w:shd w:fill="1E3A8A"/>
            <w:tcMar>
              <w:top w:w="80" w:type="dxa"/>
              <w:bottom w:w="80" w:type="dxa"/>
              <w:left w:w="100" w:type="dxa"/>
              <w:right w:w="100" w:type="dxa"/>
            </w:tcMar>
          </w:tcPr>
          <w:p>
            <w:pPr>
              <w:spacing w:before="0" w:after="0" w:line="276" w:lineRule="auto"/>
              <w:jc w:val="center"/>
            </w:pPr>
            <w:r>
              <w:rPr>
                <w:b/>
                <w:color w:val="FFFFFF"/>
                <w:sz w:val="17"/>
              </w:rPr>
              <w:t>Puntos Posibles</w:t>
            </w:r>
          </w:p>
        </w:tc>
        <w:tc>
          <w:tcPr>
            <w:tcW w:type="dxa" w:w="1728"/>
            <w:shd w:fill="1E3A8A"/>
            <w:tcMar>
              <w:top w:w="80" w:type="dxa"/>
              <w:bottom w:w="80" w:type="dxa"/>
              <w:left w:w="100" w:type="dxa"/>
              <w:right w:w="100" w:type="dxa"/>
            </w:tcMar>
          </w:tcPr>
          <w:p>
            <w:pPr>
              <w:spacing w:before="0" w:after="0" w:line="276" w:lineRule="auto"/>
              <w:jc w:val="center"/>
            </w:pPr>
            <w:r>
              <w:rPr>
                <w:b/>
                <w:color w:val="FFFFFF"/>
                <w:sz w:val="17"/>
              </w:rPr>
              <w:t>Puntos Logrados</w:t>
            </w:r>
          </w:p>
        </w:tc>
        <w:tc>
          <w:tcPr>
            <w:tcW w:type="dxa" w:w="1728"/>
            <w:shd w:fill="1E3A8A"/>
            <w:tcMar>
              <w:top w:w="80" w:type="dxa"/>
              <w:bottom w:w="80" w:type="dxa"/>
              <w:left w:w="100" w:type="dxa"/>
              <w:right w:w="100" w:type="dxa"/>
            </w:tcMar>
          </w:tcPr>
          <w:p>
            <w:pPr>
              <w:spacing w:before="0" w:after="0" w:line="276" w:lineRule="auto"/>
              <w:jc w:val="center"/>
            </w:pPr>
            <w:r>
              <w:rPr>
                <w:b/>
                <w:color w:val="FFFFFF"/>
                <w:sz w:val="17"/>
              </w:rPr>
              <w:t>% Cumplimiento</w:t>
            </w:r>
          </w:p>
        </w:tc>
      </w:tr>
      <w:tr>
        <w:tc>
          <w:tcPr>
            <w:tcW w:type="dxa" w:w="4608"/>
            <w:shd w:fill="FFFFFF"/>
            <w:tcMar>
              <w:top w:w="70" w:type="dxa"/>
              <w:bottom w:w="70" w:type="dxa"/>
              <w:left w:w="100" w:type="dxa"/>
              <w:right w:w="100" w:type="dxa"/>
            </w:tcMar>
          </w:tcPr>
          <w:p>
            <w:pPr>
              <w:spacing w:before="0" w:after="0" w:line="276" w:lineRule="auto"/>
            </w:pPr>
            <w:r>
              <w:rPr>
                <w:b/>
                <w:color w:val="0F172A"/>
                <w:sz w:val="17"/>
              </w:rPr>
              <w:t>Bloque 1: Experiencia de Usuario (Capítulo 12 - 7 ítems)</w:t>
            </w:r>
          </w:p>
        </w:tc>
        <w:tc>
          <w:tcPr>
            <w:tcW w:type="dxa" w:w="1872"/>
            <w:shd w:fill="FFFFFF"/>
            <w:tcMar>
              <w:top w:w="70" w:type="dxa"/>
              <w:bottom w:w="70" w:type="dxa"/>
              <w:left w:w="100" w:type="dxa"/>
              <w:right w:w="100" w:type="dxa"/>
            </w:tcMar>
          </w:tcPr>
          <w:p>
            <w:r>
              <w:t>16 pts</w:t>
            </w:r>
          </w:p>
        </w:tc>
        <w:tc>
          <w:tcPr>
            <w:tcW w:type="dxa" w:w="1728"/>
            <w:shd w:fill="FFFFFF"/>
            <w:tcMar>
              <w:top w:w="70" w:type="dxa"/>
              <w:bottom w:w="70" w:type="dxa"/>
              <w:left w:w="100" w:type="dxa"/>
              <w:right w:w="100" w:type="dxa"/>
            </w:tcMar>
          </w:tcPr>
          <w:p>
            <w:pPr>
              <w:spacing w:before="0" w:after="0" w:line="276" w:lineRule="auto"/>
              <w:jc w:val="center"/>
            </w:pPr>
            <w:r>
              <w:rPr>
                <w:sz w:val="17"/>
              </w:rPr>
              <w:t>16 pts</w:t>
            </w:r>
          </w:p>
        </w:tc>
        <w:tc>
          <w:tcPr>
            <w:tcW w:type="dxa" w:w="1728"/>
            <w:shd w:fill="FFFFFF"/>
            <w:tcMar>
              <w:top w:w="70" w:type="dxa"/>
              <w:bottom w:w="70" w:type="dxa"/>
              <w:left w:w="100" w:type="dxa"/>
              <w:right w:w="100" w:type="dxa"/>
            </w:tcMar>
          </w:tcPr>
          <w:p>
            <w:pPr>
              <w:spacing w:before="0" w:after="0" w:line="276" w:lineRule="auto"/>
              <w:jc w:val="center"/>
            </w:pPr>
            <w:r>
              <w:rPr>
                <w:sz w:val="17"/>
              </w:rPr>
              <w:t>100.0 %</w:t>
            </w:r>
          </w:p>
        </w:tc>
      </w:tr>
      <w:tr>
        <w:tc>
          <w:tcPr>
            <w:tcW w:type="dxa" w:w="4608"/>
            <w:shd w:fill="F8FAFC"/>
            <w:tcMar>
              <w:top w:w="70" w:type="dxa"/>
              <w:bottom w:w="70" w:type="dxa"/>
              <w:left w:w="100" w:type="dxa"/>
              <w:right w:w="100" w:type="dxa"/>
            </w:tcMar>
          </w:tcPr>
          <w:p>
            <w:pPr>
              <w:spacing w:before="0" w:after="0" w:line="276" w:lineRule="auto"/>
            </w:pPr>
            <w:r>
              <w:rPr>
                <w:b/>
                <w:color w:val="0F172A"/>
                <w:sz w:val="17"/>
              </w:rPr>
              <w:t>Bloque 2: Diseño para la Movilidad (Capítulo 13 - 4 ítems)</w:t>
            </w:r>
          </w:p>
        </w:tc>
        <w:tc>
          <w:tcPr>
            <w:tcW w:type="dxa" w:w="1872"/>
            <w:shd w:fill="F8FAFC"/>
            <w:tcMar>
              <w:top w:w="70" w:type="dxa"/>
              <w:bottom w:w="70" w:type="dxa"/>
              <w:left w:w="100" w:type="dxa"/>
              <w:right w:w="100" w:type="dxa"/>
            </w:tcMar>
          </w:tcPr>
          <w:p>
            <w:pPr>
              <w:spacing w:before="0" w:after="0" w:line="276" w:lineRule="auto"/>
              <w:jc w:val="center"/>
            </w:pPr>
            <w:r>
              <w:rPr>
                <w:sz w:val="17"/>
              </w:rPr>
              <w:t>8 pts</w:t>
            </w:r>
          </w:p>
        </w:tc>
        <w:tc>
          <w:tcPr>
            <w:tcW w:type="dxa" w:w="1728"/>
            <w:shd w:fill="F8FAFC"/>
            <w:tcMar>
              <w:top w:w="70" w:type="dxa"/>
              <w:bottom w:w="70" w:type="dxa"/>
              <w:left w:w="100" w:type="dxa"/>
              <w:right w:w="100" w:type="dxa"/>
            </w:tcMar>
          </w:tcPr>
          <w:p>
            <w:pPr>
              <w:spacing w:before="0" w:after="0" w:line="276" w:lineRule="auto"/>
              <w:jc w:val="center"/>
            </w:pPr>
            <w:r>
              <w:rPr>
                <w:sz w:val="17"/>
              </w:rPr>
              <w:t>8 pts</w:t>
            </w:r>
          </w:p>
        </w:tc>
        <w:tc>
          <w:tcPr>
            <w:tcW w:type="dxa" w:w="1728"/>
            <w:shd w:fill="F8FAFC"/>
            <w:tcMar>
              <w:top w:w="70" w:type="dxa"/>
              <w:bottom w:w="70" w:type="dxa"/>
              <w:left w:w="100" w:type="dxa"/>
              <w:right w:w="100" w:type="dxa"/>
            </w:tcMar>
          </w:tcPr>
          <w:p>
            <w:pPr>
              <w:spacing w:before="0" w:after="0" w:line="276" w:lineRule="auto"/>
              <w:jc w:val="center"/>
            </w:pPr>
            <w:r>
              <w:rPr>
                <w:sz w:val="17"/>
              </w:rPr>
              <w:t>100.0 %</w:t>
            </w:r>
          </w:p>
        </w:tc>
      </w:tr>
      <w:tr>
        <w:tc>
          <w:tcPr>
            <w:tcW w:type="dxa" w:w="4608"/>
            <w:shd w:fill="FFFFFF"/>
            <w:tcMar>
              <w:top w:w="70" w:type="dxa"/>
              <w:bottom w:w="70" w:type="dxa"/>
              <w:left w:w="100" w:type="dxa"/>
              <w:right w:w="100" w:type="dxa"/>
            </w:tcMar>
          </w:tcPr>
          <w:p>
            <w:pPr>
              <w:spacing w:before="0" w:after="0" w:line="276" w:lineRule="auto"/>
            </w:pPr>
            <w:r>
              <w:rPr>
                <w:b/>
                <w:color w:val="0F172A"/>
                <w:sz w:val="17"/>
              </w:rPr>
              <w:t>Bloque 3: Diseño Basado en Patrones (Capítulo 14 - 4 ítems)</w:t>
            </w:r>
          </w:p>
        </w:tc>
        <w:tc>
          <w:tcPr>
            <w:tcW w:type="dxa" w:w="1872"/>
            <w:shd w:fill="FFFFFF"/>
            <w:tcMar>
              <w:top w:w="70" w:type="dxa"/>
              <w:bottom w:w="70" w:type="dxa"/>
              <w:left w:w="100" w:type="dxa"/>
              <w:right w:w="100" w:type="dxa"/>
            </w:tcMar>
          </w:tcPr>
          <w:p>
            <w:pPr>
              <w:spacing w:before="0" w:after="0" w:line="276" w:lineRule="auto"/>
              <w:jc w:val="center"/>
            </w:pPr>
            <w:r>
              <w:rPr>
                <w:sz w:val="17"/>
              </w:rPr>
              <w:t>8 pts</w:t>
            </w:r>
          </w:p>
        </w:tc>
        <w:tc>
          <w:tcPr>
            <w:tcW w:type="dxa" w:w="1728"/>
            <w:shd w:fill="FFFFFF"/>
            <w:tcMar>
              <w:top w:w="70" w:type="dxa"/>
              <w:bottom w:w="70" w:type="dxa"/>
              <w:left w:w="100" w:type="dxa"/>
              <w:right w:w="100" w:type="dxa"/>
            </w:tcMar>
          </w:tcPr>
          <w:p>
            <w:pPr>
              <w:spacing w:before="0" w:after="0" w:line="276" w:lineRule="auto"/>
              <w:jc w:val="center"/>
            </w:pPr>
            <w:r>
              <w:rPr>
                <w:sz w:val="17"/>
              </w:rPr>
              <w:t>8 pts</w:t>
            </w:r>
          </w:p>
        </w:tc>
        <w:tc>
          <w:tcPr>
            <w:tcW w:type="dxa" w:w="1728"/>
            <w:shd w:fill="FFFFFF"/>
            <w:tcMar>
              <w:top w:w="70" w:type="dxa"/>
              <w:bottom w:w="70" w:type="dxa"/>
              <w:left w:w="100" w:type="dxa"/>
              <w:right w:w="100" w:type="dxa"/>
            </w:tcMar>
          </w:tcPr>
          <w:p>
            <w:pPr>
              <w:spacing w:before="0" w:after="0" w:line="276" w:lineRule="auto"/>
              <w:jc w:val="center"/>
            </w:pPr>
            <w:r>
              <w:rPr>
                <w:sz w:val="17"/>
              </w:rPr>
              <w:t>100.0 %</w:t>
            </w:r>
          </w:p>
        </w:tc>
      </w:tr>
      <w:tr>
        <w:tc>
          <w:tcPr>
            <w:tcW w:type="dxa" w:w="4608"/>
            <w:shd w:fill="E2E8F0"/>
            <w:tcMar>
              <w:top w:w="80" w:type="dxa"/>
              <w:bottom w:w="80" w:type="dxa"/>
              <w:left w:w="100" w:type="dxa"/>
              <w:right w:w="100" w:type="dxa"/>
            </w:tcMar>
          </w:tcPr>
          <w:p>
            <w:pPr>
              <w:spacing w:before="0" w:after="0" w:line="276" w:lineRule="auto"/>
            </w:pPr>
            <w:r>
              <w:rPr>
                <w:b/>
                <w:color w:val="1E3A8A"/>
                <w:sz w:val="18"/>
              </w:rPr>
              <w:t>PUNTUACIÓN GLOBAL TOTAL CONSOLIDADA:</w:t>
            </w:r>
          </w:p>
        </w:tc>
        <w:tc>
          <w:tcPr>
            <w:tcW w:type="dxa" w:w="1872"/>
            <w:shd w:fill="E2E8F0"/>
            <w:tcMar>
              <w:top w:w="80" w:type="dxa"/>
              <w:bottom w:w="80" w:type="dxa"/>
              <w:left w:w="100" w:type="dxa"/>
              <w:right w:w="100" w:type="dxa"/>
            </w:tcMar>
          </w:tcPr>
          <w:p>
            <w:r>
              <w:t>32 pts</w:t>
            </w:r>
          </w:p>
        </w:tc>
        <w:tc>
          <w:tcPr>
            <w:tcW w:type="dxa" w:w="1728"/>
            <w:shd w:fill="E2E8F0"/>
            <w:tcMar>
              <w:top w:w="80" w:type="dxa"/>
              <w:bottom w:w="80" w:type="dxa"/>
              <w:left w:w="100" w:type="dxa"/>
              <w:right w:w="100" w:type="dxa"/>
            </w:tcMar>
          </w:tcPr>
          <w:p>
            <w:pPr>
              <w:spacing w:before="0" w:after="0" w:line="276" w:lineRule="auto"/>
              <w:jc w:val="center"/>
            </w:pPr>
            <w:r>
              <w:rPr>
                <w:b/>
                <w:sz w:val="18"/>
              </w:rPr>
              <w:t>32 pts</w:t>
            </w:r>
          </w:p>
        </w:tc>
        <w:tc>
          <w:tcPr>
            <w:tcW w:type="dxa" w:w="1728"/>
            <w:shd w:fill="E2E8F0"/>
            <w:tcMar>
              <w:top w:w="80" w:type="dxa"/>
              <w:bottom w:w="80" w:type="dxa"/>
              <w:left w:w="100" w:type="dxa"/>
              <w:right w:w="100" w:type="dxa"/>
            </w:tcMar>
          </w:tcPr>
          <w:p>
            <w:pPr>
              <w:spacing w:before="0" w:after="0" w:line="276" w:lineRule="auto"/>
              <w:jc w:val="center"/>
            </w:pPr>
            <w:r>
              <w:rPr>
                <w:b/>
                <w:sz w:val="18"/>
              </w:rPr>
              <w:t>100.0 %</w:t>
            </w:r>
          </w:p>
        </w:tc>
      </w:tr>
    </w:tbl>
    <w:p>
      <w:pPr>
        <w:spacing w:before="120" w:after="80" w:line="276" w:lineRule="auto"/>
      </w:pPr>
      <w:r>
        <w:rPr>
          <w:b/>
          <w:color w:val="64748B"/>
          <w:sz w:val="17"/>
        </w:rPr>
        <w:t>Escala Cualitativa de Aprobación:  [90-100%] Sobresaliente  |  [75-89%] Aceptable / Competente  |  [60-74%] Básico con Observaciones  |  [&lt; 60%] Insuficiente / Requiere Rehacer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9936"/>
      </w:tblGrid>
      <w:tr>
        <w:tc>
          <w:tcPr>
            <w:tcW w:type="dxa" w:w="9936"/>
            <w:shd w:fill="FFFFFF"/>
            <w:tcMar>
              <w:top w:w="80" w:type="dxa"/>
              <w:bottom w:w="80" w:type="dxa"/>
              <w:left w:w="120" w:type="dxa"/>
              <w:right w:w="120" w:type="dxa"/>
            </w:tcMar>
          </w:tcPr>
          <w:p>
            <w:pPr>
              <w:spacing w:before="0" w:after="40" w:line="276" w:lineRule="auto"/>
            </w:pPr>
            <w:r>
              <w:rPr>
                <w:b/>
                <w:color w:val="1E3A8A"/>
                <w:sz w:val="17"/>
              </w:rPr>
              <w:t>FORTALEZAS IDENTIFICADAS EN EL FRONTEND:</w:t>
              <w:br/>
            </w:r>
            <w:r>
              <w:rPr>
                <w:color w:val="0F172A"/>
                <w:sz w:val="17"/>
              </w:rPr>
              <w:t xml:space="preserve"> Según el equipo, como usuarios: se usa solo con el teclado y el foco siempre se ve (UX-07); sin internet no se pierde el código (MOB-04); «Apariencia» con oscuro y alto contraste se encuentra a la primera (MOB-03); el estado de cada acción se ve (UX-06); y lo que salió a medias en la revisión se corrigió y se confirmó (UX-01, UX-02, MOB-01, MOB-02). SUS del equipo: 81,5.</w:t>
            </w:r>
          </w:p>
        </w:tc>
      </w:tr>
      <w:tr>
        <w:tc>
          <w:tcPr>
            <w:tcW w:type="dxa" w:w="9936"/>
            <w:shd w:fill="F8FAFC"/>
            <w:tcMar>
              <w:top w:w="80" w:type="dxa"/>
              <w:bottom w:w="80" w:type="dxa"/>
              <w:left w:w="120" w:type="dxa"/>
              <w:right w:w="120" w:type="dxa"/>
            </w:tcMar>
          </w:tcPr>
          <w:p>
            <w:pPr>
              <w:spacing w:before="0" w:after="40" w:line="276" w:lineRule="auto"/>
            </w:pPr>
            <w:r>
              <w:rPr>
                <w:b/>
                <w:color w:val="1E3A8A"/>
                <w:sz w:val="17"/>
              </w:rPr>
              <w:t>DEBILIDADES CRÍTICAS Y AJUSTES OBLIGATORIOS:</w:t>
              <w:br/>
            </w:r>
            <w:r>
              <w:rPr>
                <w:color w:val="0F172A"/>
                <w:sz w:val="17"/>
              </w:rPr>
              <w:t xml:space="preserve"> Ninguna: los 16 criterios se cumplen según el equipo. Mejora continua: el tutorial guiado y el manual de usuario (Semana 10), porque el SUS señala «necesitaría ayuda de una persona técnica».</w:t>
            </w:r>
          </w:p>
        </w:tc>
      </w:tr>
    </w:tbl>
    <w:p>
      <w:r>
        <w:rPr>
          <w:b/>
          <w:sz w:val="17"/>
        </w:rPr>
        <w:t xml:space="preserve">Método de esta revisión (04/10/2026, «después»): </w:t>
      </w:r>
      <w:r>
        <w:rPr>
          <w:sz w:val="17"/>
        </w:rPr>
        <w:t>cada integrante evaluó como usuario sus criterios en la aplicación desplegada, en computador y en celular, sin ver la nota de la evaluación automática; dejó su nota, el porqué, dónde lo vio y un referente en su tarjeta de Trello (S08-V-* y S09-V-*). Lo que salió «a medias» se corrigió y quien lo revisó confirmó el 17/10 que ya se cumple. La comparación con la evaluación automática está en VERIFICACION_v2.0.0.md §7.</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