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Arial" w:hAnsi="Arial"/>
          <w:b/>
          <w:color w:val="0284C7"/>
          <w:sz w:val="19"/>
        </w:rPr>
        <w:t>UNIVERSIDAD DE CÓRDOBA — FACULTAD DE EDUCACIÓN Y CIENCIAS HUMANAS — DEPARTAMENTO DE INFORMÁTICA EDUCATIVA</w:t>
      </w:r>
    </w:p>
    <w:p>
      <w:pPr>
        <w:spacing w:before="40" w:after="80" w:line="276" w:lineRule="auto"/>
      </w:pPr>
      <w:r>
        <w:rPr>
          <w:rFonts w:ascii="Arial" w:hAnsi="Arial"/>
          <w:b/>
          <w:color w:val="0F172A"/>
          <w:sz w:val="33"/>
        </w:rPr>
        <w:t>Lista de Chequeo para la Verificación del Frontend: Sistemas Tutores Inteligentes (STI / ITS)</w:t>
      </w:r>
    </w:p>
    <w:p>
      <w:pPr>
        <w:spacing w:before="0" w:after="120" w:line="276" w:lineRule="auto"/>
      </w:pPr>
      <w:r>
        <w:rPr>
          <w:rFonts w:ascii="Arial" w:hAnsi="Arial"/>
          <w:color w:val="64748B"/>
          <w:sz w:val="20"/>
        </w:rPr>
        <w:t>Instrumento de evaluación formativa sobre cómo la interfaz de usuario refleja la inteligencia del tutor y la metacognición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1E3A8A"/>
                <w:sz w:val="17"/>
              </w:rPr>
              <w:t>FUENTE BIBLIOGRÁFICA DE REFERENCIA EXIGIDA:</w:t>
              <w:br/>
            </w:r>
            <w:r>
              <w:rPr>
                <w:rFonts w:ascii="Arial" w:hAnsi="Arial"/>
                <w:i/>
                <w:color w:val="0F172A"/>
                <w:sz w:val="17"/>
              </w:rPr>
              <w:t>Caro Piñeres, Manuel Fernando (2015). Metamodel for personalized adaptation of pedagogical strategies using metacognition in Intelligent Tutoring Systems. Tesis de Doctorado en Ingeniería, Universidad Nacional de Colombia, Sede Medellín. Director: Jovani Alberto Jiménez Builes, Ph.D.</w:t>
            </w:r>
          </w:p>
        </w:tc>
      </w:tr>
    </w:tbl>
    <w:p>
      <w:pPr>
        <w:spacing w:before="0" w:after="80" w:line="276" w:lineRule="auto"/>
      </w:pPr>
    </w:p>
    <w:p>
      <w:pPr>
        <w:spacing w:before="80" w:after="40" w:line="276" w:lineRule="auto"/>
      </w:pPr>
      <w:r>
        <w:rPr>
          <w:rFonts w:ascii="Arial" w:hAnsi="Arial"/>
          <w:b/>
          <w:color w:val="0F172A"/>
          <w:sz w:val="22"/>
        </w:rPr>
        <w:t>1. DATOS GENERALES DEL PROYECTO Y CONTROL DE EVALUACIÓN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4968"/>
        <w:gridCol w:w="4968"/>
      </w:tblGrid>
      <w:tr>
        <w:tc>
          <w:tcPr>
            <w:tcW w:type="dxa" w:w="5616"/>
            <w:tcMar>
              <w:top w:w="75" w:type="dxa"/>
              <w:bottom w:w="75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b/>
                <w:color w:val="1E3A8A"/>
                <w:sz w:val="18"/>
              </w:rPr>
              <w:t xml:space="preserve">Asignatura / Curso: </w:t>
            </w:r>
            <w:r>
              <w:rPr>
                <w:color w:val="0F172A"/>
                <w:sz w:val="18"/>
              </w:rPr>
              <w:t>Informática Educativa / Diseño de Interfaces de Usuario (Semana 03)</w:t>
            </w:r>
          </w:p>
        </w:tc>
        <w:tc>
          <w:tcPr>
            <w:tcW w:type="dxa" w:w="4320"/>
            <w:tcMar>
              <w:top w:w="75" w:type="dxa"/>
              <w:bottom w:w="75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b/>
                <w:color w:val="1E3A8A"/>
                <w:sz w:val="18"/>
              </w:rPr>
              <w:t xml:space="preserve">Fecha de Evaluación: </w:t>
            </w:r>
            <w:r>
              <w:rPr>
                <w:color w:val="0F172A"/>
                <w:sz w:val="18"/>
              </w:rPr>
              <w:t>DD / MM / AAAA</w:t>
            </w:r>
          </w:p>
        </w:tc>
      </w:tr>
      <w:tr>
        <w:tc>
          <w:tcPr>
            <w:tcW w:type="dxa" w:w="5616"/>
            <w:tcMar>
              <w:top w:w="75" w:type="dxa"/>
              <w:bottom w:w="75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b/>
                <w:color w:val="1E3A8A"/>
                <w:sz w:val="18"/>
              </w:rPr>
              <w:t xml:space="preserve">Nombre del Sistema Tutor Inteligente (STI): </w:t>
            </w:r>
            <w:r>
              <w:rPr>
                <w:color w:val="0F172A"/>
                <w:sz w:val="18"/>
              </w:rPr>
              <w:t>[ Ingrese el nombre de la solución frontend ]</w:t>
            </w:r>
          </w:p>
        </w:tc>
        <w:tc>
          <w:tcPr>
            <w:tcW w:type="dxa" w:w="4320"/>
            <w:tcMar>
              <w:top w:w="75" w:type="dxa"/>
              <w:bottom w:w="75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b/>
                <w:color w:val="1E3A8A"/>
                <w:sz w:val="18"/>
              </w:rPr>
              <w:t xml:space="preserve">Versión / Rama Git: </w:t>
            </w:r>
            <w:r>
              <w:rPr>
                <w:color w:val="0F172A"/>
                <w:sz w:val="18"/>
              </w:rPr>
              <w:t>v1.0.0 / main</w:t>
            </w:r>
          </w:p>
        </w:tc>
      </w:tr>
      <w:tr>
        <w:tc>
          <w:tcPr>
            <w:tcW w:type="dxa" w:w="5616"/>
            <w:tcMar>
              <w:top w:w="75" w:type="dxa"/>
              <w:bottom w:w="75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b/>
                <w:color w:val="1E3A8A"/>
                <w:sz w:val="18"/>
              </w:rPr>
              <w:t xml:space="preserve">Integrantes del Equipo: </w:t>
            </w:r>
            <w:r>
              <w:rPr>
                <w:color w:val="0F172A"/>
                <w:sz w:val="18"/>
              </w:rPr>
              <w:t>[ Nombres completos y códigos de los estudiantes ]</w:t>
            </w:r>
          </w:p>
        </w:tc>
        <w:tc>
          <w:tcPr>
            <w:tcW w:type="dxa" w:w="4320"/>
            <w:tcMar>
              <w:top w:w="75" w:type="dxa"/>
              <w:bottom w:w="75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b/>
                <w:color w:val="1E3A8A"/>
                <w:sz w:val="18"/>
              </w:rPr>
              <w:t xml:space="preserve">URL Demo / Repositorio: </w:t>
            </w:r>
            <w:r>
              <w:rPr>
                <w:color w:val="0F172A"/>
                <w:sz w:val="18"/>
              </w:rPr>
              <w:t>https://github.com/...</w:t>
            </w:r>
          </w:p>
        </w:tc>
      </w:tr>
      <w:tr>
        <w:tc>
          <w:tcPr>
            <w:tcW w:type="dxa" w:w="5616"/>
            <w:tcMar>
              <w:top w:w="75" w:type="dxa"/>
              <w:bottom w:w="75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b/>
                <w:color w:val="1E3A8A"/>
                <w:sz w:val="18"/>
              </w:rPr>
              <w:t xml:space="preserve">Docente / Evaluador: </w:t>
            </w:r>
            <w:r>
              <w:rPr>
                <w:color w:val="0F172A"/>
                <w:sz w:val="18"/>
              </w:rPr>
              <w:t>Prof. Raúl Toscano Miranda</w:t>
            </w:r>
          </w:p>
        </w:tc>
        <w:tc>
          <w:tcPr>
            <w:tcW w:type="dxa" w:w="4320"/>
            <w:tcMar>
              <w:top w:w="75" w:type="dxa"/>
              <w:bottom w:w="75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b/>
                <w:color w:val="1E3A8A"/>
                <w:sz w:val="18"/>
              </w:rPr>
              <w:t xml:space="preserve">Calificación Final: </w:t>
            </w:r>
            <w:r>
              <w:rPr>
                <w:color w:val="0F172A"/>
                <w:sz w:val="18"/>
              </w:rPr>
              <w:t>_____ / 100 pts  ( ___% )</w:t>
            </w:r>
          </w:p>
        </w:tc>
      </w:tr>
    </w:tbl>
    <w:p>
      <w:pPr>
        <w:spacing w:before="0" w:after="80" w:line="276" w:lineRule="auto"/>
      </w:pPr>
    </w:p>
    <w:p>
      <w:pPr>
        <w:spacing w:before="80" w:after="40" w:line="276" w:lineRule="auto"/>
      </w:pPr>
      <w:r>
        <w:rPr>
          <w:rFonts w:ascii="Arial" w:hAnsi="Arial"/>
          <w:b/>
          <w:color w:val="0F172A"/>
          <w:sz w:val="22"/>
        </w:rPr>
        <w:t>2. INSTRUCCIONES DE USO Y ESCALA DE VALORACIÓN</w:t>
      </w:r>
    </w:p>
    <w:p>
      <w:pPr>
        <w:spacing w:before="0" w:after="80" w:line="276" w:lineRule="auto"/>
      </w:pPr>
      <w:r>
        <w:rPr>
          <w:color w:val="334155"/>
          <w:sz w:val="19"/>
        </w:rPr>
        <w:t>Esta lista de chequeo evalúa si el frontend del Sistema Tutor Inteligente (STI) desarrollado por los estudiantes refleja de forma palpable la arquitectura canónica de cuatro módulos, las 5 características de interfaz adaptativa donde el estudiante experimenta la tutoría inteligente (Sección 6.1.3 de la tesis) y el soporte a la metacognición computacional mediante el Doble Lazo de Razonamiento, tal como fue modelado y validado en el prototipo FUNPRO.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152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type="dxa" w:w="2592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Escala de Calificación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Ponderación</w:t>
            </w:r>
          </w:p>
        </w:tc>
        <w:tc>
          <w:tcPr>
            <w:tcW w:type="dxa" w:w="4608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Criterio de Evaluación Operativo</w:t>
            </w:r>
          </w:p>
        </w:tc>
      </w:tr>
      <w:tr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0F172A"/>
                <w:sz w:val="17"/>
              </w:rPr>
              <w:t>C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0F172A"/>
                <w:sz w:val="17"/>
              </w:rPr>
              <w:t>Cumple Totalmente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color w:val="0F172A"/>
                <w:sz w:val="17"/>
              </w:rPr>
              <w:t>2 Puntos (100%)</w:t>
            </w:r>
          </w:p>
        </w:tc>
        <w:tc>
          <w:tcPr>
            <w:tcW w:type="dxa" w:w="46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color w:val="0F172A"/>
                <w:sz w:val="17"/>
              </w:rPr>
              <w:t>El frontend implementa rigurosamente el criterio teórico; es funcional, visible y comprobable en la demo.</w:t>
            </w:r>
          </w:p>
        </w:tc>
      </w:tr>
      <w:tr>
        <w:tc>
          <w:tcPr>
            <w:tcW w:type="dxa" w:w="11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0F172A"/>
                <w:sz w:val="17"/>
              </w:rPr>
              <w:t>CP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0F172A"/>
                <w:sz w:val="17"/>
              </w:rPr>
              <w:t>Cumple Parcialmente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color w:val="0F172A"/>
                <w:sz w:val="17"/>
              </w:rPr>
              <w:t>1 Punto (50%)</w:t>
            </w:r>
          </w:p>
        </w:tc>
        <w:tc>
          <w:tcPr>
            <w:tcW w:type="dxa" w:w="46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color w:val="0F172A"/>
                <w:sz w:val="17"/>
              </w:rPr>
              <w:t>Se evidencia la intención en la interfaz o código, pero con inconsistencias, fallos visuales o cobertura incompleta.</w:t>
            </w:r>
          </w:p>
        </w:tc>
      </w:tr>
      <w:tr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0F172A"/>
                <w:sz w:val="17"/>
              </w:rPr>
              <w:t>NC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0F172A"/>
                <w:sz w:val="17"/>
              </w:rPr>
              <w:t>No Cumple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color w:val="0F172A"/>
                <w:sz w:val="17"/>
              </w:rPr>
              <w:t>0 Puntos (0%)</w:t>
            </w:r>
          </w:p>
        </w:tc>
        <w:tc>
          <w:tcPr>
            <w:tcW w:type="dxa" w:w="46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color w:val="0F172A"/>
                <w:sz w:val="17"/>
              </w:rPr>
              <w:t>El criterio teórico no fue considerado; está ausente o no funciona en la interfaz de usuario desarrollada.</w:t>
            </w:r>
          </w:p>
        </w:tc>
      </w:tr>
      <w:tr>
        <w:tc>
          <w:tcPr>
            <w:tcW w:type="dxa" w:w="11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0F172A"/>
                <w:sz w:val="17"/>
              </w:rPr>
              <w:t>NA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0F172A"/>
                <w:sz w:val="17"/>
              </w:rPr>
              <w:t>No Aplica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color w:val="0F172A"/>
                <w:sz w:val="17"/>
              </w:rPr>
              <w:t>Excluido (N/A)</w:t>
            </w:r>
          </w:p>
        </w:tc>
        <w:tc>
          <w:tcPr>
            <w:tcW w:type="dxa" w:w="46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color w:val="0F172A"/>
                <w:sz w:val="17"/>
              </w:rPr>
              <w:t>El criterio fue explícitamente descartado del alcance por mutuo acuerdo con el docente.</w:t>
            </w:r>
          </w:p>
        </w:tc>
      </w:tr>
    </w:tbl>
    <w:p>
      <w:pPr>
        <w:spacing w:before="0" w:after="120" w:line="276" w:lineRule="auto"/>
      </w:pPr>
    </w:p>
    <w:p>
      <w:pPr>
        <w:spacing w:before="160" w:after="60" w:line="276" w:lineRule="auto"/>
      </w:pPr>
      <w:r>
        <w:rPr>
          <w:rFonts w:ascii="Arial" w:hAnsi="Arial"/>
          <w:b/>
          <w:color w:val="0F172A"/>
          <w:sz w:val="22"/>
        </w:rPr>
        <w:t>3. BLOQUE 1: REFLEJO EN LA INTERFAZ DE LOS CUATRO MÓDULOS CANÓNICOS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92"/>
            <w:shd w:fill="0F172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2952"/>
            <w:shd w:fill="0F172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Criterio y Fundamento Teórico</w:t>
            </w:r>
          </w:p>
        </w:tc>
        <w:tc>
          <w:tcPr>
            <w:tcW w:type="dxa" w:w="3744"/>
            <w:shd w:fill="0F172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Evidencia Observable en el Frontend</w:t>
            </w:r>
          </w:p>
        </w:tc>
        <w:tc>
          <w:tcPr>
            <w:tcW w:type="dxa" w:w="1224"/>
            <w:shd w:fill="0F172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Valoración</w:t>
            </w:r>
          </w:p>
        </w:tc>
        <w:tc>
          <w:tcPr>
            <w:tcW w:type="dxa" w:w="1224"/>
            <w:shd w:fill="0F172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Puntos y Notas</w:t>
            </w:r>
          </w:p>
        </w:tc>
      </w:tr>
      <w:tr>
        <w:tc>
          <w:tcPr>
            <w:tcW w:type="dxa" w:w="792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1E3A8A"/>
                <w:sz w:val="16"/>
              </w:rPr>
              <w:t>MOD-01</w:t>
            </w:r>
          </w:p>
        </w:tc>
        <w:tc>
          <w:tcPr>
            <w:tcW w:type="dxa" w:w="295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76" w:lineRule="auto"/>
            </w:pPr>
            <w:r>
              <w:rPr>
                <w:b/>
                <w:color w:val="0F172A"/>
                <w:sz w:val="17"/>
              </w:rPr>
              <w:t>Módulo del Experto / Dominio en la UI</w:t>
              <w:br/>
            </w:r>
            <w:r>
              <w:rPr>
                <w:i/>
                <w:color w:val="64748B"/>
                <w:sz w:val="15"/>
              </w:rPr>
              <w:t>Ref: Tesis Caro Cap. 2.2 ("Classic ITS Architecture", pp. 24-27) y Cap. 6.1 (pp. 121-125); Wenger (1987)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Unidades Básicas de Aprendizaje (BLU): Conocimiento estructurado en lecciones atómicas y autocontenidas con objetivos conceptuales explícitos.</w:t>
            </w:r>
          </w:p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Visualización ontológica del dominio: Grafo conceptual, mapa de temas o árbol de contenidos que transparenta los prerrequisitos necesarios para avanzar.</w:t>
            </w:r>
          </w:p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Entorno operativo de verificación experta: Espacio interactivo (editor, simulador, cuestionario guiado) donde el conocimiento experto evalúa la lógica del estudiante en tiempo real.</w:t>
            </w:r>
          </w:p>
          <w:p>
            <w:pPr>
              <w:spacing w:before="60" w:after="20" w:line="276" w:lineRule="auto"/>
            </w:pPr>
            <w:r>
              <w:rPr>
                <w:b/>
                <w:color w:val="1E3A8A"/>
                <w:sz w:val="15"/>
              </w:rPr>
              <w:t xml:space="preserve">Ejemplo en Frontend: </w:t>
            </w:r>
            <w:r>
              <w:rPr>
                <w:i/>
                <w:color w:val="0F172A"/>
                <w:sz w:val="15"/>
              </w:rPr>
              <w:t>En la pantalla principal, el estudiante visualiza el mapa de conceptos de la asignatura ("Variables -&gt; Condicionales -&gt; Bucles"), donde los temas bloqueados por falta de prerrequisitos muestran un candado explicativo, y dispone de un editor donde el sistema valida la lógica del código al instante.</w:t>
            </w:r>
          </w:p>
        </w:tc>
        <w:tc>
          <w:tcPr>
            <w:tcW w:type="dxa" w:w="1224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20" w:line="276" w:lineRule="auto"/>
              <w:jc w:val="left"/>
            </w:pPr>
            <w:r>
              <w:rPr>
                <w:b/>
                <w:color w:val="1E3A8A"/>
                <w:sz w:val="16"/>
              </w:rPr>
              <w:t>☐ C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0F172A"/>
                <w:sz w:val="16"/>
              </w:rPr>
              <w:t>☐ CP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64748B"/>
                <w:sz w:val="16"/>
              </w:rPr>
              <w:t>☐ NC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64748B"/>
                <w:sz w:val="16"/>
              </w:rPr>
              <w:t>☐ NA</w:t>
            </w:r>
          </w:p>
        </w:tc>
        <w:tc>
          <w:tcPr>
            <w:tcW w:type="dxa" w:w="1224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color w:val="64748B"/>
                <w:sz w:val="15"/>
              </w:rPr>
              <w:t>Pts: ___ / 2</w:t>
              <w:br/>
              <w:t>Obs: [ ] Mapa de BLUs y validador de dominio</w:t>
            </w:r>
          </w:p>
        </w:tc>
      </w:tr>
      <w:tr>
        <w:tc>
          <w:tcPr>
            <w:tcW w:type="dxa" w:w="792"/>
            <w:shd w:fill="F8FAFC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1E3A8A"/>
                <w:sz w:val="16"/>
              </w:rPr>
              <w:t>MOD-02</w:t>
            </w:r>
          </w:p>
        </w:tc>
        <w:tc>
          <w:tcPr>
            <w:tcW w:type="dxa" w:w="2952"/>
            <w:shd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76" w:lineRule="auto"/>
            </w:pPr>
            <w:r>
              <w:rPr>
                <w:b/>
                <w:color w:val="0F172A"/>
                <w:sz w:val="17"/>
              </w:rPr>
              <w:t>Módulo del Estudiante / Aprendiz en la UI (Overlay y Perfil Cognitivo)</w:t>
              <w:br/>
            </w:r>
            <w:r>
              <w:rPr>
                <w:i/>
                <w:color w:val="64748B"/>
                <w:sz w:val="15"/>
              </w:rPr>
              <w:t>Ref: Tesis Caro Cap. 2.2 (pp. 27-29), Cap. 6.1.2 (pp. 127-131, Fig. 6.9); Felder-Silverman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Perfil cognitivo visible: Panel que muestra el estilo de aprendizaje del alumno según las dimensiones de Felder-Silverman (Visual/Verbal, Global/Secuencial).</w:t>
            </w:r>
          </w:p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Visualización del Modelo Overlay: Gráficos o barras que reflejan el estado dinámico del conocimiento (conceptos dominados en verde, en proceso en amarillo y pendientes en gris).</w:t>
            </w:r>
          </w:p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Diagnóstico de concepciones erróneas: Identificación y explicación de errores conceptuales profundos (misconceptions) diferenciándolos de descuidos sintácticos menores.</w:t>
            </w:r>
          </w:p>
          <w:p>
            <w:pPr>
              <w:spacing w:before="60" w:after="20" w:line="276" w:lineRule="auto"/>
            </w:pPr>
            <w:r>
              <w:rPr>
                <w:b/>
                <w:color w:val="1E3A8A"/>
                <w:sz w:val="15"/>
              </w:rPr>
              <w:t xml:space="preserve">Ejemplo en Frontend: </w:t>
            </w:r>
            <w:r>
              <w:rPr>
                <w:i/>
                <w:color w:val="0F172A"/>
                <w:sz w:val="15"/>
              </w:rPr>
              <w:t>Una tarjeta lateral "Mi Perfil de Aprendizaje" que indica: "Estilo dominante: Visual - Secuencial (70%)", un diagrama circular con el 65% del temario dominado en verde, y una advertencia: "Detectamos confusión reiterada entre el operador de asignación `=` y el de comparación `==`".</w:t>
            </w:r>
          </w:p>
        </w:tc>
        <w:tc>
          <w:tcPr>
            <w:tcW w:type="dxa" w:w="1224"/>
            <w:shd w:fill="F8FAFC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20" w:line="276" w:lineRule="auto"/>
              <w:jc w:val="left"/>
            </w:pPr>
            <w:r>
              <w:rPr>
                <w:b/>
                <w:color w:val="1E3A8A"/>
                <w:sz w:val="16"/>
              </w:rPr>
              <w:t>☐ C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0F172A"/>
                <w:sz w:val="16"/>
              </w:rPr>
              <w:t>☐ CP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64748B"/>
                <w:sz w:val="16"/>
              </w:rPr>
              <w:t>☐ NC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64748B"/>
                <w:sz w:val="16"/>
              </w:rPr>
              <w:t>☐ NA</w:t>
            </w:r>
          </w:p>
        </w:tc>
        <w:tc>
          <w:tcPr>
            <w:tcW w:type="dxa" w:w="1224"/>
            <w:shd w:fill="F8FAFC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color w:val="64748B"/>
                <w:sz w:val="15"/>
              </w:rPr>
              <w:t>Pts: ___ / 2</w:t>
              <w:br/>
              <w:t>Obs: [ ] Perfil Felder-Silverman y Overlay</w:t>
            </w:r>
          </w:p>
        </w:tc>
      </w:tr>
      <w:tr>
        <w:tc>
          <w:tcPr>
            <w:tcW w:type="dxa" w:w="792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1E3A8A"/>
                <w:sz w:val="16"/>
              </w:rPr>
              <w:t>MOD-03</w:t>
            </w:r>
          </w:p>
        </w:tc>
        <w:tc>
          <w:tcPr>
            <w:tcW w:type="dxa" w:w="295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76" w:lineRule="auto"/>
            </w:pPr>
            <w:r>
              <w:rPr>
                <w:b/>
                <w:color w:val="0F172A"/>
                <w:sz w:val="17"/>
              </w:rPr>
              <w:t>Módulo del Tutor / Pedagógico en la UI (Tácticas y Planes Didácticos)</w:t>
              <w:br/>
            </w:r>
            <w:r>
              <w:rPr>
                <w:i/>
                <w:color w:val="64748B"/>
                <w:sz w:val="15"/>
              </w:rPr>
              <w:t>Ref: Tesis Caro Cap. 2.2 (pp. 29-32), Cap. 3.1.2 (pp. 51-54, Planner) y Cap. 6.1.1 (Fig. 6.2); Nkambou (2010)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Ejecución observable de tácticas pedagógicas: La interfaz despliega tácticas didácticas formales (de las 19 formalizadas: analogía, contraejemplo, desglose paso a paso, simulación).</w:t>
            </w:r>
          </w:p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Estructura instruccional jerárquica: Organización visible en Fases, Tareas y Actividades de aprendizaje concretas.</w:t>
            </w:r>
          </w:p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Dosificación dinámica de dificultad: Ajuste adaptativo del nivel de reto según el rendimiento cognitivo demostrado previamente por el alumno.</w:t>
            </w:r>
          </w:p>
          <w:p>
            <w:pPr>
              <w:spacing w:before="60" w:after="20" w:line="276" w:lineRule="auto"/>
            </w:pPr>
            <w:r>
              <w:rPr>
                <w:b/>
                <w:color w:val="1E3A8A"/>
                <w:sz w:val="15"/>
              </w:rPr>
              <w:t xml:space="preserve">Ejemplo en Frontend: </w:t>
            </w:r>
            <w:r>
              <w:rPr>
                <w:i/>
                <w:color w:val="0F172A"/>
                <w:sz w:val="15"/>
              </w:rPr>
              <w:t>Cuando el alumno falla en entender bucles condicionales, el tutor cambia de enfoque y le presenta una tarjeta con la táctica "Analogía cotidiana": «Imagina que lavas platos: 'mientras haya platos sucios, continúa lavando'», asignándole un ejercicio intermedio para reconstruir su confianza.</w:t>
            </w:r>
          </w:p>
        </w:tc>
        <w:tc>
          <w:tcPr>
            <w:tcW w:type="dxa" w:w="1224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20" w:line="276" w:lineRule="auto"/>
              <w:jc w:val="left"/>
            </w:pPr>
            <w:r>
              <w:rPr>
                <w:b/>
                <w:color w:val="1E3A8A"/>
                <w:sz w:val="16"/>
              </w:rPr>
              <w:t>☐ C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0F172A"/>
                <w:sz w:val="16"/>
              </w:rPr>
              <w:t>☐ CP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64748B"/>
                <w:sz w:val="16"/>
              </w:rPr>
              <w:t>☐ NC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64748B"/>
                <w:sz w:val="16"/>
              </w:rPr>
              <w:t>☐ NA</w:t>
            </w:r>
          </w:p>
        </w:tc>
        <w:tc>
          <w:tcPr>
            <w:tcW w:type="dxa" w:w="1224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color w:val="64748B"/>
                <w:sz w:val="15"/>
              </w:rPr>
              <w:t>Pts: ___ / 2</w:t>
              <w:br/>
              <w:t>Obs: [ ] Tácticas pedagógicas activas</w:t>
            </w:r>
          </w:p>
        </w:tc>
      </w:tr>
      <w:tr>
        <w:tc>
          <w:tcPr>
            <w:tcW w:type="dxa" w:w="792"/>
            <w:shd w:fill="F8FAFC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1E3A8A"/>
                <w:sz w:val="16"/>
              </w:rPr>
              <w:t>MOD-04</w:t>
            </w:r>
          </w:p>
        </w:tc>
        <w:tc>
          <w:tcPr>
            <w:tcW w:type="dxa" w:w="2952"/>
            <w:shd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76" w:lineRule="auto"/>
            </w:pPr>
            <w:r>
              <w:rPr>
                <w:b/>
                <w:color w:val="0F172A"/>
                <w:sz w:val="17"/>
              </w:rPr>
              <w:t>Módulo de Interfaz de Usuario como Traductor Ergonómico y Afectivo</w:t>
              <w:br/>
            </w:r>
            <w:r>
              <w:rPr>
                <w:i/>
                <w:color w:val="64748B"/>
                <w:sz w:val="15"/>
              </w:rPr>
              <w:t>Ref: Tesis Caro Cap. 2.2 (pp. 32-34) y Cap. 6.1.3 ("Learning environment", pp. 132-136); Sweller (1988)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Traductor bidireccional empático: Traduce las estructuras formales internas del sistema a un lenguaje pedagógico cercano, comprensible y motivador.</w:t>
            </w:r>
          </w:p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Reducción de carga cognitiva extraña: Interfaz despejada y focalizada en la tarea de aprendizaje, evitando elementos superfluos que saturen la memoria de trabajo.</w:t>
            </w:r>
          </w:p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Retroalimentación constructiva no punitiva: Mensajes de error orientados al crecimiento, felicitando el esfuerzo y orientando el reintento.</w:t>
            </w:r>
          </w:p>
          <w:p>
            <w:pPr>
              <w:spacing w:before="60" w:after="20" w:line="276" w:lineRule="auto"/>
            </w:pPr>
            <w:r>
              <w:rPr>
                <w:b/>
                <w:color w:val="1E3A8A"/>
                <w:sz w:val="15"/>
              </w:rPr>
              <w:t xml:space="preserve">Ejemplo en Frontend: </w:t>
            </w:r>
            <w:r>
              <w:rPr>
                <w:i/>
                <w:color w:val="0F172A"/>
                <w:sz w:val="15"/>
              </w:rPr>
              <w:t>En lugar de un error frío ("Código 400: Error de sintaxis"), el tutor muestra una burbuja empática: «¡Buen intento! Estuviste muy cerca; observa la condición de salida en la línea 5: ¿qué ocurre cuando el contador llega exactamente al valor límite?».</w:t>
            </w:r>
          </w:p>
        </w:tc>
        <w:tc>
          <w:tcPr>
            <w:tcW w:type="dxa" w:w="1224"/>
            <w:shd w:fill="F8FAFC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20" w:line="276" w:lineRule="auto"/>
              <w:jc w:val="left"/>
            </w:pPr>
            <w:r>
              <w:rPr>
                <w:b/>
                <w:color w:val="1E3A8A"/>
                <w:sz w:val="16"/>
              </w:rPr>
              <w:t>☐ C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0F172A"/>
                <w:sz w:val="16"/>
              </w:rPr>
              <w:t>☐ CP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64748B"/>
                <w:sz w:val="16"/>
              </w:rPr>
              <w:t>☐ NC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64748B"/>
                <w:sz w:val="16"/>
              </w:rPr>
              <w:t>☐ NA</w:t>
            </w:r>
          </w:p>
        </w:tc>
        <w:tc>
          <w:tcPr>
            <w:tcW w:type="dxa" w:w="1224"/>
            <w:shd w:fill="F8FAFC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color w:val="64748B"/>
                <w:sz w:val="15"/>
              </w:rPr>
              <w:t>Pts: ___ / 2</w:t>
              <w:br/>
              <w:t>Obs: [ ] Ergonomía de pantalla y feedback empático</w:t>
            </w:r>
          </w:p>
        </w:tc>
      </w:tr>
    </w:tbl>
    <w:p>
      <w:pPr>
        <w:spacing w:before="0" w:after="80" w:line="276" w:lineRule="auto"/>
      </w:pPr>
    </w:p>
    <w:p>
      <w:pPr>
        <w:spacing w:before="160" w:after="60" w:line="276" w:lineRule="auto"/>
      </w:pPr>
      <w:r>
        <w:rPr>
          <w:rFonts w:ascii="Arial" w:hAnsi="Arial"/>
          <w:b/>
          <w:color w:val="0F172A"/>
          <w:sz w:val="22"/>
        </w:rPr>
        <w:t>4. BLOQUE 2: CARACTERÍSTICAS DE LA INTERFAZ QUE REFLEJAN LA INTELIGENCIA DEL TUTOR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92"/>
            <w:shd w:fill="0F172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2952"/>
            <w:shd w:fill="0F172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Criterio y Fundamento Teórico</w:t>
            </w:r>
          </w:p>
        </w:tc>
        <w:tc>
          <w:tcPr>
            <w:tcW w:type="dxa" w:w="3744"/>
            <w:shd w:fill="0F172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Evidencia Observable en el Frontend</w:t>
            </w:r>
          </w:p>
        </w:tc>
        <w:tc>
          <w:tcPr>
            <w:tcW w:type="dxa" w:w="1224"/>
            <w:shd w:fill="0F172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Valoración</w:t>
            </w:r>
          </w:p>
        </w:tc>
        <w:tc>
          <w:tcPr>
            <w:tcW w:type="dxa" w:w="1224"/>
            <w:shd w:fill="0F172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Puntos y Notas</w:t>
            </w:r>
          </w:p>
        </w:tc>
      </w:tr>
      <w:tr>
        <w:tc>
          <w:tcPr>
            <w:tcW w:type="dxa" w:w="792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1E3A8A"/>
                <w:sz w:val="16"/>
              </w:rPr>
              <w:t>UI-01</w:t>
            </w:r>
          </w:p>
        </w:tc>
        <w:tc>
          <w:tcPr>
            <w:tcW w:type="dxa" w:w="295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76" w:lineRule="auto"/>
            </w:pPr>
            <w:r>
              <w:rPr>
                <w:b/>
                <w:color w:val="0F172A"/>
                <w:sz w:val="17"/>
              </w:rPr>
              <w:t>Característica 1: Adaptación Multimodal de Contenidos (Verbal vs. Visual)</w:t>
              <w:br/>
            </w:r>
            <w:r>
              <w:rPr>
                <w:i/>
                <w:color w:val="64748B"/>
                <w:sz w:val="15"/>
              </w:rPr>
              <w:t>Ref: Tesis Caro Cap. 6.1.3 ("Multimodal presentation", pp. 136-140, Fig. 6.13); Paivio (1986)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Bifurcación adaptativa de presentación: El contenido didáctico se adapta en formato según el estilo de aprendizaje predominante del alumno.</w:t>
            </w:r>
          </w:p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Modalidad Verbal: Prosa conceptual rigurosa, explicaciones textuales paso a paso y pseudocódigo con comentarios explicativos.</w:t>
            </w:r>
          </w:p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Modalidad Visual: Diagramas de flujo coloreados, mapas conceptuales, esquemas interactivos e infografías estructuradas.</w:t>
            </w:r>
          </w:p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Equidad curricular: Ambas modalidades transmiten con idéntico rigor los mismos objetivos de aprendizaje del Módulo del Experto.</w:t>
            </w:r>
          </w:p>
          <w:p>
            <w:pPr>
              <w:spacing w:before="60" w:after="20" w:line="276" w:lineRule="auto"/>
            </w:pPr>
            <w:r>
              <w:rPr>
                <w:b/>
                <w:color w:val="1E3A8A"/>
                <w:sz w:val="15"/>
              </w:rPr>
              <w:t xml:space="preserve">Ejemplo en Frontend: </w:t>
            </w:r>
            <w:r>
              <w:rPr>
                <w:i/>
                <w:color w:val="0F172A"/>
                <w:sz w:val="15"/>
              </w:rPr>
              <w:t>Al abrir la lección de condicionales, un estudiante Visual ve un diagrama de flujo con rombos de decisión coloreados y bifurcaciones interactivas; un estudiante Verbal ve una explicación detallada en prosa con ejemplos comentados; un conmutador superior permite alternar de formato a voluntad.</w:t>
            </w:r>
          </w:p>
        </w:tc>
        <w:tc>
          <w:tcPr>
            <w:tcW w:type="dxa" w:w="1224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20" w:line="276" w:lineRule="auto"/>
              <w:jc w:val="left"/>
            </w:pPr>
            <w:r>
              <w:rPr>
                <w:b/>
                <w:color w:val="1E3A8A"/>
                <w:sz w:val="16"/>
              </w:rPr>
              <w:t>☐ C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0F172A"/>
                <w:sz w:val="16"/>
              </w:rPr>
              <w:t>☐ CP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64748B"/>
                <w:sz w:val="16"/>
              </w:rPr>
              <w:t>☐ NC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64748B"/>
                <w:sz w:val="16"/>
              </w:rPr>
              <w:t>☐ NA</w:t>
            </w:r>
          </w:p>
        </w:tc>
        <w:tc>
          <w:tcPr>
            <w:tcW w:type="dxa" w:w="1224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color w:val="64748B"/>
                <w:sz w:val="15"/>
              </w:rPr>
              <w:t>Pts: ___ / 2</w:t>
              <w:br/>
              <w:t>Obs: [ ] Vista Verbal vs Visual probada</w:t>
            </w:r>
          </w:p>
        </w:tc>
      </w:tr>
      <w:tr>
        <w:tc>
          <w:tcPr>
            <w:tcW w:type="dxa" w:w="792"/>
            <w:shd w:fill="F8FAFC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1E3A8A"/>
                <w:sz w:val="16"/>
              </w:rPr>
              <w:t>UI-02</w:t>
            </w:r>
          </w:p>
        </w:tc>
        <w:tc>
          <w:tcPr>
            <w:tcW w:type="dxa" w:w="2952"/>
            <w:shd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76" w:lineRule="auto"/>
            </w:pPr>
            <w:r>
              <w:rPr>
                <w:b/>
                <w:color w:val="0F172A"/>
                <w:sz w:val="17"/>
              </w:rPr>
              <w:t>Característica 2: Modelo de Navegación Adaptativo (Global vs. Secuencial)</w:t>
              <w:br/>
            </w:r>
            <w:r>
              <w:rPr>
                <w:i/>
                <w:color w:val="64748B"/>
                <w:sz w:val="15"/>
              </w:rPr>
              <w:t>Ref: Tesis Caro Cap. 6.1.3 ("Adaptive Navigation Model", pp. 140-142, Fig. 6.14); Felder-Silverman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Reconfiguración adaptativa de menús: La navegación cambia según la dimensión Global vs. Secuencial de Felder-Silverman.</w:t>
            </w:r>
          </w:p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Navegación para Estilo Global: Barra superior de pestañas (Glossy Tabs) que permite visión panorámica y saltos conceptuales libres.</w:t>
            </w:r>
          </w:p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Navegación para Estilo Secuencial: Barra lineal con botones "Anterior" y "Siguiente" que aseguran el seguimiento estricto de prerrequisitos.</w:t>
            </w:r>
          </w:p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Desbloqueo adaptativo: El sistema permite desbloquear la navegación libre cuando un alumno secuencial demuestra alto dominio conceptual.</w:t>
            </w:r>
          </w:p>
          <w:p>
            <w:pPr>
              <w:spacing w:before="60" w:after="20" w:line="276" w:lineRule="auto"/>
            </w:pPr>
            <w:r>
              <w:rPr>
                <w:b/>
                <w:color w:val="1E3A8A"/>
                <w:sz w:val="15"/>
              </w:rPr>
              <w:t xml:space="preserve">Ejemplo en Frontend: </w:t>
            </w:r>
            <w:r>
              <w:rPr>
                <w:i/>
                <w:color w:val="0F172A"/>
                <w:sz w:val="15"/>
              </w:rPr>
              <w:t>Para el alumno secuencial, la interfaz bloquea el acceso directo a temas avanzados y lo guía con un botón destacado "Siguiente Lección (Paso 2 de 5)"; tras aprobar la evaluación diagnóstica con &gt; 90%, el sistema le habilita el menú de pestañas libres con un mensaje de logro.</w:t>
            </w:r>
          </w:p>
        </w:tc>
        <w:tc>
          <w:tcPr>
            <w:tcW w:type="dxa" w:w="1224"/>
            <w:shd w:fill="F8FAFC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20" w:line="276" w:lineRule="auto"/>
              <w:jc w:val="left"/>
            </w:pPr>
            <w:r>
              <w:rPr>
                <w:b/>
                <w:color w:val="1E3A8A"/>
                <w:sz w:val="16"/>
              </w:rPr>
              <w:t>☐ C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0F172A"/>
                <w:sz w:val="16"/>
              </w:rPr>
              <w:t>☐ CP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64748B"/>
                <w:sz w:val="16"/>
              </w:rPr>
              <w:t>☐ NC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64748B"/>
                <w:sz w:val="16"/>
              </w:rPr>
              <w:t>☐ NA</w:t>
            </w:r>
          </w:p>
        </w:tc>
        <w:tc>
          <w:tcPr>
            <w:tcW w:type="dxa" w:w="1224"/>
            <w:shd w:fill="F8FAFC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color w:val="64748B"/>
                <w:sz w:val="15"/>
              </w:rPr>
              <w:t>Pts: ___ / 2</w:t>
              <w:br/>
              <w:t>Obs: [ ] Menú pestañas vs botones secuenciales</w:t>
            </w:r>
          </w:p>
        </w:tc>
      </w:tr>
      <w:tr>
        <w:tc>
          <w:tcPr>
            <w:tcW w:type="dxa" w:w="792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1E3A8A"/>
                <w:sz w:val="16"/>
              </w:rPr>
              <w:t>UI-03</w:t>
            </w:r>
          </w:p>
        </w:tc>
        <w:tc>
          <w:tcPr>
            <w:tcW w:type="dxa" w:w="295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76" w:lineRule="auto"/>
            </w:pPr>
            <w:r>
              <w:rPr>
                <w:b/>
                <w:color w:val="0F172A"/>
                <w:sz w:val="17"/>
              </w:rPr>
              <w:t>Característica 3: Andamiaje Proactivo y Asesor Inteligente (Advisor)</w:t>
              <w:br/>
            </w:r>
            <w:r>
              <w:rPr>
                <w:i/>
                <w:color w:val="64748B"/>
                <w:sz w:val="15"/>
              </w:rPr>
              <w:t>Ref: Tesis Caro Cap. 3.1.3 ("Advisor package", pp. 54-56) y Cap. 6.1.3 (pp. 142-144, Fig. 6.12); Vygotsky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Presencia permanente del Advisor: Componente visible dedicado (panel lateral, asistente o avatar) que personifica la tutoría socrática.</w:t>
            </w:r>
          </w:p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Pistas escalonadas en 3 niveles (Graduated Hints): Nivel 1 (pregunta reflexiva), Nivel 2 (señalamiento directo del error o línea conflictiva), Nivel 3 (contraejemplo o solución análoga guiada).</w:t>
            </w:r>
          </w:p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Intervención no invasiva: Las ayudas se activan tras bloqueos sostenidos o a solicitud del estudiante, sin interrumpir abruptamente el flujo de trabajo.</w:t>
            </w:r>
          </w:p>
          <w:p>
            <w:pPr>
              <w:spacing w:before="60" w:after="20" w:line="276" w:lineRule="auto"/>
            </w:pPr>
            <w:r>
              <w:rPr>
                <w:b/>
                <w:color w:val="1E3A8A"/>
                <w:sz w:val="15"/>
              </w:rPr>
              <w:t xml:space="preserve">Ejemplo en Frontend: </w:t>
            </w:r>
            <w:r>
              <w:rPr>
                <w:i/>
                <w:color w:val="0F172A"/>
                <w:sz w:val="15"/>
              </w:rPr>
              <w:t>En el panel lateral "Consejos de tu Tutor Virtual", el alumno pulsa "Solicitar Pista (1/3)". El tutor sugiere: «¿Cómo inicializaste tu variable acumuladora antes del ciclo?». Si vuelve a fallar y pide la pista 2, el tutor resalta en color amarillo la línea 3: «El acumulador debe empezar en 0, no en 1».</w:t>
            </w:r>
          </w:p>
        </w:tc>
        <w:tc>
          <w:tcPr>
            <w:tcW w:type="dxa" w:w="1224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20" w:line="276" w:lineRule="auto"/>
              <w:jc w:val="left"/>
            </w:pPr>
            <w:r>
              <w:rPr>
                <w:b/>
                <w:color w:val="1E3A8A"/>
                <w:sz w:val="16"/>
              </w:rPr>
              <w:t>☐ C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0F172A"/>
                <w:sz w:val="16"/>
              </w:rPr>
              <w:t>☐ CP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64748B"/>
                <w:sz w:val="16"/>
              </w:rPr>
              <w:t>☐ NC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64748B"/>
                <w:sz w:val="16"/>
              </w:rPr>
              <w:t>☐ NA</w:t>
            </w:r>
          </w:p>
        </w:tc>
        <w:tc>
          <w:tcPr>
            <w:tcW w:type="dxa" w:w="1224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color w:val="64748B"/>
                <w:sz w:val="15"/>
              </w:rPr>
              <w:t>Pts: ___ / 2</w:t>
              <w:br/>
              <w:t>Obs: [ ] 3 niveles de pistas probados</w:t>
            </w:r>
          </w:p>
        </w:tc>
      </w:tr>
      <w:tr>
        <w:tc>
          <w:tcPr>
            <w:tcW w:type="dxa" w:w="792"/>
            <w:shd w:fill="F8FAFC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1E3A8A"/>
                <w:sz w:val="16"/>
              </w:rPr>
              <w:t>UI-04</w:t>
            </w:r>
          </w:p>
        </w:tc>
        <w:tc>
          <w:tcPr>
            <w:tcW w:type="dxa" w:w="2952"/>
            <w:shd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76" w:lineRule="auto"/>
            </w:pPr>
            <w:r>
              <w:rPr>
                <w:b/>
                <w:color w:val="0F172A"/>
                <w:sz w:val="17"/>
              </w:rPr>
              <w:t>Característica 4: Curaduría Dinámica y Resiliencia de Recursos Educativos</w:t>
              <w:br/>
            </w:r>
            <w:r>
              <w:rPr>
                <w:i/>
                <w:color w:val="64748B"/>
                <w:sz w:val="15"/>
              </w:rPr>
              <w:t>Ref: Tesis Caro Cap. 4.2 y Cap. 6.1.3 ("Resources curation", pp. 144-145); Algoritmos SQL y k-NN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Valoración de utilidad por el estudiante: Mecanismo explícito para que el alumno califique la claridad y pertinencia de las lecciones recibidas.</w:t>
            </w:r>
          </w:p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Recuperación adaptativa basada en pares: El sistema recomienda recursos complementarios seleccionados mediante algoritmos de proximidad cognitiva (k-NN).</w:t>
            </w:r>
          </w:p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Tolerancia a fallos y sustitución en caliente: Si un recurso externo falla (error 404 o timeout), la interfaz lo reemplaza de inmediato por una alternativa local sin romper la pantalla.</w:t>
            </w:r>
          </w:p>
          <w:p>
            <w:pPr>
              <w:spacing w:before="60" w:after="20" w:line="276" w:lineRule="auto"/>
            </w:pPr>
            <w:r>
              <w:rPr>
                <w:b/>
                <w:color w:val="1E3A8A"/>
                <w:sz w:val="15"/>
              </w:rPr>
              <w:t xml:space="preserve">Ejemplo en Frontend: </w:t>
            </w:r>
            <w:r>
              <w:rPr>
                <w:i/>
                <w:color w:val="0F172A"/>
                <w:sz w:val="15"/>
              </w:rPr>
              <w:t>Bajo una explicación interactiva, aparece el control "¿Fue clara esta explicación? [👍 Sí / 👎 No]". Al pulsar "No", el tutor consulta perfiles de pares históricos y despliega: «A otros estudiantes con tu mismo estilo les ayudó este recurso alternativo», cargando un video explicativo verificado.</w:t>
            </w:r>
          </w:p>
        </w:tc>
        <w:tc>
          <w:tcPr>
            <w:tcW w:type="dxa" w:w="1224"/>
            <w:shd w:fill="F8FAFC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20" w:line="276" w:lineRule="auto"/>
              <w:jc w:val="left"/>
            </w:pPr>
            <w:r>
              <w:rPr>
                <w:b/>
                <w:color w:val="1E3A8A"/>
                <w:sz w:val="16"/>
              </w:rPr>
              <w:t>☐ C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0F172A"/>
                <w:sz w:val="16"/>
              </w:rPr>
              <w:t>☐ CP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64748B"/>
                <w:sz w:val="16"/>
              </w:rPr>
              <w:t>☐ NC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64748B"/>
                <w:sz w:val="16"/>
              </w:rPr>
              <w:t>☐ NA</w:t>
            </w:r>
          </w:p>
        </w:tc>
        <w:tc>
          <w:tcPr>
            <w:tcW w:type="dxa" w:w="1224"/>
            <w:shd w:fill="F8FAFC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color w:val="64748B"/>
                <w:sz w:val="15"/>
              </w:rPr>
              <w:t>Pts: ___ / 2</w:t>
              <w:br/>
              <w:t>Obs: [ ] Calificación y fallback probados</w:t>
            </w:r>
          </w:p>
        </w:tc>
      </w:tr>
      <w:tr>
        <w:tc>
          <w:tcPr>
            <w:tcW w:type="dxa" w:w="792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1E3A8A"/>
                <w:sz w:val="16"/>
              </w:rPr>
              <w:t>UI-05</w:t>
            </w:r>
          </w:p>
        </w:tc>
        <w:tc>
          <w:tcPr>
            <w:tcW w:type="dxa" w:w="295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76" w:lineRule="auto"/>
            </w:pPr>
            <w:r>
              <w:rPr>
                <w:b/>
                <w:color w:val="0F172A"/>
                <w:sz w:val="17"/>
              </w:rPr>
              <w:t>Característica 5: Replanificación Instruccional en Tiempo Real ante Bloqueos</w:t>
              <w:br/>
            </w:r>
            <w:r>
              <w:rPr>
                <w:i/>
                <w:color w:val="64748B"/>
                <w:sz w:val="15"/>
              </w:rPr>
              <w:t>Ref: Tesis Caro Cap. 3.1.2, Cap. 6.1.2 y Cap. 6.1.3 (pp. 145-147); Caro et al. (2015)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Sensores de comportamiento y bloqueo: Monitoreo en el frontend de tiempos atípicamente largos, intentos fallidos consecutivos o clics erráticos.</w:t>
            </w:r>
          </w:p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Ruptura de la monotonía instruccional: Ante el fracaso reiterado, el tutor no repite la misma explicación fallida; cambia de táctica didáctica en tiempo real.</w:t>
            </w:r>
          </w:p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Reconfiguración dinámica de la pantalla: La vista se reestructura ofreciendo un enfoque pedagógico alternativo (ej. reto simplificado o simulación interactiva).</w:t>
            </w:r>
          </w:p>
          <w:p>
            <w:pPr>
              <w:spacing w:before="60" w:after="20" w:line="276" w:lineRule="auto"/>
            </w:pPr>
            <w:r>
              <w:rPr>
                <w:b/>
                <w:color w:val="1E3A8A"/>
                <w:sz w:val="15"/>
              </w:rPr>
              <w:t xml:space="preserve">Ejemplo en Frontend: </w:t>
            </w:r>
            <w:r>
              <w:rPr>
                <w:i/>
                <w:color w:val="0F172A"/>
                <w:sz w:val="15"/>
              </w:rPr>
              <w:t>Tras registrar 3 envíos erróneos sucesivos en un ejercicio, la pantalla se atenúa suavemente y el tutor interviene: «Parece que este problema presenta dificultades. Vamos a abordarlo de otra forma: resolvamos primero esta versión simplificada paso a paso», reconfigurando la interfaz a un modo guiado interactivo.</w:t>
            </w:r>
          </w:p>
        </w:tc>
        <w:tc>
          <w:tcPr>
            <w:tcW w:type="dxa" w:w="1224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20" w:line="276" w:lineRule="auto"/>
              <w:jc w:val="left"/>
            </w:pPr>
            <w:r>
              <w:rPr>
                <w:b/>
                <w:color w:val="1E3A8A"/>
                <w:sz w:val="16"/>
              </w:rPr>
              <w:t>☐ C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0F172A"/>
                <w:sz w:val="16"/>
              </w:rPr>
              <w:t>☐ CP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64748B"/>
                <w:sz w:val="16"/>
              </w:rPr>
              <w:t>☐ NC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64748B"/>
                <w:sz w:val="16"/>
              </w:rPr>
              <w:t>☐ NA</w:t>
            </w:r>
          </w:p>
        </w:tc>
        <w:tc>
          <w:tcPr>
            <w:tcW w:type="dxa" w:w="1224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color w:val="64748B"/>
                <w:sz w:val="15"/>
              </w:rPr>
              <w:t>Pts: ___ / 2</w:t>
              <w:br/>
              <w:t>Obs: [ ] Replanificación tras 3 errores</w:t>
            </w:r>
          </w:p>
        </w:tc>
      </w:tr>
    </w:tbl>
    <w:p>
      <w:pPr>
        <w:spacing w:before="0" w:after="80" w:line="276" w:lineRule="auto"/>
      </w:pPr>
    </w:p>
    <w:p>
      <w:pPr>
        <w:spacing w:before="160" w:after="60" w:line="276" w:lineRule="auto"/>
      </w:pPr>
      <w:r>
        <w:rPr>
          <w:rFonts w:ascii="Arial" w:hAnsi="Arial"/>
          <w:b/>
          <w:color w:val="0F172A"/>
          <w:sz w:val="22"/>
        </w:rPr>
        <w:t>5. BLOQUE 3: METACOGNICIÓN COMPUTACIONAL Y PROTOTIPO FUNPRO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92"/>
            <w:shd w:fill="0F172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2952"/>
            <w:shd w:fill="0F172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Criterio y Fundamento Teórico</w:t>
            </w:r>
          </w:p>
        </w:tc>
        <w:tc>
          <w:tcPr>
            <w:tcW w:type="dxa" w:w="3744"/>
            <w:shd w:fill="0F172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Evidencia Observable en el Frontend</w:t>
            </w:r>
          </w:p>
        </w:tc>
        <w:tc>
          <w:tcPr>
            <w:tcW w:type="dxa" w:w="1224"/>
            <w:shd w:fill="0F172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Valoración</w:t>
            </w:r>
          </w:p>
        </w:tc>
        <w:tc>
          <w:tcPr>
            <w:tcW w:type="dxa" w:w="1224"/>
            <w:shd w:fill="0F172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Puntos y Notas</w:t>
            </w:r>
          </w:p>
        </w:tc>
      </w:tr>
      <w:tr>
        <w:tc>
          <w:tcPr>
            <w:tcW w:type="dxa" w:w="792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1E3A8A"/>
                <w:sz w:val="16"/>
              </w:rPr>
              <w:t>META-01</w:t>
            </w:r>
          </w:p>
        </w:tc>
        <w:tc>
          <w:tcPr>
            <w:tcW w:type="dxa" w:w="295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76" w:lineRule="auto"/>
            </w:pPr>
            <w:r>
              <w:rPr>
                <w:b/>
                <w:color w:val="0F172A"/>
                <w:sz w:val="17"/>
              </w:rPr>
              <w:t>Doble Lazo de Razonamiento en la Interfaz (Double-Loop Architecture)</w:t>
              <w:br/>
            </w:r>
            <w:r>
              <w:rPr>
                <w:i/>
                <w:color w:val="64748B"/>
                <w:sz w:val="15"/>
              </w:rPr>
              <w:t>Ref: Tesis Caro Cap. 4.1 (pp. 62-65), Cap. 6.1 (pp. 120-122, Fig. 6.1); Nelson &amp; Narens (1990)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Diferenciación visual Nivel Objeto vs. Meta-Nivel: Separación clara entre el área donde se resuelve la tarea y el área donde se reflexiona sobre el aprendizaje.</w:t>
            </w:r>
          </w:p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Mecanismos de monitoreo introspectivo: Indicadores visuales para que el estudiante evalúe la efectividad de sus hábitos, tiempo invertido y ritmo de estudio.</w:t>
            </w:r>
          </w:p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Control metacognitivo asistido: El tutor explicita los motivos pedagógicos detrás de sus sugerencias, estimulando la autorregulación.</w:t>
            </w:r>
          </w:p>
          <w:p>
            <w:pPr>
              <w:spacing w:before="60" w:after="20" w:line="276" w:lineRule="auto"/>
            </w:pPr>
            <w:r>
              <w:rPr>
                <w:b/>
                <w:color w:val="1E3A8A"/>
                <w:sz w:val="15"/>
              </w:rPr>
              <w:t xml:space="preserve">Ejemplo en Frontend: </w:t>
            </w:r>
            <w:r>
              <w:rPr>
                <w:i/>
                <w:color w:val="0F172A"/>
                <w:sz w:val="15"/>
              </w:rPr>
              <w:t>La pantalla divide claramente el área central con el ejercicio interactivo (Nivel Objeto), de un panel superior colapsable titulado "Mi Autorregulación" (Meta-Nivel), que muestra una gráfica de autoeficacia con el mensaje: «Has completado 4 ejercicios al primer intento usando la estrategia de lectura previa».</w:t>
            </w:r>
          </w:p>
        </w:tc>
        <w:tc>
          <w:tcPr>
            <w:tcW w:type="dxa" w:w="1224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20" w:line="276" w:lineRule="auto"/>
              <w:jc w:val="left"/>
            </w:pPr>
            <w:r>
              <w:rPr>
                <w:b/>
                <w:color w:val="1E3A8A"/>
                <w:sz w:val="16"/>
              </w:rPr>
              <w:t>☐ C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0F172A"/>
                <w:sz w:val="16"/>
              </w:rPr>
              <w:t>☐ CP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64748B"/>
                <w:sz w:val="16"/>
              </w:rPr>
              <w:t>☐ NC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64748B"/>
                <w:sz w:val="16"/>
              </w:rPr>
              <w:t>☐ NA</w:t>
            </w:r>
          </w:p>
        </w:tc>
        <w:tc>
          <w:tcPr>
            <w:tcW w:type="dxa" w:w="1224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color w:val="64748B"/>
                <w:sz w:val="15"/>
              </w:rPr>
              <w:t>Pts: ___ / 2</w:t>
              <w:br/>
              <w:t>Obs: [ ] Separación Nivel Objeto / Meta-Nivel</w:t>
            </w:r>
          </w:p>
        </w:tc>
      </w:tr>
      <w:tr>
        <w:tc>
          <w:tcPr>
            <w:tcW w:type="dxa" w:w="792"/>
            <w:shd w:fill="F8FAFC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1E3A8A"/>
                <w:sz w:val="16"/>
              </w:rPr>
              <w:t>META-02</w:t>
            </w:r>
          </w:p>
        </w:tc>
        <w:tc>
          <w:tcPr>
            <w:tcW w:type="dxa" w:w="2952"/>
            <w:shd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76" w:lineRule="auto"/>
            </w:pPr>
            <w:r>
              <w:rPr>
                <w:b/>
                <w:color w:val="0F172A"/>
                <w:sz w:val="17"/>
              </w:rPr>
              <w:t>Juicios Metacognitivos y Metamemoria (Formalización COP y CSRD)</w:t>
              <w:br/>
            </w:r>
            <w:r>
              <w:rPr>
                <w:i/>
                <w:color w:val="64748B"/>
                <w:sz w:val="15"/>
              </w:rPr>
              <w:t>Ref: Tesis Caro Cap. 4.1.5 (pp. 73-76), Cap. 5.2.2 (pp. 88-95) y Cap. 6.2.2 (pp. 151-153, Fig. 6.8)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Juicios de Certeza previos y posteriores: Componentes donde el estudiante estima su nivel de confianza antes o después de responder (Juicios de Facilidad - EOL / Juicios de Aprendizaje - JOL).</w:t>
            </w:r>
          </w:p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Calibración de la ilusión de competencia: Contraste explícito entre la confianza declarada y el resultado obtenido, ayudando a calibrar la metacognición.</w:t>
            </w:r>
          </w:p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Selección informada por COP/CSRD: El tutor selecciona tácticas que optimizan la certeza pedagógica sin improvisación.</w:t>
            </w:r>
          </w:p>
          <w:p>
            <w:pPr>
              <w:spacing w:before="60" w:after="20" w:line="276" w:lineRule="auto"/>
            </w:pPr>
            <w:r>
              <w:rPr>
                <w:b/>
                <w:color w:val="1E3A8A"/>
                <w:sz w:val="15"/>
              </w:rPr>
              <w:t xml:space="preserve">Ejemplo en Frontend: </w:t>
            </w:r>
            <w:r>
              <w:rPr>
                <w:i/>
                <w:color w:val="0F172A"/>
                <w:sz w:val="15"/>
              </w:rPr>
              <w:t>Antes de confirmar el envío de un ejercicio, aparece un control deslizante: "¿Qué tan seguro estás de tu respuesta?: [Dudoso / Confiado / Seguro]". Al calificar, el sistema contrasta: «Marcaste 90% de certeza y obtuviste 100%. Tu juicio metacognitivo está perfectamente calibrado».</w:t>
            </w:r>
          </w:p>
        </w:tc>
        <w:tc>
          <w:tcPr>
            <w:tcW w:type="dxa" w:w="1224"/>
            <w:shd w:fill="F8FAFC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20" w:line="276" w:lineRule="auto"/>
              <w:jc w:val="left"/>
            </w:pPr>
            <w:r>
              <w:rPr>
                <w:b/>
                <w:color w:val="1E3A8A"/>
                <w:sz w:val="16"/>
              </w:rPr>
              <w:t>☐ C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0F172A"/>
                <w:sz w:val="16"/>
              </w:rPr>
              <w:t>☐ CP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64748B"/>
                <w:sz w:val="16"/>
              </w:rPr>
              <w:t>☐ NC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64748B"/>
                <w:sz w:val="16"/>
              </w:rPr>
              <w:t>☐ NA</w:t>
            </w:r>
          </w:p>
        </w:tc>
        <w:tc>
          <w:tcPr>
            <w:tcW w:type="dxa" w:w="1224"/>
            <w:shd w:fill="F8FAFC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color w:val="64748B"/>
                <w:sz w:val="15"/>
              </w:rPr>
              <w:t>Pts: ___ / 2</w:t>
              <w:br/>
              <w:t>Obs: [ ] Juicio de confianza interactivo</w:t>
            </w:r>
          </w:p>
        </w:tc>
      </w:tr>
      <w:tr>
        <w:tc>
          <w:tcPr>
            <w:tcW w:type="dxa" w:w="792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1E3A8A"/>
                <w:sz w:val="16"/>
              </w:rPr>
              <w:t>META-03</w:t>
            </w:r>
          </w:p>
        </w:tc>
        <w:tc>
          <w:tcPr>
            <w:tcW w:type="dxa" w:w="295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76" w:lineRule="auto"/>
            </w:pPr>
            <w:r>
              <w:rPr>
                <w:b/>
                <w:color w:val="0F172A"/>
                <w:sz w:val="17"/>
              </w:rPr>
              <w:t>Transparencia Algorítmica y Agencia Compartida (Shared Agency)</w:t>
              <w:br/>
            </w:r>
            <w:r>
              <w:rPr>
                <w:i/>
                <w:color w:val="64748B"/>
                <w:sz w:val="15"/>
              </w:rPr>
              <w:t>Ref: Tesis Caro Cap. 6.1.3 ("Learner control", pp. 146-147); Zimmerman (Self-Regulated Learning)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Agencia del estudiante: El alumno puede tomar decisiones sobre su propia ruta pedagógica, sobreescribiendo si lo desea las sugerencias del tutor.</w:t>
            </w:r>
          </w:p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Inteligencia Artificial Explicable (XAI): La interfaz transparenta por qué el sistema recomienda cierta actividad o por qué considera débil un concepto.</w:t>
            </w:r>
          </w:p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Evaluación formativa desprovista de castigo: Interfaz que fomenta la experimentación segura, el autoaprendizaje y la autonomía crítica.</w:t>
            </w:r>
          </w:p>
          <w:p>
            <w:pPr>
              <w:spacing w:before="60" w:after="20" w:line="276" w:lineRule="auto"/>
            </w:pPr>
            <w:r>
              <w:rPr>
                <w:b/>
                <w:color w:val="1E3A8A"/>
                <w:sz w:val="15"/>
              </w:rPr>
              <w:t xml:space="preserve">Ejemplo en Frontend: </w:t>
            </w:r>
            <w:r>
              <w:rPr>
                <w:i/>
                <w:color w:val="0F172A"/>
                <w:sz w:val="15"/>
              </w:rPr>
              <w:t>Al sugerir una lección de refuerzo, el tutor despliega: «Te sugerimos practicar 'Condicionales Anidados' porque tuviste dudas en el ejercicio anterior [¿Por qué veo esto?]». Junto al enlace, un botón permite al estudiante: "Quiero avanzar de todas formas al siguiente tema bajo mi responsabilidad".</w:t>
            </w:r>
          </w:p>
        </w:tc>
        <w:tc>
          <w:tcPr>
            <w:tcW w:type="dxa" w:w="1224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20" w:line="276" w:lineRule="auto"/>
              <w:jc w:val="left"/>
            </w:pPr>
            <w:r>
              <w:rPr>
                <w:b/>
                <w:color w:val="1E3A8A"/>
                <w:sz w:val="16"/>
              </w:rPr>
              <w:t>☐ C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0F172A"/>
                <w:sz w:val="16"/>
              </w:rPr>
              <w:t>☐ CP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64748B"/>
                <w:sz w:val="16"/>
              </w:rPr>
              <w:t>☐ NC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64748B"/>
                <w:sz w:val="16"/>
              </w:rPr>
              <w:t>☐ NA</w:t>
            </w:r>
          </w:p>
        </w:tc>
        <w:tc>
          <w:tcPr>
            <w:tcW w:type="dxa" w:w="1224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color w:val="64748B"/>
                <w:sz w:val="15"/>
              </w:rPr>
              <w:t>Pts: ___ / 2</w:t>
              <w:br/>
              <w:t>Obs: [ ] Agencia y explicabilidad visibles</w:t>
            </w:r>
          </w:p>
        </w:tc>
      </w:tr>
    </w:tbl>
    <w:p>
      <w:pPr>
        <w:spacing w:before="0" w:after="80" w:line="276" w:lineRule="auto"/>
      </w:pPr>
    </w:p>
    <w:p>
      <w:pPr>
        <w:spacing w:before="160" w:after="60" w:line="276" w:lineRule="auto"/>
      </w:pPr>
      <w:r>
        <w:rPr>
          <w:rFonts w:ascii="Arial" w:hAnsi="Arial"/>
          <w:b/>
          <w:color w:val="0F172A"/>
          <w:sz w:val="22"/>
        </w:rPr>
        <w:t>CUADRO DE CONSOLIDACIÓN Y DICTAMEN DE EVALUACIÓN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4608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Sección / Bloque Evaluado</w:t>
            </w:r>
          </w:p>
        </w:tc>
        <w:tc>
          <w:tcPr>
            <w:tcW w:type="dxa" w:w="1872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Puntos Posibles</w:t>
            </w:r>
          </w:p>
        </w:tc>
        <w:tc>
          <w:tcPr>
            <w:tcW w:type="dxa" w:w="1728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Puntos Logrados</w:t>
            </w:r>
          </w:p>
        </w:tc>
        <w:tc>
          <w:tcPr>
            <w:tcW w:type="dxa" w:w="1728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% Cumplimiento</w:t>
            </w:r>
          </w:p>
        </w:tc>
      </w:tr>
      <w:tr>
        <w:tc>
          <w:tcPr>
            <w:tcW w:type="dxa" w:w="46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0F172A"/>
                <w:sz w:val="17"/>
              </w:rPr>
              <w:t>Bloque 1: Reflejo de los 4 Módulos Canónicos en la UI (4 ítems)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sz w:val="17"/>
              </w:rPr>
              <w:t>8 pts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sz w:val="17"/>
              </w:rPr>
              <w:t>_____ pts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sz w:val="17"/>
              </w:rPr>
              <w:t>_____%</w:t>
            </w:r>
          </w:p>
        </w:tc>
      </w:tr>
      <w:tr>
        <w:tc>
          <w:tcPr>
            <w:tcW w:type="dxa" w:w="46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0F172A"/>
                <w:sz w:val="17"/>
              </w:rPr>
              <w:t>Bloque 2: Características que Reflejan la Inteligencia del Tutor (5 ítems)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sz w:val="17"/>
              </w:rPr>
              <w:t>10 pts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sz w:val="17"/>
              </w:rPr>
              <w:t>_____ pts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sz w:val="17"/>
              </w:rPr>
              <w:t>_____%</w:t>
            </w:r>
          </w:p>
        </w:tc>
      </w:tr>
      <w:tr>
        <w:tc>
          <w:tcPr>
            <w:tcW w:type="dxa" w:w="46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0F172A"/>
                <w:sz w:val="17"/>
              </w:rPr>
              <w:t>Bloque 3: Metacognición Computacional y Prototipo FUNPRO (3 ítems)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sz w:val="17"/>
              </w:rPr>
              <w:t>6 pts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sz w:val="17"/>
              </w:rPr>
              <w:t>_____ pts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sz w:val="17"/>
              </w:rPr>
              <w:t>_____%</w:t>
            </w:r>
          </w:p>
        </w:tc>
      </w:tr>
      <w:tr>
        <w:tc>
          <w:tcPr>
            <w:tcW w:type="dxa" w:w="4608"/>
            <w:shd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E3A8A"/>
                <w:sz w:val="18"/>
              </w:rPr>
              <w:t>PUNTUACIÓN GLOBAL TOTAL CONSOLIDADA:</w:t>
            </w:r>
          </w:p>
        </w:tc>
        <w:tc>
          <w:tcPr>
            <w:tcW w:type="dxa" w:w="1872"/>
            <w:shd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sz w:val="18"/>
              </w:rPr>
              <w:t>24 pts</w:t>
            </w:r>
          </w:p>
        </w:tc>
        <w:tc>
          <w:tcPr>
            <w:tcW w:type="dxa" w:w="1728"/>
            <w:shd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sz w:val="18"/>
              </w:rPr>
              <w:t>_____ pts</w:t>
            </w:r>
          </w:p>
        </w:tc>
        <w:tc>
          <w:tcPr>
            <w:tcW w:type="dxa" w:w="1728"/>
            <w:shd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sz w:val="18"/>
              </w:rPr>
              <w:t>_____%</w:t>
            </w:r>
          </w:p>
        </w:tc>
      </w:tr>
    </w:tbl>
    <w:p>
      <w:pPr>
        <w:spacing w:before="120" w:after="80" w:line="276" w:lineRule="auto"/>
      </w:pPr>
      <w:r>
        <w:rPr>
          <w:b/>
          <w:color w:val="64748B"/>
          <w:sz w:val="17"/>
        </w:rPr>
        <w:t>Escala Cualitativa de Aprobación:  [90-100%] Sobresaliente  |  [75-89%] Aceptable / Competente  |  [60-74%] Básico con Observaciones  |  [&lt; 60%] Insuficiente / Requiere Rehacer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9936"/>
      </w:tblGrid>
      <w:tr>
        <w:tc>
          <w:tcPr>
            <w:tcW w:type="dxa" w:w="993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b/>
                <w:color w:val="1E3A8A"/>
                <w:sz w:val="17"/>
              </w:rPr>
              <w:t>FORTALEZAS IDENTIFICADAS EN EL FRONTEND:</w:t>
              <w:br/>
            </w:r>
            <w:r>
              <w:rPr>
                <w:color w:val="0F172A"/>
                <w:sz w:val="17"/>
              </w:rPr>
              <w:t>[ Registre los aspectos más destacados de la implementación según las fuentes teóricas y la evidencia demostrada ]</w:t>
            </w:r>
          </w:p>
        </w:tc>
      </w:tr>
      <w:tr>
        <w:tc>
          <w:tcPr>
            <w:tcW w:type="dxa" w:w="993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b/>
                <w:color w:val="1E3A8A"/>
                <w:sz w:val="17"/>
              </w:rPr>
              <w:t>DEBILIDADES CRÍTICAS Y AJUSTES OBLIGATORIOS:</w:t>
              <w:br/>
            </w:r>
            <w:r>
              <w:rPr>
                <w:color w:val="0F172A"/>
                <w:sz w:val="17"/>
              </w:rPr>
              <w:t>[ Detalle los incumplimientos prioritarios a corregir y compromisos técnicos para la siguiente iteración ]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