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284C7"/>
          <w:sz w:val="19"/>
        </w:rPr>
        <w:t>UNIVERSIDAD DE CÓRDOBA — FACULTAD DE EDUCACIÓN Y CIENCIAS HUMANAS — DEPARTAMENTO DE INFORMÁTICA EDUCATIVA</w:t>
      </w:r>
    </w:p>
    <w:p>
      <w:pPr>
        <w:spacing w:before="40" w:after="80" w:line="276" w:lineRule="auto"/>
      </w:pPr>
      <w:r>
        <w:rPr>
          <w:rFonts w:ascii="Arial" w:hAnsi="Arial"/>
          <w:b/>
          <w:color w:val="0F172A"/>
          <w:sz w:val="33"/>
        </w:rPr>
        <w:t>Lista de Chequeo para la Verificación del Frontend: Sistemas Tutores Inteligentes (STI / ITS)</w:t>
      </w:r>
    </w:p>
    <w:p>
      <w:pPr>
        <w:spacing w:before="0" w:after="120" w:line="276" w:lineRule="auto"/>
      </w:pPr>
      <w:r>
        <w:rPr>
          <w:rFonts w:ascii="Arial" w:hAnsi="Arial"/>
          <w:color w:val="64748B"/>
          <w:sz w:val="20"/>
        </w:rPr>
        <w:t>Instrumento de evaluación formativa sobre cómo la interfaz de usuario refleja la inteligencia del tutor y la metacognición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before="0" w:after="0" w:line="276" w:lineRule="auto"/>
            </w:pPr>
            <w:r>
              <w:rPr>
                <w:rFonts w:ascii="Arial" w:hAnsi="Arial"/>
                <w:b/>
                <w:color w:val="1E3A8A"/>
                <w:sz w:val="17"/>
              </w:rPr>
              <w:t>FUENTE BIBLIOGRÁFICA DE REFERENCIA EXIGIDA:</w:t>
              <w:br/>
            </w:r>
            <w:r>
              <w:rPr>
                <w:rFonts w:ascii="Arial" w:hAnsi="Arial"/>
                <w:i/>
                <w:color w:val="0F172A"/>
                <w:sz w:val="17"/>
              </w:rPr>
              <w:t>Caro Piñeres, Manuel Fernando (2015). Metamodel for personalized adaptation of pedagogical strategies using metacognition in Intelligent Tutoring Systems. Tesis de Doctorado en Ingeniería, Universidad Nacional de Colombia, Sede Medellín. Director: Jovani Alberto Jiménez Builes, Ph.D.</w:t>
            </w:r>
          </w:p>
        </w:tc>
      </w:tr>
    </w:tbl>
    <w:p>
      <w:pPr>
        <w:spacing w:before="0" w:after="80" w:line="276" w:lineRule="auto"/>
      </w:pPr>
    </w:p>
    <w:p>
      <w:pPr>
        <w:spacing w:before="80" w:after="40" w:line="276" w:lineRule="auto"/>
      </w:pPr>
      <w:r>
        <w:rPr>
          <w:rFonts w:ascii="Arial" w:hAnsi="Arial"/>
          <w:b/>
          <w:color w:val="0F172A"/>
          <w:sz w:val="22"/>
        </w:rPr>
        <w:t>1. DATOS GENERALES DEL PROYECTO Y CONTROL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Asignatura / Curso: </w:t>
            </w:r>
            <w:r>
              <w:rPr>
                <w:color w:val="0F172A"/>
                <w:sz w:val="18"/>
              </w:rPr>
              <w:t>Diseño y Desarrollo de Software Educativo III (203457) — Semana 9 del curso (Reto 3) · 2026-2</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Fecha de Evaluación: </w:t>
            </w:r>
            <w:r>
              <w:rPr>
                <w:color w:val="0F172A"/>
                <w:sz w:val="18"/>
              </w:rPr>
              <w:t>04 / 10 / 2026 (análisis del «después»; verificación del equipo el 05/10/2026)</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Nombre del Sistema Tutor Inteligente (STI): </w:t>
            </w:r>
            <w:r>
              <w:rPr>
                <w:color w:val="0F172A"/>
                <w:sz w:val="18"/>
              </w:rPr>
              <w:t>STIRE-Soft — Sistema Tutor Inteligente con Repetición Espaciada (Fundamentos de Algoritmia)</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Versión / Rama Git: </w:t>
            </w:r>
            <w:r>
              <w:rPr>
                <w:color w:val="0F172A"/>
                <w:sz w:val="18"/>
              </w:rPr>
              <w:t>v2.0.0 candidata (la etiqueta se pone tras el visto bueno del equipo) / main @ 4d41b8d, desplegada el 04/10/2026</w:t>
            </w:r>
          </w:p>
        </w:tc>
      </w:tr>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Integrantes del Equipo: </w:t>
            </w:r>
            <w:r>
              <w:rPr>
                <w:color w:val="0F172A"/>
                <w:sz w:val="18"/>
              </w:rPr>
              <w:t>Jeider Gómez · Pedro Romero · José López · Julio Galvis · Jorge Iván Cervantes García (códigos: completar)</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URL Demo / Repositorio: </w:t>
            </w:r>
            <w:r>
              <w:rPr>
                <w:color w:val="0F172A"/>
                <w:sz w:val="18"/>
              </w:rPr>
              <w:t>https://stire-soft.vercel.app · https://github.com/Jeider-Gomez/Stire-Soft</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Docente / Evaluador: </w:t>
            </w:r>
            <w:r>
              <w:rPr>
                <w:color w:val="0F172A"/>
                <w:sz w:val="18"/>
              </w:rPr>
              <w:t>Prof. Raúl Toscano Miranda · Autoevaluación del equipo STIRE-Soft (revisión con apoyo de Claude Code)</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Calificación Final: </w:t>
            </w:r>
            <w:r>
              <w:rPr>
                <w:color w:val="0F172A"/>
                <w:sz w:val="18"/>
              </w:rPr>
              <w:t>100.0 / 100 pts  (100.0 %) — 24 de 24 puntos · Sobresaliente</w:t>
            </w:r>
          </w:p>
        </w:tc>
      </w:tr>
    </w:tbl>
    <w:p>
      <w:pPr>
        <w:spacing w:before="0" w:after="80" w:line="276" w:lineRule="auto"/>
      </w:pPr>
    </w:p>
    <w:p>
      <w:pPr>
        <w:spacing w:before="80" w:after="40" w:line="276" w:lineRule="auto"/>
      </w:pPr>
      <w:r>
        <w:rPr>
          <w:rFonts w:ascii="Arial" w:hAnsi="Arial"/>
          <w:b/>
          <w:color w:val="0F172A"/>
          <w:sz w:val="22"/>
        </w:rPr>
        <w:t>2. INSTRUCCIONES DE USO Y ESCALA DE VALORACIÓN</w:t>
      </w:r>
    </w:p>
    <w:p>
      <w:pPr>
        <w:spacing w:before="0" w:after="80" w:line="276" w:lineRule="auto"/>
      </w:pPr>
      <w:r>
        <w:rPr>
          <w:color w:val="334155"/>
          <w:sz w:val="19"/>
        </w:rPr>
        <w:t>Esta lista de chequeo evalúa si el frontend del Sistema Tutor Inteligente (STI) desarrollado por los estudiantes refleja de forma palpable la arquitectura canónica de cuatro módulos, las 5 características de interfaz adaptativa donde el estudiante experimenta la tutoría inteligente (Sección 6.1.3 de la tesis) y el soporte a la metacognición computacional mediante el Doble Lazo de Razonamiento, tal como fue modelado y validado en el prototipo FUNPRO.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152"/>
            <w:shd w:fill="1E3A8A"/>
            <w:tcMar>
              <w:top w:w="80" w:type="dxa"/>
              <w:bottom w:w="80" w:type="dxa"/>
              <w:left w:w="100" w:type="dxa"/>
              <w:right w:w="100" w:type="dxa"/>
            </w:tcMar>
          </w:tcPr>
          <w:p>
            <w:pPr>
              <w:spacing w:before="0" w:after="0" w:line="276" w:lineRule="auto"/>
              <w:jc w:val="center"/>
            </w:pPr>
            <w:r>
              <w:rPr>
                <w:b/>
                <w:color w:val="FFFFFF"/>
                <w:sz w:val="17"/>
              </w:rPr>
              <w:t>Código</w:t>
            </w:r>
          </w:p>
        </w:tc>
        <w:tc>
          <w:tcPr>
            <w:tcW w:type="dxa" w:w="2592"/>
            <w:shd w:fill="1E3A8A"/>
            <w:tcMar>
              <w:top w:w="80" w:type="dxa"/>
              <w:bottom w:w="80" w:type="dxa"/>
              <w:left w:w="100" w:type="dxa"/>
              <w:right w:w="100" w:type="dxa"/>
            </w:tcMar>
          </w:tcPr>
          <w:p>
            <w:pPr>
              <w:spacing w:before="0" w:after="0" w:line="276" w:lineRule="auto"/>
              <w:jc w:val="center"/>
            </w:pPr>
            <w:r>
              <w:rPr>
                <w:b/>
                <w:color w:val="FFFFFF"/>
                <w:sz w:val="17"/>
              </w:rPr>
              <w:t>Escala de Calificación</w:t>
            </w:r>
          </w:p>
        </w:tc>
        <w:tc>
          <w:tcPr>
            <w:tcW w:type="dxa" w:w="1584"/>
            <w:shd w:fill="1E3A8A"/>
            <w:tcMar>
              <w:top w:w="80" w:type="dxa"/>
              <w:bottom w:w="80" w:type="dxa"/>
              <w:left w:w="100" w:type="dxa"/>
              <w:right w:w="100" w:type="dxa"/>
            </w:tcMar>
          </w:tcPr>
          <w:p>
            <w:pPr>
              <w:spacing w:before="0" w:after="0" w:line="276" w:lineRule="auto"/>
              <w:jc w:val="center"/>
            </w:pPr>
            <w:r>
              <w:rPr>
                <w:b/>
                <w:color w:val="FFFFFF"/>
                <w:sz w:val="17"/>
              </w:rPr>
              <w:t>Ponderación</w:t>
            </w:r>
          </w:p>
        </w:tc>
        <w:tc>
          <w:tcPr>
            <w:tcW w:type="dxa" w:w="4608"/>
            <w:shd w:fill="1E3A8A"/>
            <w:tcMar>
              <w:top w:w="80" w:type="dxa"/>
              <w:bottom w:w="80" w:type="dxa"/>
              <w:left w:w="100" w:type="dxa"/>
              <w:right w:w="100" w:type="dxa"/>
            </w:tcMar>
          </w:tcPr>
          <w:p>
            <w:pPr>
              <w:spacing w:before="0" w:after="0" w:line="276" w:lineRule="auto"/>
              <w:jc w:val="center"/>
            </w:pPr>
            <w:r>
              <w:rPr>
                <w:b/>
                <w:color w:val="FFFFFF"/>
                <w:sz w:val="17"/>
              </w:rPr>
              <w:t>Criterio de Evaluación Operativo</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C</w:t>
            </w:r>
          </w:p>
        </w:tc>
        <w:tc>
          <w:tcPr>
            <w:tcW w:type="dxa" w:w="2592"/>
            <w:shd w:fill="FFFFFF"/>
            <w:tcMar>
              <w:top w:w="70" w:type="dxa"/>
              <w:bottom w:w="70" w:type="dxa"/>
              <w:left w:w="100" w:type="dxa"/>
              <w:right w:w="100" w:type="dxa"/>
            </w:tcMar>
          </w:tcPr>
          <w:p>
            <w:pPr>
              <w:spacing w:before="0" w:after="0" w:line="276" w:lineRule="auto"/>
            </w:pPr>
            <w:r>
              <w:rPr>
                <w:b/>
                <w:color w:val="0F172A"/>
                <w:sz w:val="17"/>
              </w:rPr>
              <w:t>Cumple Totalmente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2 Puntos (100%)</w:t>
            </w:r>
          </w:p>
        </w:tc>
        <w:tc>
          <w:tcPr>
            <w:tcW w:type="dxa" w:w="4608"/>
            <w:shd w:fill="FFFFFF"/>
            <w:tcMar>
              <w:top w:w="70" w:type="dxa"/>
              <w:bottom w:w="70" w:type="dxa"/>
              <w:left w:w="100" w:type="dxa"/>
              <w:right w:w="100" w:type="dxa"/>
            </w:tcMar>
          </w:tcPr>
          <w:p>
            <w:pPr>
              <w:spacing w:before="0" w:after="0" w:line="276" w:lineRule="auto"/>
            </w:pPr>
            <w:r>
              <w:rPr>
                <w:color w:val="0F172A"/>
                <w:sz w:val="17"/>
              </w:rPr>
              <w:t>El frontend implementa rigurosamente el criterio teórico; es funcional, visible y comprobable en la demo.</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CP</w:t>
            </w:r>
          </w:p>
        </w:tc>
        <w:tc>
          <w:tcPr>
            <w:tcW w:type="dxa" w:w="2592"/>
            <w:shd w:fill="F8FAFC"/>
            <w:tcMar>
              <w:top w:w="70" w:type="dxa"/>
              <w:bottom w:w="70" w:type="dxa"/>
              <w:left w:w="100" w:type="dxa"/>
              <w:right w:w="100" w:type="dxa"/>
            </w:tcMar>
          </w:tcPr>
          <w:p>
            <w:pPr>
              <w:spacing w:before="0" w:after="0" w:line="276" w:lineRule="auto"/>
            </w:pPr>
            <w:r>
              <w:rPr>
                <w:b/>
                <w:color w:val="0F172A"/>
                <w:sz w:val="17"/>
              </w:rPr>
              <w:t>Cumple Parcialmente</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1 Punto (50%)</w:t>
            </w:r>
          </w:p>
        </w:tc>
        <w:tc>
          <w:tcPr>
            <w:tcW w:type="dxa" w:w="4608"/>
            <w:shd w:fill="F8FAFC"/>
            <w:tcMar>
              <w:top w:w="70" w:type="dxa"/>
              <w:bottom w:w="70" w:type="dxa"/>
              <w:left w:w="100" w:type="dxa"/>
              <w:right w:w="100" w:type="dxa"/>
            </w:tcMar>
          </w:tcPr>
          <w:p>
            <w:pPr>
              <w:spacing w:before="0" w:after="0" w:line="276" w:lineRule="auto"/>
            </w:pPr>
            <w:r>
              <w:rPr>
                <w:color w:val="0F172A"/>
                <w:sz w:val="17"/>
              </w:rPr>
              <w:t>Se evidencia la intención en la interfaz o código, pero con inconsistencias, fallos visuales o cobertura incompleta.</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NC</w:t>
            </w:r>
          </w:p>
        </w:tc>
        <w:tc>
          <w:tcPr>
            <w:tcW w:type="dxa" w:w="2592"/>
            <w:shd w:fill="FFFFFF"/>
            <w:tcMar>
              <w:top w:w="70" w:type="dxa"/>
              <w:bottom w:w="70" w:type="dxa"/>
              <w:left w:w="100" w:type="dxa"/>
              <w:right w:w="100" w:type="dxa"/>
            </w:tcMar>
          </w:tcPr>
          <w:p>
            <w:pPr>
              <w:spacing w:before="0" w:after="0" w:line="276" w:lineRule="auto"/>
            </w:pPr>
            <w:r>
              <w:rPr>
                <w:b/>
                <w:color w:val="0F172A"/>
                <w:sz w:val="17"/>
              </w:rPr>
              <w:t>No Cumple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0 Puntos (0%)</w:t>
            </w:r>
          </w:p>
        </w:tc>
        <w:tc>
          <w:tcPr>
            <w:tcW w:type="dxa" w:w="4608"/>
            <w:shd w:fill="FFFFFF"/>
            <w:tcMar>
              <w:top w:w="70" w:type="dxa"/>
              <w:bottom w:w="70" w:type="dxa"/>
              <w:left w:w="100" w:type="dxa"/>
              <w:right w:w="100" w:type="dxa"/>
            </w:tcMar>
          </w:tcPr>
          <w:p>
            <w:pPr>
              <w:spacing w:before="0" w:after="0" w:line="276" w:lineRule="auto"/>
            </w:pPr>
            <w:r>
              <w:rPr>
                <w:color w:val="0F172A"/>
                <w:sz w:val="17"/>
              </w:rPr>
              <w:t>El criterio teórico no fue considerado; está ausente o no funciona en la interfaz de usuario desarrollada.</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NA</w:t>
            </w:r>
          </w:p>
        </w:tc>
        <w:tc>
          <w:tcPr>
            <w:tcW w:type="dxa" w:w="2592"/>
            <w:shd w:fill="F8FAFC"/>
            <w:tcMar>
              <w:top w:w="70" w:type="dxa"/>
              <w:bottom w:w="70" w:type="dxa"/>
              <w:left w:w="100" w:type="dxa"/>
              <w:right w:w="100" w:type="dxa"/>
            </w:tcMar>
          </w:tcPr>
          <w:p>
            <w:pPr>
              <w:spacing w:before="0" w:after="0" w:line="276" w:lineRule="auto"/>
            </w:pPr>
            <w:r>
              <w:rPr>
                <w:b/>
                <w:color w:val="0F172A"/>
                <w:sz w:val="17"/>
              </w:rPr>
              <w:t>No Aplica</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Excluido (N/A)</w:t>
            </w:r>
          </w:p>
        </w:tc>
        <w:tc>
          <w:tcPr>
            <w:tcW w:type="dxa" w:w="4608"/>
            <w:shd w:fill="F8FAFC"/>
            <w:tcMar>
              <w:top w:w="70" w:type="dxa"/>
              <w:bottom w:w="70" w:type="dxa"/>
              <w:left w:w="100" w:type="dxa"/>
              <w:right w:w="100" w:type="dxa"/>
            </w:tcMar>
          </w:tcPr>
          <w:p>
            <w:pPr>
              <w:spacing w:before="0" w:after="0" w:line="276" w:lineRule="auto"/>
            </w:pPr>
            <w:r>
              <w:rPr>
                <w:color w:val="0F172A"/>
                <w:sz w:val="17"/>
              </w:rPr>
              <w:t>El criterio fue explícitamente descartado del alcance por mutuo acuerdo con el docente.</w:t>
            </w:r>
          </w:p>
        </w:tc>
      </w:tr>
    </w:tbl>
    <w:p>
      <w:pPr>
        <w:spacing w:before="0" w:after="120" w:line="276" w:lineRule="auto"/>
      </w:pPr>
    </w:p>
    <w:p>
      <w:pPr>
        <w:spacing w:before="160" w:after="60" w:line="276" w:lineRule="auto"/>
      </w:pPr>
      <w:r>
        <w:rPr>
          <w:rFonts w:ascii="Arial" w:hAnsi="Arial"/>
          <w:b/>
          <w:color w:val="0F172A"/>
          <w:sz w:val="22"/>
        </w:rPr>
        <w:t>3. BLOQUE 1: REFLEJO EN LA INTERFAZ DE LOS CUATRO MÓDULOS CANÓNICOS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MOD-01</w:t>
            </w:r>
          </w:p>
        </w:tc>
        <w:tc>
          <w:tcPr>
            <w:tcW w:type="dxa" w:w="2952"/>
            <w:shd w:fill="FFFFFF"/>
            <w:tcMar>
              <w:top w:w="70" w:type="dxa"/>
              <w:bottom w:w="70" w:type="dxa"/>
              <w:left w:w="70" w:type="dxa"/>
              <w:right w:w="70" w:type="dxa"/>
            </w:tcMar>
          </w:tcPr>
          <w:p>
            <w:pPr>
              <w:spacing w:before="0" w:after="40" w:line="276" w:lineRule="auto"/>
            </w:pPr>
            <w:r>
              <w:rPr>
                <w:b/>
                <w:color w:val="0F172A"/>
                <w:sz w:val="17"/>
              </w:rPr>
              <w:t>Módulo del Experto / Dominio en la UI</w:t>
              <w:br/>
            </w:r>
            <w:r>
              <w:rPr>
                <w:i/>
                <w:color w:val="64748B"/>
                <w:sz w:val="15"/>
              </w:rPr>
              <w:t>Ref: Tesis Caro Cap. 2.2 ("Classic ITS Architecture", pp. 24-27) y Cap. 6.1 (pp. 121-125); Wenger (1987)</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Unidades Básicas de Aprendizaje (BLU): Conocimiento estructurado en lecciones atómicas y autocontenidas con objetivos conceptuales explícitos.</w:t>
            </w:r>
          </w:p>
          <w:p>
            <w:pPr>
              <w:spacing w:before="0" w:after="20" w:line="276" w:lineRule="auto"/>
            </w:pPr>
            <w:r>
              <w:rPr>
                <w:b/>
                <w:color w:val="0284C7"/>
                <w:sz w:val="16"/>
              </w:rPr>
              <w:t xml:space="preserve">• </w:t>
            </w:r>
            <w:r>
              <w:rPr>
                <w:color w:val="334155"/>
                <w:sz w:val="16"/>
              </w:rPr>
              <w:t>Visualización ontológica del dominio: Grafo conceptual, mapa de temas o árbol de contenidos que transparenta los prerrequisitos necesarios para avanzar.</w:t>
            </w:r>
          </w:p>
          <w:p>
            <w:pPr>
              <w:spacing w:before="0" w:after="20" w:line="276" w:lineRule="auto"/>
            </w:pPr>
            <w:r>
              <w:rPr>
                <w:b/>
                <w:color w:val="0284C7"/>
                <w:sz w:val="16"/>
              </w:rPr>
              <w:t xml:space="preserve">• </w:t>
            </w:r>
            <w:r>
              <w:rPr>
                <w:color w:val="334155"/>
                <w:sz w:val="16"/>
              </w:rPr>
              <w:t>Entorno operativo de verificación experta: Espacio interactivo (editor, simulador, cuestionario guiado) donde el conocimiento experto evalúa la lógica del estudiante en tiempo real.</w:t>
            </w:r>
          </w:p>
          <w:p>
            <w:pPr>
              <w:spacing w:before="60" w:after="20" w:line="276" w:lineRule="auto"/>
            </w:pPr>
            <w:r>
              <w:rPr>
                <w:b/>
                <w:color w:val="1E3A8A"/>
                <w:sz w:val="15"/>
              </w:rPr>
              <w:t xml:space="preserve">Ejemplo en Frontend: </w:t>
            </w:r>
            <w:r>
              <w:rPr>
                <w:i/>
                <w:color w:val="0F172A"/>
                <w:sz w:val="15"/>
              </w:rPr>
              <w:t>En la pantalla principal, el estudiante visualiza el mapa de conceptos de la asignatura ("Variables -&gt; Condicionales -&gt; Bucles"), donde los temas bloqueados por falta de prerrequisitos muestran un candado explicativo, y dispone de un editor donde el sistema valida la lógica del código al instante.</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Mapa de BLUs y validador de dominio</w:t>
              <w:br/>
              <w:t>Evidencia: Prerrequisitos visibles: cada módulo dice con qué se abre («Se abre con 50 % de dominio en …») en el menú y en el plan del curso, y el inicio avisa cuánto falta. Bloqueo suave, igual para todos: el siguiente módulo se abre con 50 % de dominio del anterior; dentro del módulo la navegación es libre; el docente cambia el umbral o lo apaga (Ajustes de la clase, «Avance entre módulos»). Se mantienen las lecciones atómicas y la verificación del código contra casos visibles y ocultos.</w:t>
              <w:br/>
              <w:t>Ajuste: Captura pc_doc_ajustes_umbral.webp.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MOD-02</w:t>
            </w:r>
          </w:p>
        </w:tc>
        <w:tc>
          <w:tcPr>
            <w:tcW w:type="dxa" w:w="2952"/>
            <w:shd w:fill="F8FAFC"/>
            <w:tcMar>
              <w:top w:w="70" w:type="dxa"/>
              <w:bottom w:w="70" w:type="dxa"/>
              <w:left w:w="70" w:type="dxa"/>
              <w:right w:w="70" w:type="dxa"/>
            </w:tcMar>
          </w:tcPr>
          <w:p>
            <w:pPr>
              <w:spacing w:before="0" w:after="40" w:line="276" w:lineRule="auto"/>
            </w:pPr>
            <w:r>
              <w:rPr>
                <w:b/>
                <w:color w:val="0F172A"/>
                <w:sz w:val="17"/>
              </w:rPr>
              <w:t>Módulo del Estudiante / Aprendiz en la UI (Overlay y Perfil Cognitivo)</w:t>
              <w:br/>
            </w:r>
            <w:r>
              <w:rPr>
                <w:i/>
                <w:color w:val="64748B"/>
                <w:sz w:val="15"/>
              </w:rPr>
              <w:t>Ref: Tesis Caro Cap. 2.2 (pp. 27-29), Cap. 6.1.2 (pp. 127-131, Fig. 6.9); Felder-Silverman</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Perfil cognitivo visible: Panel que muestra el estilo de aprendizaje del alumno según las dimensiones de Felder-Silverman (Visual/Verbal, Global/Secuencial).</w:t>
            </w:r>
          </w:p>
          <w:p>
            <w:pPr>
              <w:spacing w:before="0" w:after="20" w:line="276" w:lineRule="auto"/>
            </w:pPr>
            <w:r>
              <w:rPr>
                <w:b/>
                <w:color w:val="0284C7"/>
                <w:sz w:val="16"/>
              </w:rPr>
              <w:t xml:space="preserve">• </w:t>
            </w:r>
            <w:r>
              <w:rPr>
                <w:color w:val="334155"/>
                <w:sz w:val="16"/>
              </w:rPr>
              <w:t>Visualización del Modelo Overlay: Gráficos o barras que reflejan el estado dinámico del conocimiento (conceptos dominados en verde, en proceso en amarillo y pendientes en gris).</w:t>
            </w:r>
          </w:p>
          <w:p>
            <w:pPr>
              <w:spacing w:before="0" w:after="20" w:line="276" w:lineRule="auto"/>
            </w:pPr>
            <w:r>
              <w:rPr>
                <w:b/>
                <w:color w:val="0284C7"/>
                <w:sz w:val="16"/>
              </w:rPr>
              <w:t xml:space="preserve">• </w:t>
            </w:r>
            <w:r>
              <w:rPr>
                <w:color w:val="334155"/>
                <w:sz w:val="16"/>
              </w:rPr>
              <w:t>Diagnóstico de concepciones erróneas: Identificación y explicación de errores conceptuales profundos (misconceptions) diferenciándolos de descuidos sintácticos menores.</w:t>
            </w:r>
          </w:p>
          <w:p>
            <w:pPr>
              <w:spacing w:before="60" w:after="20" w:line="276" w:lineRule="auto"/>
            </w:pPr>
            <w:r>
              <w:rPr>
                <w:b/>
                <w:color w:val="1E3A8A"/>
                <w:sz w:val="15"/>
              </w:rPr>
              <w:t xml:space="preserve">Ejemplo en Frontend: </w:t>
            </w:r>
            <w:r>
              <w:rPr>
                <w:i/>
                <w:color w:val="0F172A"/>
                <w:sz w:val="15"/>
              </w:rPr>
              <w:t>Una tarjeta lateral "Mi Perfil de Aprendizaje" que indica: "Estilo dominante: Visual - Secuencial (70%)", un diagrama circular con el 65% del temario dominado en verde, y una advertencia: "Detectamos confusión reiterada entre el operador de asignación `=` y el de comparación `==`".</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Perfil Felder-Silverman y Overlay</w:t>
              <w:br/>
              <w:t>Evidencia: El modelo ya no se contradice: la racha cuenta solo las entregas terminadas y da lo mismo en el inicio y en «Mi progreso»; una lección empezada dice «Empezada», no «Toca repasarla». Concepciones erróneas: STIRE reconoce 10 tipos de error en la salida (vacía, eco de la entrada, textos pegados sin espacio, espacios, mayúsculas, puntuación, número corrido en uno, redondeo, número distinto, línea de más o de menos) y los explica (utils/diagnosticoSalida.ts); el Tutor recibe el tipo de error para orientar su pregunta (src/tutor/tutor-senales.ts). Adaptación: en lugar del perfil Felder-Silverman, STIRE recuerda el formato que el estudiante elige (ver UI-01). Es una decisión con respaldo (Pashler et al., 2008), que se presenta al profesor.</w:t>
              <w:br/>
              <w:t>Ajuste: Captura pc_est_diagnostico.webp.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MOD-03</w:t>
            </w:r>
          </w:p>
        </w:tc>
        <w:tc>
          <w:tcPr>
            <w:tcW w:type="dxa" w:w="2952"/>
            <w:shd w:fill="FFFFFF"/>
            <w:tcMar>
              <w:top w:w="70" w:type="dxa"/>
              <w:bottom w:w="70" w:type="dxa"/>
              <w:left w:w="70" w:type="dxa"/>
              <w:right w:w="70" w:type="dxa"/>
            </w:tcMar>
          </w:tcPr>
          <w:p>
            <w:pPr>
              <w:spacing w:before="0" w:after="40" w:line="276" w:lineRule="auto"/>
            </w:pPr>
            <w:r>
              <w:rPr>
                <w:b/>
                <w:color w:val="0F172A"/>
                <w:sz w:val="17"/>
              </w:rPr>
              <w:t>Módulo del Tutor / Pedagógico en la UI (Tácticas y Planes Didácticos)</w:t>
              <w:br/>
            </w:r>
            <w:r>
              <w:rPr>
                <w:i/>
                <w:color w:val="64748B"/>
                <w:sz w:val="15"/>
              </w:rPr>
              <w:t>Ref: Tesis Caro Cap. 2.2 (pp. 29-32), Cap. 3.1.2 (pp. 51-54, Planner) y Cap. 6.1.1 (Fig. 6.2); Nkambou (2010)</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Ejecución observable de tácticas pedagógicas: La interfaz despliega tácticas didácticas formales (de las 19 formalizadas: analogía, contraejemplo, desglose paso a paso, simulación).</w:t>
            </w:r>
          </w:p>
          <w:p>
            <w:pPr>
              <w:spacing w:before="0" w:after="20" w:line="276" w:lineRule="auto"/>
            </w:pPr>
            <w:r>
              <w:rPr>
                <w:b/>
                <w:color w:val="0284C7"/>
                <w:sz w:val="16"/>
              </w:rPr>
              <w:t xml:space="preserve">• </w:t>
            </w:r>
            <w:r>
              <w:rPr>
                <w:color w:val="334155"/>
                <w:sz w:val="16"/>
              </w:rPr>
              <w:t>Estructura instruccional jerárquica: Organización visible en Fases, Tareas y Actividades de aprendizaje concretas.</w:t>
            </w:r>
          </w:p>
          <w:p>
            <w:pPr>
              <w:spacing w:before="0" w:after="20" w:line="276" w:lineRule="auto"/>
            </w:pPr>
            <w:r>
              <w:rPr>
                <w:b/>
                <w:color w:val="0284C7"/>
                <w:sz w:val="16"/>
              </w:rPr>
              <w:t xml:space="preserve">• </w:t>
            </w:r>
            <w:r>
              <w:rPr>
                <w:color w:val="334155"/>
                <w:sz w:val="16"/>
              </w:rPr>
              <w:t>Dosificación dinámica de dificultad: Ajuste adaptativo del nivel de reto según el rendimiento cognitivo demostrado previamente por el alumno.</w:t>
            </w:r>
          </w:p>
          <w:p>
            <w:pPr>
              <w:spacing w:before="60" w:after="20" w:line="276" w:lineRule="auto"/>
            </w:pPr>
            <w:r>
              <w:rPr>
                <w:b/>
                <w:color w:val="1E3A8A"/>
                <w:sz w:val="15"/>
              </w:rPr>
              <w:t xml:space="preserve">Ejemplo en Frontend: </w:t>
            </w:r>
            <w:r>
              <w:rPr>
                <w:i/>
                <w:color w:val="0F172A"/>
                <w:sz w:val="15"/>
              </w:rPr>
              <w:t>Cuando el alumno falla en entender bucles condicionales, el tutor cambia de enfoque y le presenta una tarjeta con la táctica "Analogía cotidiana": «Imagina que lavas platos: 'mientras haya platos sucios, continúa lavando'», asignándole un ejercicio intermedio para reconstruir su confianza.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Tácticas pedagógicas activas</w:t>
              <w:br/>
              <w:t>Evidencia: Se mantiene: analogía, pregunta socrática, localizar la falla, ejemplo resuelto y reto; dificultad dinámica. Nuevo: «Resolverlo por pasos con el Tutor» (subpreguntas) y «Que el Tutor me lo explique de otra forma».</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MOD-04</w:t>
            </w:r>
          </w:p>
        </w:tc>
        <w:tc>
          <w:tcPr>
            <w:tcW w:type="dxa" w:w="2952"/>
            <w:shd w:fill="F8FAFC"/>
            <w:tcMar>
              <w:top w:w="70" w:type="dxa"/>
              <w:bottom w:w="70" w:type="dxa"/>
              <w:left w:w="70" w:type="dxa"/>
              <w:right w:w="70" w:type="dxa"/>
            </w:tcMar>
          </w:tcPr>
          <w:p>
            <w:pPr>
              <w:spacing w:before="0" w:after="40" w:line="276" w:lineRule="auto"/>
            </w:pPr>
            <w:r>
              <w:rPr>
                <w:b/>
                <w:color w:val="0F172A"/>
                <w:sz w:val="17"/>
              </w:rPr>
              <w:t>Módulo de Interfaz de Usuario como Traductor Ergonómico y Afectivo</w:t>
              <w:br/>
            </w:r>
            <w:r>
              <w:rPr>
                <w:i/>
                <w:color w:val="64748B"/>
                <w:sz w:val="15"/>
              </w:rPr>
              <w:t>Ref: Tesis Caro Cap. 2.2 (pp. 32-34) y Cap. 6.1.3 ("Learning environment", pp. 132-136); Sweller (1988)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Traductor bidireccional empático: Traduce las estructuras formales internas del sistema a un lenguaje pedagógico cercano, comprensible y motivador.</w:t>
            </w:r>
          </w:p>
          <w:p>
            <w:pPr>
              <w:spacing w:before="0" w:after="20" w:line="276" w:lineRule="auto"/>
            </w:pPr>
            <w:r>
              <w:rPr>
                <w:b/>
                <w:color w:val="0284C7"/>
                <w:sz w:val="16"/>
              </w:rPr>
              <w:t xml:space="preserve">• </w:t>
            </w:r>
            <w:r>
              <w:rPr>
                <w:color w:val="334155"/>
                <w:sz w:val="16"/>
              </w:rPr>
              <w:t>Reducción de carga cognitiva extraña: Interfaz despejada y focalizada en la tarea de aprendizaje, evitando elementos superfluos que saturen la memoria de trabajo.</w:t>
            </w:r>
          </w:p>
          <w:p>
            <w:pPr>
              <w:spacing w:before="0" w:after="20" w:line="276" w:lineRule="auto"/>
            </w:pPr>
            <w:r>
              <w:rPr>
                <w:b/>
                <w:color w:val="0284C7"/>
                <w:sz w:val="16"/>
              </w:rPr>
              <w:t xml:space="preserve">• </w:t>
            </w:r>
            <w:r>
              <w:rPr>
                <w:color w:val="334155"/>
                <w:sz w:val="16"/>
              </w:rPr>
              <w:t>Retroalimentación constructiva no punitiva: Mensajes de error orientados al crecimiento, felicitando el esfuerzo y orientando el reintento.</w:t>
            </w:r>
          </w:p>
          <w:p>
            <w:pPr>
              <w:spacing w:before="60" w:after="20" w:line="276" w:lineRule="auto"/>
            </w:pPr>
            <w:r>
              <w:rPr>
                <w:b/>
                <w:color w:val="1E3A8A"/>
                <w:sz w:val="15"/>
              </w:rPr>
              <w:t xml:space="preserve">Ejemplo en Frontend: </w:t>
            </w:r>
            <w:r>
              <w:rPr>
                <w:i/>
                <w:color w:val="0F172A"/>
                <w:sz w:val="15"/>
              </w:rPr>
              <w:t>En lugar de un error frío ("Código 400: Error de sintaxis"), el tutor muestra una burbuja empática: «¡Buen intento! Estuviste muy cerca; observa la condición de salida en la línea 5: ¿qué ocurre cuando el contador llega exactamente al valor límite?».</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Ergonomía de pantalla y feedback empático</w:t>
              <w:br/>
              <w:t>Evidencia: El mensaje del evaluador ahora orienta: «Casi: cambia alguna mayúscula o minúscula. La salida debe ser exactamente igual» en lugar de «Falla en salida». Se mantiene el lenguaje no punitivo de la pausa y del Tutor.</w:t>
              <w:br/>
              <w:t>Ajuste: Captura pc_est_diagnostico.webp.</w:t>
            </w:r>
          </w:p>
        </w:tc>
      </w:tr>
    </w:tbl>
    <w:p>
      <w:pPr>
        <w:spacing w:before="0" w:after="80" w:line="276" w:lineRule="auto"/>
      </w:pPr>
    </w:p>
    <w:p>
      <w:pPr>
        <w:spacing w:before="160" w:after="60" w:line="276" w:lineRule="auto"/>
      </w:pPr>
      <w:r>
        <w:rPr>
          <w:rFonts w:ascii="Arial" w:hAnsi="Arial"/>
          <w:b/>
          <w:color w:val="0F172A"/>
          <w:sz w:val="22"/>
        </w:rPr>
        <w:t>4. BLOQUE 2: CARACTERÍSTICAS DE LA INTERFAZ QUE REFLEJAN LA INTELIGENCIA DEL TUTOR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UI-01</w:t>
            </w:r>
          </w:p>
        </w:tc>
        <w:tc>
          <w:tcPr>
            <w:tcW w:type="dxa" w:w="2952"/>
            <w:shd w:fill="FFFFFF"/>
            <w:tcMar>
              <w:top w:w="70" w:type="dxa"/>
              <w:bottom w:w="70" w:type="dxa"/>
              <w:left w:w="70" w:type="dxa"/>
              <w:right w:w="70" w:type="dxa"/>
            </w:tcMar>
          </w:tcPr>
          <w:p>
            <w:pPr>
              <w:spacing w:before="0" w:after="40" w:line="276" w:lineRule="auto"/>
            </w:pPr>
            <w:r>
              <w:rPr>
                <w:b/>
                <w:color w:val="0F172A"/>
                <w:sz w:val="17"/>
              </w:rPr>
              <w:t>Característica 1: Adaptación Multimodal de Contenidos (Verbal vs. Visual)</w:t>
              <w:br/>
            </w:r>
            <w:r>
              <w:rPr>
                <w:i/>
                <w:color w:val="64748B"/>
                <w:sz w:val="15"/>
              </w:rPr>
              <w:t>Ref: Tesis Caro Cap. 6.1.3 ("Multimodal presentation", pp. 136-140, Fig. 6.13); Paivio (1986)</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Bifurcación adaptativa de presentación: El contenido didáctico se adapta en formato según el estilo de aprendizaje predominante del alumno.</w:t>
            </w:r>
          </w:p>
          <w:p>
            <w:pPr>
              <w:spacing w:before="0" w:after="20" w:line="276" w:lineRule="auto"/>
            </w:pPr>
            <w:r>
              <w:rPr>
                <w:b/>
                <w:color w:val="0284C7"/>
                <w:sz w:val="16"/>
              </w:rPr>
              <w:t xml:space="preserve">• </w:t>
            </w:r>
            <w:r>
              <w:rPr>
                <w:color w:val="334155"/>
                <w:sz w:val="16"/>
              </w:rPr>
              <w:t>Modalidad Verbal: Prosa conceptual rigurosa, explicaciones textuales paso a paso y pseudocódigo con comentarios explicativos.</w:t>
            </w:r>
          </w:p>
          <w:p>
            <w:pPr>
              <w:spacing w:before="0" w:after="20" w:line="276" w:lineRule="auto"/>
            </w:pPr>
            <w:r>
              <w:rPr>
                <w:b/>
                <w:color w:val="0284C7"/>
                <w:sz w:val="16"/>
              </w:rPr>
              <w:t xml:space="preserve">• </w:t>
            </w:r>
            <w:r>
              <w:rPr>
                <w:color w:val="334155"/>
                <w:sz w:val="16"/>
              </w:rPr>
              <w:t>Modalidad Visual: Diagramas de flujo coloreados, mapas conceptuales, esquemas interactivos e infografías estructuradas.</w:t>
            </w:r>
          </w:p>
          <w:p>
            <w:pPr>
              <w:spacing w:before="0" w:after="20" w:line="276" w:lineRule="auto"/>
            </w:pPr>
            <w:r>
              <w:rPr>
                <w:b/>
                <w:color w:val="0284C7"/>
                <w:sz w:val="16"/>
              </w:rPr>
              <w:t xml:space="preserve">• </w:t>
            </w:r>
            <w:r>
              <w:rPr>
                <w:color w:val="334155"/>
                <w:sz w:val="16"/>
              </w:rPr>
              <w:t>Equidad curricular: Ambas modalidades transmiten con idéntico rigor los mismos objetivos de aprendizaje del Módulo del Experto.</w:t>
            </w:r>
          </w:p>
          <w:p>
            <w:pPr>
              <w:spacing w:before="60" w:after="20" w:line="276" w:lineRule="auto"/>
            </w:pPr>
            <w:r>
              <w:rPr>
                <w:b/>
                <w:color w:val="1E3A8A"/>
                <w:sz w:val="15"/>
              </w:rPr>
              <w:t xml:space="preserve">Ejemplo en Frontend: </w:t>
            </w:r>
            <w:r>
              <w:rPr>
                <w:i/>
                <w:color w:val="0F172A"/>
                <w:sz w:val="15"/>
              </w:rPr>
              <w:t>Al abrir la lección de condicionales, un estudiante Visual ve un diagrama de flujo con rombos de decisión coloreados y bifurcaciones interactivas; un estudiante Verbal ve una explicación detallada en prosa con ejemplos comentados; un conmutador superior permite alternar de formato a voluntad.</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Vista Verbal vs Visual probada</w:t>
              <w:br/>
              <w:t>Evidencia: Cada algoritmo de las lecciones se ve en 4 formatos que el estudiante elige con pestañas: código, pseudocódigo, diagrama de flujo y paso a paso en palabras; STIRE recuerda el formato preferido. Funciona con pseudocódigo y con JavaScript: 7 de los 13 bloques de código de Fundamentos de Algoritmia se dibujan; los demás se muestran solo como código para no dibujar un diagrama equivocado. Adaptación al estudiante por lo que elige, no por una etiqueta de estilo (decisión con respaldo: Pashler et al., 2008; Kirschner, 2017).</w:t>
              <w:br/>
              <w:t>Ajuste: Capturas pc_est_algoritmo_diagrama.webp y pc_est_algoritmo_pasos.webp.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UI-02</w:t>
            </w:r>
          </w:p>
        </w:tc>
        <w:tc>
          <w:tcPr>
            <w:tcW w:type="dxa" w:w="2952"/>
            <w:shd w:fill="F8FAFC"/>
            <w:tcMar>
              <w:top w:w="70" w:type="dxa"/>
              <w:bottom w:w="70" w:type="dxa"/>
              <w:left w:w="70" w:type="dxa"/>
              <w:right w:w="70" w:type="dxa"/>
            </w:tcMar>
          </w:tcPr>
          <w:p>
            <w:pPr>
              <w:spacing w:before="0" w:after="40" w:line="276" w:lineRule="auto"/>
            </w:pPr>
            <w:r>
              <w:rPr>
                <w:b/>
                <w:color w:val="0F172A"/>
                <w:sz w:val="17"/>
              </w:rPr>
              <w:t>Característica 2: Modelo de Navegación Adaptativo (Global vs. Secuencial)</w:t>
              <w:br/>
            </w:r>
            <w:r>
              <w:rPr>
                <w:i/>
                <w:color w:val="64748B"/>
                <w:sz w:val="15"/>
              </w:rPr>
              <w:t>Ref: Tesis Caro Cap. 6.1.3 ("Adaptive Navigation Model", pp. 140-142, Fig. 6.14); Felder-Silverman</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Reconfiguración adaptativa de menús: La navegación cambia según la dimensión Global vs. Secuencial de Felder-Silverman.</w:t>
            </w:r>
          </w:p>
          <w:p>
            <w:pPr>
              <w:spacing w:before="0" w:after="20" w:line="276" w:lineRule="auto"/>
            </w:pPr>
            <w:r>
              <w:rPr>
                <w:b/>
                <w:color w:val="0284C7"/>
                <w:sz w:val="16"/>
              </w:rPr>
              <w:t xml:space="preserve">• </w:t>
            </w:r>
            <w:r>
              <w:rPr>
                <w:color w:val="334155"/>
                <w:sz w:val="16"/>
              </w:rPr>
              <w:t>Navegación para Estilo Global: Barra superior de pestañas (Glossy Tabs) que permite visión panorámica y saltos conceptuales libres.</w:t>
            </w:r>
          </w:p>
          <w:p>
            <w:pPr>
              <w:spacing w:before="0" w:after="20" w:line="276" w:lineRule="auto"/>
            </w:pPr>
            <w:r>
              <w:rPr>
                <w:b/>
                <w:color w:val="0284C7"/>
                <w:sz w:val="16"/>
              </w:rPr>
              <w:t xml:space="preserve">• </w:t>
            </w:r>
            <w:r>
              <w:rPr>
                <w:color w:val="334155"/>
                <w:sz w:val="16"/>
              </w:rPr>
              <w:t>Navegación para Estilo Secuencial: Barra lineal con botones "Anterior" y "Siguiente" que aseguran el seguimiento estricto de prerrequisitos.</w:t>
            </w:r>
          </w:p>
          <w:p>
            <w:pPr>
              <w:spacing w:before="0" w:after="20" w:line="276" w:lineRule="auto"/>
            </w:pPr>
            <w:r>
              <w:rPr>
                <w:b/>
                <w:color w:val="0284C7"/>
                <w:sz w:val="16"/>
              </w:rPr>
              <w:t xml:space="preserve">• </w:t>
            </w:r>
            <w:r>
              <w:rPr>
                <w:color w:val="334155"/>
                <w:sz w:val="16"/>
              </w:rPr>
              <w:t>Desbloqueo adaptativo: El sistema permite desbloquear la navegación libre cuando un alumno secuencial demuestra alto dominio conceptual.</w:t>
            </w:r>
          </w:p>
          <w:p>
            <w:pPr>
              <w:spacing w:before="60" w:after="20" w:line="276" w:lineRule="auto"/>
            </w:pPr>
            <w:r>
              <w:rPr>
                <w:b/>
                <w:color w:val="1E3A8A"/>
                <w:sz w:val="15"/>
              </w:rPr>
              <w:t xml:space="preserve">Ejemplo en Frontend: </w:t>
            </w:r>
            <w:r>
              <w:rPr>
                <w:i/>
                <w:color w:val="0F172A"/>
                <w:sz w:val="15"/>
              </w:rPr>
              <w:t>Para el alumno secuencial, la interfaz bloquea el acceso directo a temas avanzados y lo guía con un botón destacado "Siguiente Lección (Paso 2 de 5)"; tras aprobar la evaluación diagnóstica con &gt; 90%, el sistema le habilita el menú de pestañas libres con un mensaje de logro.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Menú pestañas vs botones secuenciales</w:t>
              <w:br/>
              <w:t>Evidencia: Global y secuencial a la vez, para todos: navegación libre dentro del módulo, ruta guiada de «Tu siguiente paso» y bloqueo suave entre módulos con aviso y progreso hacia el umbral. El reto deja adelantarse a quien ya sabe. El docente decide el umbral (0 = sin bloqueo). No se bloquea por perfil: se presenta al profesor como adaptación.</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UI-03</w:t>
            </w:r>
          </w:p>
        </w:tc>
        <w:tc>
          <w:tcPr>
            <w:tcW w:type="dxa" w:w="2952"/>
            <w:shd w:fill="FFFFFF"/>
            <w:tcMar>
              <w:top w:w="70" w:type="dxa"/>
              <w:bottom w:w="70" w:type="dxa"/>
              <w:left w:w="70" w:type="dxa"/>
              <w:right w:w="70" w:type="dxa"/>
            </w:tcMar>
          </w:tcPr>
          <w:p>
            <w:pPr>
              <w:spacing w:before="0" w:after="40" w:line="276" w:lineRule="auto"/>
            </w:pPr>
            <w:r>
              <w:rPr>
                <w:b/>
                <w:color w:val="0F172A"/>
                <w:sz w:val="17"/>
              </w:rPr>
              <w:t>Característica 3: Andamiaje Proactivo y Asesor Inteligente (Advisor)</w:t>
              <w:br/>
            </w:r>
            <w:r>
              <w:rPr>
                <w:i/>
                <w:color w:val="64748B"/>
                <w:sz w:val="15"/>
              </w:rPr>
              <w:t>Ref: Tesis Caro Cap. 3.1.3 ("Advisor package", pp. 54-56) y Cap. 6.1.3 (pp. 142-144, Fig. 6.12); Vygotsky</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Presencia permanente del Advisor: Componente visible dedicado (panel lateral, asistente o avatar) que personifica la tutoría socrática.</w:t>
            </w:r>
          </w:p>
          <w:p>
            <w:pPr>
              <w:spacing w:before="0" w:after="20" w:line="276" w:lineRule="auto"/>
            </w:pPr>
            <w:r>
              <w:rPr>
                <w:b/>
                <w:color w:val="0284C7"/>
                <w:sz w:val="16"/>
              </w:rPr>
              <w:t xml:space="preserve">• </w:t>
            </w:r>
            <w:r>
              <w:rPr>
                <w:color w:val="334155"/>
                <w:sz w:val="16"/>
              </w:rPr>
              <w:t>Pistas escalonadas en 3 niveles (Graduated Hints): Nivel 1 (pregunta reflexiva), Nivel 2 (señalamiento directo del error o línea conflictiva), Nivel 3 (contraejemplo o solución análoga guiada).</w:t>
            </w:r>
          </w:p>
          <w:p>
            <w:pPr>
              <w:spacing w:before="0" w:after="20" w:line="276" w:lineRule="auto"/>
            </w:pPr>
            <w:r>
              <w:rPr>
                <w:b/>
                <w:color w:val="0284C7"/>
                <w:sz w:val="16"/>
              </w:rPr>
              <w:t xml:space="preserve">• </w:t>
            </w:r>
            <w:r>
              <w:rPr>
                <w:color w:val="334155"/>
                <w:sz w:val="16"/>
              </w:rPr>
              <w:t>Intervención no invasiva: Las ayudas se activan tras bloqueos sostenidos o a solicitud del estudiante, sin interrumpir abruptamente el flujo de trabajo.</w:t>
            </w:r>
          </w:p>
          <w:p>
            <w:pPr>
              <w:spacing w:before="60" w:after="20" w:line="276" w:lineRule="auto"/>
            </w:pPr>
            <w:r>
              <w:rPr>
                <w:b/>
                <w:color w:val="1E3A8A"/>
                <w:sz w:val="15"/>
              </w:rPr>
              <w:t xml:space="preserve">Ejemplo en Frontend: </w:t>
            </w:r>
            <w:r>
              <w:rPr>
                <w:i/>
                <w:color w:val="0F172A"/>
                <w:sz w:val="15"/>
              </w:rPr>
              <w:t>En el panel lateral "Consejos de tu Tutor Virtual", el alumno pulsa "Solicitar Pista (1/3)". El tutor sugiere: «¿Cómo inicializaste tu variable acumuladora antes del ciclo?». Si vuelve a fallar y pide la pista 2, el tutor resalta en color amarillo la línea 3: «El acumulador debe empezar en 0, no en 1».</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3 niveles de pistas probados</w:t>
              <w:br/>
              <w:t>Evidencia: Se mantiene el Tutor en 3 niveles que nunca da la solución y se ofrece al fallar. Ahora recibe señales del estudiante (tipo de error, confianza declarada, modo «por pasos» u «otra explicación») por una lista cerrada (src/tutor/tutor-senales.ts) y ajusta su pregunta.</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UI-04</w:t>
            </w:r>
          </w:p>
        </w:tc>
        <w:tc>
          <w:tcPr>
            <w:tcW w:type="dxa" w:w="2952"/>
            <w:shd w:fill="F8FAFC"/>
            <w:tcMar>
              <w:top w:w="70" w:type="dxa"/>
              <w:bottom w:w="70" w:type="dxa"/>
              <w:left w:w="70" w:type="dxa"/>
              <w:right w:w="70" w:type="dxa"/>
            </w:tcMar>
          </w:tcPr>
          <w:p>
            <w:pPr>
              <w:spacing w:before="0" w:after="40" w:line="276" w:lineRule="auto"/>
            </w:pPr>
            <w:r>
              <w:rPr>
                <w:b/>
                <w:color w:val="0F172A"/>
                <w:sz w:val="17"/>
              </w:rPr>
              <w:t>Característica 4: Curaduría Dinámica y Resiliencia de Recursos Educativos</w:t>
              <w:br/>
            </w:r>
            <w:r>
              <w:rPr>
                <w:i/>
                <w:color w:val="64748B"/>
                <w:sz w:val="15"/>
              </w:rPr>
              <w:t>Ref: Tesis Caro Cap. 4.2 y Cap. 6.1.3 ("Resources curation", pp. 144-145); Algoritmos SQL y k-NN</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Valoración de utilidad por el estudiante: Mecanismo explícito para que el alumno califique la claridad y pertinencia de las lecciones recibidas.</w:t>
            </w:r>
          </w:p>
          <w:p>
            <w:pPr>
              <w:spacing w:before="0" w:after="20" w:line="276" w:lineRule="auto"/>
            </w:pPr>
            <w:r>
              <w:rPr>
                <w:b/>
                <w:color w:val="0284C7"/>
                <w:sz w:val="16"/>
              </w:rPr>
              <w:t xml:space="preserve">• </w:t>
            </w:r>
            <w:r>
              <w:rPr>
                <w:color w:val="334155"/>
                <w:sz w:val="16"/>
              </w:rPr>
              <w:t>Recuperación adaptativa basada en pares: El sistema recomienda recursos complementarios seleccionados mediante algoritmos de proximidad cognitiva (k-NN).</w:t>
            </w:r>
          </w:p>
          <w:p>
            <w:pPr>
              <w:spacing w:before="0" w:after="20" w:line="276" w:lineRule="auto"/>
            </w:pPr>
            <w:r>
              <w:rPr>
                <w:b/>
                <w:color w:val="0284C7"/>
                <w:sz w:val="16"/>
              </w:rPr>
              <w:t xml:space="preserve">• </w:t>
            </w:r>
            <w:r>
              <w:rPr>
                <w:color w:val="334155"/>
                <w:sz w:val="16"/>
              </w:rPr>
              <w:t>Tolerancia a fallos y sustitución en caliente: Si un recurso externo falla (error 404 o timeout), la interfaz lo reemplaza de inmediato por una alternativa local sin romper la pantalla.</w:t>
            </w:r>
          </w:p>
          <w:p>
            <w:pPr>
              <w:spacing w:before="60" w:after="20" w:line="276" w:lineRule="auto"/>
            </w:pPr>
            <w:r>
              <w:rPr>
                <w:b/>
                <w:color w:val="1E3A8A"/>
                <w:sz w:val="15"/>
              </w:rPr>
              <w:t xml:space="preserve">Ejemplo en Frontend: </w:t>
            </w:r>
            <w:r>
              <w:rPr>
                <w:i/>
                <w:color w:val="0F172A"/>
                <w:sz w:val="15"/>
              </w:rPr>
              <w:t>Bajo una explicación interactiva, aparece el control "¿Fue clara esta explicación? [👍 Sí / 👎 No]". Al pulsar "No", el tutor consulta perfiles de pares históricos y despliega: «A otros estudiantes con tu mismo estilo les ayudó este recurso alternativo», cargando un video explicativo verificado.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Calificación y fallback probados</w:t>
              <w:br/>
              <w:t>Evidencia: «¿Te sirvió esta explicación? Sí / No» al final de cada lección, con comentario opcional; con «No» se ofrece «Que el Tutor me lo explique de otra forma». El docente ve en «Hoy» qué lecciones no sirvieron, con los comentarios y sin nombres («¿Les sirvieron las explicaciones?»), y abre la lección para mejorarla. Si una imagen no carga, la lección lo dice y ofrece abrirla; si un recurso externo no carga, ofrece abrirlo en otra pestaña o «Pedirle al Tutor que lo explique» (components/LessonResource.vue). La recomendación por pares (k-NN) se cambió por esta regla, que sirve con pocos estudiantes.</w:t>
              <w:br/>
              <w:t>Ajuste: Capturas pc_est_valorar.webp y pc_doc_clase.webp.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UI-05</w:t>
            </w:r>
          </w:p>
        </w:tc>
        <w:tc>
          <w:tcPr>
            <w:tcW w:type="dxa" w:w="2952"/>
            <w:shd w:fill="FFFFFF"/>
            <w:tcMar>
              <w:top w:w="70" w:type="dxa"/>
              <w:bottom w:w="70" w:type="dxa"/>
              <w:left w:w="70" w:type="dxa"/>
              <w:right w:w="70" w:type="dxa"/>
            </w:tcMar>
          </w:tcPr>
          <w:p>
            <w:pPr>
              <w:spacing w:before="0" w:after="40" w:line="276" w:lineRule="auto"/>
            </w:pPr>
            <w:r>
              <w:rPr>
                <w:b/>
                <w:color w:val="0F172A"/>
                <w:sz w:val="17"/>
              </w:rPr>
              <w:t>Característica 5: Replanificación Instruccional en Tiempo Real ante Bloqueos</w:t>
              <w:br/>
            </w:r>
            <w:r>
              <w:rPr>
                <w:i/>
                <w:color w:val="64748B"/>
                <w:sz w:val="15"/>
              </w:rPr>
              <w:t>Ref: Tesis Caro Cap. 3.1.2, Cap. 6.1.2 y Cap. 6.1.3 (pp. 145-147); Caro et al. (2015)</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Sensores de comportamiento y bloqueo: Monitoreo en el frontend de tiempos atípicamente largos, intentos fallidos consecutivos o clics erráticos.</w:t>
            </w:r>
          </w:p>
          <w:p>
            <w:pPr>
              <w:spacing w:before="0" w:after="20" w:line="276" w:lineRule="auto"/>
            </w:pPr>
            <w:r>
              <w:rPr>
                <w:b/>
                <w:color w:val="0284C7"/>
                <w:sz w:val="16"/>
              </w:rPr>
              <w:t xml:space="preserve">• </w:t>
            </w:r>
            <w:r>
              <w:rPr>
                <w:color w:val="334155"/>
                <w:sz w:val="16"/>
              </w:rPr>
              <w:t>Ruptura de la monotonía instruccional: Ante el fracaso reiterado, el tutor no repite la misma explicación fallida; cambia de táctica didáctica en tiempo real.</w:t>
            </w:r>
          </w:p>
          <w:p>
            <w:pPr>
              <w:spacing w:before="0" w:after="20" w:line="276" w:lineRule="auto"/>
            </w:pPr>
            <w:r>
              <w:rPr>
                <w:b/>
                <w:color w:val="0284C7"/>
                <w:sz w:val="16"/>
              </w:rPr>
              <w:t xml:space="preserve">• </w:t>
            </w:r>
            <w:r>
              <w:rPr>
                <w:color w:val="334155"/>
                <w:sz w:val="16"/>
              </w:rPr>
              <w:t>Reconfiguración dinámica de la pantalla: La vista se reestructura ofreciendo un enfoque pedagógico alternativo (ej. reto simplificado o simulación interactiva).</w:t>
            </w:r>
          </w:p>
          <w:p>
            <w:pPr>
              <w:spacing w:before="60" w:after="20" w:line="276" w:lineRule="auto"/>
            </w:pPr>
            <w:r>
              <w:rPr>
                <w:b/>
                <w:color w:val="1E3A8A"/>
                <w:sz w:val="15"/>
              </w:rPr>
              <w:t xml:space="preserve">Ejemplo en Frontend: </w:t>
            </w:r>
            <w:r>
              <w:rPr>
                <w:i/>
                <w:color w:val="0F172A"/>
                <w:sz w:val="15"/>
              </w:rPr>
              <w:t>Tras registrar 3 envíos erróneos sucesivos en un ejercicio, la pantalla se atenúa suavemente y el tutor interviene: «Parece que este problema presenta dificultades. Vamos a abordarlo de otra forma: resolvamos primero esta versión simplificada paso a paso», reconfigurando la interfaz a un modo guiado interactivo.</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Replanificación tras 3 errores</w:t>
              <w:br/>
              <w:t>Evidencia: Se mantiene la pausa tras 3 fallos con aviso al docente. Nuevo: «Resolverlo por pasos con el Tutor», que divide el problema en subpreguntas; se ofrece, no se impone.</w:t>
            </w:r>
          </w:p>
        </w:tc>
      </w:tr>
    </w:tbl>
    <w:p>
      <w:pPr>
        <w:spacing w:before="0" w:after="80" w:line="276" w:lineRule="auto"/>
      </w:pPr>
    </w:p>
    <w:p>
      <w:pPr>
        <w:spacing w:before="160" w:after="60" w:line="276" w:lineRule="auto"/>
      </w:pPr>
      <w:r>
        <w:rPr>
          <w:rFonts w:ascii="Arial" w:hAnsi="Arial"/>
          <w:b/>
          <w:color w:val="0F172A"/>
          <w:sz w:val="22"/>
        </w:rPr>
        <w:t>5. BLOQUE 3: METACOGNICIÓN COMPUTACIONAL Y PROTOTIPO FUNPRO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META-01</w:t>
            </w:r>
          </w:p>
        </w:tc>
        <w:tc>
          <w:tcPr>
            <w:tcW w:type="dxa" w:w="2952"/>
            <w:shd w:fill="FFFFFF"/>
            <w:tcMar>
              <w:top w:w="70" w:type="dxa"/>
              <w:bottom w:w="70" w:type="dxa"/>
              <w:left w:w="70" w:type="dxa"/>
              <w:right w:w="70" w:type="dxa"/>
            </w:tcMar>
          </w:tcPr>
          <w:p>
            <w:pPr>
              <w:spacing w:before="0" w:after="40" w:line="276" w:lineRule="auto"/>
            </w:pPr>
            <w:r>
              <w:rPr>
                <w:b/>
                <w:color w:val="0F172A"/>
                <w:sz w:val="17"/>
              </w:rPr>
              <w:t>Doble Lazo de Razonamiento en la Interfaz (Double-Loop Architecture)</w:t>
              <w:br/>
            </w:r>
            <w:r>
              <w:rPr>
                <w:i/>
                <w:color w:val="64748B"/>
                <w:sz w:val="15"/>
              </w:rPr>
              <w:t>Ref: Tesis Caro Cap. 4.1 (pp. 62-65), Cap. 6.1 (pp. 120-122, Fig. 6.1); Nelson &amp; Narens (1990)</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Diferenciación visual Nivel Objeto vs. Meta-Nivel: Separación clara entre el área donde se resuelve la tarea y el área donde se reflexiona sobre el aprendizaje.</w:t>
            </w:r>
          </w:p>
          <w:p>
            <w:pPr>
              <w:spacing w:before="0" w:after="20" w:line="276" w:lineRule="auto"/>
            </w:pPr>
            <w:r>
              <w:rPr>
                <w:b/>
                <w:color w:val="0284C7"/>
                <w:sz w:val="16"/>
              </w:rPr>
              <w:t xml:space="preserve">• </w:t>
            </w:r>
            <w:r>
              <w:rPr>
                <w:color w:val="334155"/>
                <w:sz w:val="16"/>
              </w:rPr>
              <w:t>Mecanismos de monitoreo introspectivo: Indicadores visuales para que el estudiante evalúe la efectividad de sus hábitos, tiempo invertido y ritmo de estudio.</w:t>
            </w:r>
          </w:p>
          <w:p>
            <w:pPr>
              <w:spacing w:before="0" w:after="20" w:line="276" w:lineRule="auto"/>
            </w:pPr>
            <w:r>
              <w:rPr>
                <w:b/>
                <w:color w:val="0284C7"/>
                <w:sz w:val="16"/>
              </w:rPr>
              <w:t xml:space="preserve">• </w:t>
            </w:r>
            <w:r>
              <w:rPr>
                <w:color w:val="334155"/>
                <w:sz w:val="16"/>
              </w:rPr>
              <w:t>Control metacognitivo asistido: El tutor explicita los motivos pedagógicos detrás de sus sugerencias, estimulando la autorregulación.</w:t>
            </w:r>
          </w:p>
          <w:p>
            <w:pPr>
              <w:spacing w:before="60" w:after="20" w:line="276" w:lineRule="auto"/>
            </w:pPr>
            <w:r>
              <w:rPr>
                <w:b/>
                <w:color w:val="1E3A8A"/>
                <w:sz w:val="15"/>
              </w:rPr>
              <w:t xml:space="preserve">Ejemplo en Frontend: </w:t>
            </w:r>
            <w:r>
              <w:rPr>
                <w:i/>
                <w:color w:val="0F172A"/>
                <w:sz w:val="15"/>
              </w:rPr>
              <w:t>La pantalla divide claramente el área central con el ejercicio interactivo (Nivel Objeto), de un panel superior colapsable titulado "Mi Autorregulación" (Meta-Nivel), que muestra una gráfica de autoeficacia con el mensaje: «Has completado 4 ejercicios al primer intento usando la estrategia de lectura previa».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Separación Nivel Objeto / Meta-Nivel</w:t>
              <w:br/>
              <w:t>Evidencia: «Mi autorregulación» en «Mi progreso»: una reflexión según sus datos de la semana (días con práctica, repasos vencidos, retención en los repasos y lecciones en práctica o dominadas) con una pregunta para pensar la estrategia (utils/autorregulacion.ts).</w:t>
              <w:br/>
              <w:t>Ajuste: Captura pc_est_progreso.webp.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META-02</w:t>
            </w:r>
          </w:p>
        </w:tc>
        <w:tc>
          <w:tcPr>
            <w:tcW w:type="dxa" w:w="2952"/>
            <w:shd w:fill="F8FAFC"/>
            <w:tcMar>
              <w:top w:w="70" w:type="dxa"/>
              <w:bottom w:w="70" w:type="dxa"/>
              <w:left w:w="70" w:type="dxa"/>
              <w:right w:w="70" w:type="dxa"/>
            </w:tcMar>
          </w:tcPr>
          <w:p>
            <w:pPr>
              <w:spacing w:before="0" w:after="40" w:line="276" w:lineRule="auto"/>
            </w:pPr>
            <w:r>
              <w:rPr>
                <w:b/>
                <w:color w:val="0F172A"/>
                <w:sz w:val="17"/>
              </w:rPr>
              <w:t>Juicios Metacognitivos y Metamemoria (Formalización COP y CSRD)</w:t>
              <w:br/>
            </w:r>
            <w:r>
              <w:rPr>
                <w:i/>
                <w:color w:val="64748B"/>
                <w:sz w:val="15"/>
              </w:rPr>
              <w:t>Ref: Tesis Caro Cap. 4.1.5 (pp. 73-76), Cap. 5.2.2 (pp. 88-95) y Cap. 6.2.2 (pp. 151-153, Fig. 6.8)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Juicios de Certeza previos y posteriores: Componentes donde el estudiante estima su nivel de confianza antes o después de responder (Juicios de Facilidad - EOL / Juicios de Aprendizaje - JOL).</w:t>
            </w:r>
          </w:p>
          <w:p>
            <w:pPr>
              <w:spacing w:before="0" w:after="20" w:line="276" w:lineRule="auto"/>
            </w:pPr>
            <w:r>
              <w:rPr>
                <w:b/>
                <w:color w:val="0284C7"/>
                <w:sz w:val="16"/>
              </w:rPr>
              <w:t xml:space="preserve">• </w:t>
            </w:r>
            <w:r>
              <w:rPr>
                <w:color w:val="334155"/>
                <w:sz w:val="16"/>
              </w:rPr>
              <w:t>Calibración de la ilusión de competencia: Contraste explícito entre la confianza declarada y el resultado obtenido, ayudando a calibrar la metacognición.</w:t>
            </w:r>
          </w:p>
          <w:p>
            <w:pPr>
              <w:spacing w:before="0" w:after="20" w:line="276" w:lineRule="auto"/>
            </w:pPr>
            <w:r>
              <w:rPr>
                <w:b/>
                <w:color w:val="0284C7"/>
                <w:sz w:val="16"/>
              </w:rPr>
              <w:t xml:space="preserve">• </w:t>
            </w:r>
            <w:r>
              <w:rPr>
                <w:color w:val="334155"/>
                <w:sz w:val="16"/>
              </w:rPr>
              <w:t>Selección informada por COP/CSRD: El tutor selecciona tácticas que optimizan la certeza pedagógica sin improvisación.</w:t>
            </w:r>
          </w:p>
          <w:p>
            <w:pPr>
              <w:spacing w:before="60" w:after="20" w:line="276" w:lineRule="auto"/>
            </w:pPr>
            <w:r>
              <w:rPr>
                <w:b/>
                <w:color w:val="1E3A8A"/>
                <w:sz w:val="15"/>
              </w:rPr>
              <w:t xml:space="preserve">Ejemplo en Frontend: </w:t>
            </w:r>
            <w:r>
              <w:rPr>
                <w:i/>
                <w:color w:val="0F172A"/>
                <w:sz w:val="15"/>
              </w:rPr>
              <w:t>Antes de confirmar el envío de un ejercicio, aparece un control deslizante: "¿Qué tan seguro estás de tu respuesta?: [Dudoso / Confiado / Seguro]". Al calificar, el sistema contrasta: «Marcaste 90% de certeza y obtuviste 100%. Tu juicio metacognitivo está perfectamente calibrado».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Juicio de confianza interactivo</w:t>
              <w:br/>
              <w:t>Evidencia: «¿Qué tan seguro estás?» antes del primer envío de cada ejercicio, que se puede omitir; al calificar, STIRE muestra la calibración (estabas muy seguro y falló, o dudabas y acertaste) y el Tutor la usa para orientar su pregunta. No se pregunta en cada envío para que no se vuelva rutina.</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META-03</w:t>
            </w:r>
          </w:p>
        </w:tc>
        <w:tc>
          <w:tcPr>
            <w:tcW w:type="dxa" w:w="2952"/>
            <w:shd w:fill="FFFFFF"/>
            <w:tcMar>
              <w:top w:w="70" w:type="dxa"/>
              <w:bottom w:w="70" w:type="dxa"/>
              <w:left w:w="70" w:type="dxa"/>
              <w:right w:w="70" w:type="dxa"/>
            </w:tcMar>
          </w:tcPr>
          <w:p>
            <w:pPr>
              <w:spacing w:before="0" w:after="40" w:line="276" w:lineRule="auto"/>
            </w:pPr>
            <w:r>
              <w:rPr>
                <w:b/>
                <w:color w:val="0F172A"/>
                <w:sz w:val="17"/>
              </w:rPr>
              <w:t>Transparencia Algorítmica y Agencia Compartida (Shared Agency)</w:t>
              <w:br/>
            </w:r>
            <w:r>
              <w:rPr>
                <w:i/>
                <w:color w:val="64748B"/>
                <w:sz w:val="15"/>
              </w:rPr>
              <w:t>Ref: Tesis Caro Cap. 6.1.3 ("Learner control", pp. 146-147); Zimmerman (Self-Regulated Learning)</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Agencia del estudiante: El alumno puede tomar decisiones sobre su propia ruta pedagógica, sobreescribiendo si lo desea las sugerencias del tutor.</w:t>
            </w:r>
          </w:p>
          <w:p>
            <w:pPr>
              <w:spacing w:before="0" w:after="20" w:line="276" w:lineRule="auto"/>
            </w:pPr>
            <w:r>
              <w:rPr>
                <w:b/>
                <w:color w:val="0284C7"/>
                <w:sz w:val="16"/>
              </w:rPr>
              <w:t xml:space="preserve">• </w:t>
            </w:r>
            <w:r>
              <w:rPr>
                <w:color w:val="334155"/>
                <w:sz w:val="16"/>
              </w:rPr>
              <w:t>Inteligencia Artificial Explicable (XAI): La interfaz transparenta por qué el sistema recomienda cierta actividad o por qué considera débil un concepto.</w:t>
            </w:r>
          </w:p>
          <w:p>
            <w:pPr>
              <w:spacing w:before="0" w:after="20" w:line="276" w:lineRule="auto"/>
            </w:pPr>
            <w:r>
              <w:rPr>
                <w:b/>
                <w:color w:val="0284C7"/>
                <w:sz w:val="16"/>
              </w:rPr>
              <w:t xml:space="preserve">• </w:t>
            </w:r>
            <w:r>
              <w:rPr>
                <w:color w:val="334155"/>
                <w:sz w:val="16"/>
              </w:rPr>
              <w:t>Evaluación formativa desprovista de castigo: Interfaz que fomenta la experimentación segura, el autoaprendizaje y la autonomía crítica.</w:t>
            </w:r>
          </w:p>
          <w:p>
            <w:pPr>
              <w:spacing w:before="60" w:after="20" w:line="276" w:lineRule="auto"/>
            </w:pPr>
            <w:r>
              <w:rPr>
                <w:b/>
                <w:color w:val="1E3A8A"/>
                <w:sz w:val="15"/>
              </w:rPr>
              <w:t xml:space="preserve">Ejemplo en Frontend: </w:t>
            </w:r>
            <w:r>
              <w:rPr>
                <w:i/>
                <w:color w:val="0F172A"/>
                <w:sz w:val="15"/>
              </w:rPr>
              <w:t>Al sugerir una lección de refuerzo, el tutor despliega: «Te sugerimos practicar 'Condicionales Anidados' porque tuviste dudas en el ejercicio anterior [¿Por qué veo esto?]». Junto al enlace, un botón permite al estudiante: "Quiero avanzar de todas formas al siguiente tema bajo mi responsabilidad".</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Agencia y explicabilidad visibles</w:t>
              <w:br/>
              <w:t>Evidencia: «¿Por qué veo esto?» junto a «Tu siguiente paso» explica la regla de la recomendación. Se mantienen «Elegir yo el ejercicio» y el Tutor opcional.</w:t>
              <w:br/>
              <w:t>Ajuste: Captura pc_est_inicio.webp.</w:t>
            </w:r>
          </w:p>
        </w:tc>
      </w:tr>
    </w:tbl>
    <w:p>
      <w:pPr>
        <w:spacing w:before="0" w:after="80" w:line="276" w:lineRule="auto"/>
      </w:pPr>
    </w:p>
    <w:p>
      <w:pPr>
        <w:spacing w:before="160" w:after="60" w:line="276" w:lineRule="auto"/>
      </w:pPr>
      <w:r>
        <w:rPr>
          <w:rFonts w:ascii="Arial" w:hAnsi="Arial"/>
          <w:b/>
          <w:color w:val="0F172A"/>
          <w:sz w:val="22"/>
        </w:rPr>
        <w:t>CUADRO DE CONSOLIDACIÓN Y DICTAMEN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4608"/>
            <w:shd w:fill="1E3A8A"/>
            <w:tcMar>
              <w:top w:w="80" w:type="dxa"/>
              <w:bottom w:w="80" w:type="dxa"/>
              <w:left w:w="100" w:type="dxa"/>
              <w:right w:w="100" w:type="dxa"/>
            </w:tcMar>
          </w:tcPr>
          <w:p>
            <w:pPr>
              <w:spacing w:before="0" w:after="0" w:line="276" w:lineRule="auto"/>
              <w:jc w:val="center"/>
            </w:pPr>
            <w:r>
              <w:rPr>
                <w:b/>
                <w:color w:val="FFFFFF"/>
                <w:sz w:val="17"/>
              </w:rPr>
              <w:t>Sección / Bloque Evaluado</w:t>
            </w:r>
          </w:p>
        </w:tc>
        <w:tc>
          <w:tcPr>
            <w:tcW w:type="dxa" w:w="1872"/>
            <w:shd w:fill="1E3A8A"/>
            <w:tcMar>
              <w:top w:w="80" w:type="dxa"/>
              <w:bottom w:w="80" w:type="dxa"/>
              <w:left w:w="100" w:type="dxa"/>
              <w:right w:w="100" w:type="dxa"/>
            </w:tcMar>
          </w:tcPr>
          <w:p>
            <w:pPr>
              <w:spacing w:before="0" w:after="0" w:line="276" w:lineRule="auto"/>
              <w:jc w:val="center"/>
            </w:pPr>
            <w:r>
              <w:rPr>
                <w:b/>
                <w:color w:val="FFFFFF"/>
                <w:sz w:val="17"/>
              </w:rPr>
              <w:t>Puntos Posibles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Puntos Logrados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 Cumplimiento</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1: Reflejo de los 4 Módulos Canónicos en la UI (4 ítems)</w:t>
            </w:r>
          </w:p>
        </w:tc>
        <w:tc>
          <w:tcPr>
            <w:tcW w:type="dxa" w:w="1872"/>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100.0 %</w:t>
            </w:r>
          </w:p>
        </w:tc>
      </w:tr>
      <w:tr>
        <w:tc>
          <w:tcPr>
            <w:tcW w:type="dxa" w:w="4608"/>
            <w:shd w:fill="F8FAFC"/>
            <w:tcMar>
              <w:top w:w="70" w:type="dxa"/>
              <w:bottom w:w="70" w:type="dxa"/>
              <w:left w:w="100" w:type="dxa"/>
              <w:right w:w="100" w:type="dxa"/>
            </w:tcMar>
          </w:tcPr>
          <w:p>
            <w:pPr>
              <w:spacing w:before="0" w:after="0" w:line="276" w:lineRule="auto"/>
            </w:pPr>
            <w:r>
              <w:rPr>
                <w:b/>
                <w:color w:val="0F172A"/>
                <w:sz w:val="17"/>
              </w:rPr>
              <w:t>Bloque 2: Características que Reflejan la Inteligencia del Tutor (5 ítems)</w:t>
            </w:r>
          </w:p>
        </w:tc>
        <w:tc>
          <w:tcPr>
            <w:tcW w:type="dxa" w:w="1872"/>
            <w:shd w:fill="F8FAFC"/>
            <w:tcMar>
              <w:top w:w="70" w:type="dxa"/>
              <w:bottom w:w="70" w:type="dxa"/>
              <w:left w:w="100" w:type="dxa"/>
              <w:right w:w="100" w:type="dxa"/>
            </w:tcMar>
          </w:tcPr>
          <w:p>
            <w:pPr>
              <w:spacing w:before="0" w:after="0" w:line="276" w:lineRule="auto"/>
              <w:jc w:val="center"/>
            </w:pPr>
            <w:r>
              <w:rPr>
                <w:sz w:val="17"/>
              </w:rPr>
              <w:t>10 pts</w:t>
            </w:r>
          </w:p>
        </w:tc>
        <w:tc>
          <w:tcPr>
            <w:tcW w:type="dxa" w:w="1728"/>
            <w:shd w:fill="F8FAFC"/>
            <w:tcMar>
              <w:top w:w="70" w:type="dxa"/>
              <w:bottom w:w="70" w:type="dxa"/>
              <w:left w:w="100" w:type="dxa"/>
              <w:right w:w="100" w:type="dxa"/>
            </w:tcMar>
          </w:tcPr>
          <w:p>
            <w:pPr>
              <w:spacing w:before="0" w:after="0" w:line="276" w:lineRule="auto"/>
              <w:jc w:val="center"/>
            </w:pPr>
            <w:r>
              <w:rPr>
                <w:sz w:val="17"/>
              </w:rPr>
              <w:t>10 pts</w:t>
            </w:r>
          </w:p>
        </w:tc>
        <w:tc>
          <w:tcPr>
            <w:tcW w:type="dxa" w:w="1728"/>
            <w:shd w:fill="F8FAFC"/>
            <w:tcMar>
              <w:top w:w="70" w:type="dxa"/>
              <w:bottom w:w="70" w:type="dxa"/>
              <w:left w:w="100" w:type="dxa"/>
              <w:right w:w="100" w:type="dxa"/>
            </w:tcMar>
          </w:tcPr>
          <w:p>
            <w:pPr>
              <w:spacing w:before="0" w:after="0" w:line="276" w:lineRule="auto"/>
              <w:jc w:val="center"/>
            </w:pPr>
            <w:r>
              <w:rPr>
                <w:sz w:val="17"/>
              </w:rPr>
              <w:t>100.0 %</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3: Metacognición Computacional y Prototipo FUNPRO (3 ítems)</w:t>
            </w:r>
          </w:p>
        </w:tc>
        <w:tc>
          <w:tcPr>
            <w:tcW w:type="dxa" w:w="1872"/>
            <w:shd w:fill="FFFFFF"/>
            <w:tcMar>
              <w:top w:w="70" w:type="dxa"/>
              <w:bottom w:w="70" w:type="dxa"/>
              <w:left w:w="100" w:type="dxa"/>
              <w:right w:w="100" w:type="dxa"/>
            </w:tcMar>
          </w:tcPr>
          <w:p>
            <w:pPr>
              <w:spacing w:before="0" w:after="0" w:line="276" w:lineRule="auto"/>
              <w:jc w:val="center"/>
            </w:pPr>
            <w:r>
              <w:rPr>
                <w:sz w:val="17"/>
              </w:rPr>
              <w:t>6 pts</w:t>
            </w:r>
          </w:p>
        </w:tc>
        <w:tc>
          <w:tcPr>
            <w:tcW w:type="dxa" w:w="1728"/>
            <w:shd w:fill="FFFFFF"/>
            <w:tcMar>
              <w:top w:w="70" w:type="dxa"/>
              <w:bottom w:w="70" w:type="dxa"/>
              <w:left w:w="100" w:type="dxa"/>
              <w:right w:w="100" w:type="dxa"/>
            </w:tcMar>
          </w:tcPr>
          <w:p>
            <w:pPr>
              <w:spacing w:before="0" w:after="0" w:line="276" w:lineRule="auto"/>
              <w:jc w:val="center"/>
            </w:pPr>
            <w:r>
              <w:rPr>
                <w:sz w:val="17"/>
              </w:rPr>
              <w:t>6 pts</w:t>
            </w:r>
          </w:p>
        </w:tc>
        <w:tc>
          <w:tcPr>
            <w:tcW w:type="dxa" w:w="1728"/>
            <w:shd w:fill="FFFFFF"/>
            <w:tcMar>
              <w:top w:w="70" w:type="dxa"/>
              <w:bottom w:w="70" w:type="dxa"/>
              <w:left w:w="100" w:type="dxa"/>
              <w:right w:w="100" w:type="dxa"/>
            </w:tcMar>
          </w:tcPr>
          <w:p>
            <w:pPr>
              <w:spacing w:before="0" w:after="0" w:line="276" w:lineRule="auto"/>
              <w:jc w:val="center"/>
            </w:pPr>
            <w:r>
              <w:rPr>
                <w:sz w:val="17"/>
              </w:rPr>
              <w:t>100.0 %</w:t>
            </w:r>
          </w:p>
        </w:tc>
      </w:tr>
      <w:tr>
        <w:tc>
          <w:tcPr>
            <w:tcW w:type="dxa" w:w="4608"/>
            <w:shd w:fill="E2E8F0"/>
            <w:tcMar>
              <w:top w:w="80" w:type="dxa"/>
              <w:bottom w:w="80" w:type="dxa"/>
              <w:left w:w="100" w:type="dxa"/>
              <w:right w:w="100" w:type="dxa"/>
            </w:tcMar>
          </w:tcPr>
          <w:p>
            <w:pPr>
              <w:spacing w:before="0" w:after="0" w:line="276" w:lineRule="auto"/>
            </w:pPr>
            <w:r>
              <w:rPr>
                <w:b/>
                <w:color w:val="1E3A8A"/>
                <w:sz w:val="18"/>
              </w:rPr>
              <w:t>PUNTUACIÓN GLOBAL TOTAL CONSOLIDADA:</w:t>
            </w:r>
          </w:p>
        </w:tc>
        <w:tc>
          <w:tcPr>
            <w:tcW w:type="dxa" w:w="1872"/>
            <w:shd w:fill="E2E8F0"/>
            <w:tcMar>
              <w:top w:w="80" w:type="dxa"/>
              <w:bottom w:w="80" w:type="dxa"/>
              <w:left w:w="100" w:type="dxa"/>
              <w:right w:w="100" w:type="dxa"/>
            </w:tcMar>
          </w:tcPr>
          <w:p>
            <w:pPr>
              <w:spacing w:before="0" w:after="0" w:line="276" w:lineRule="auto"/>
              <w:jc w:val="center"/>
            </w:pPr>
            <w:r>
              <w:rPr>
                <w:b/>
                <w:sz w:val="18"/>
              </w:rPr>
              <w:t>24 pts</w:t>
            </w:r>
          </w:p>
        </w:tc>
        <w:tc>
          <w:tcPr>
            <w:tcW w:type="dxa" w:w="1728"/>
            <w:shd w:fill="E2E8F0"/>
            <w:tcMar>
              <w:top w:w="80" w:type="dxa"/>
              <w:bottom w:w="80" w:type="dxa"/>
              <w:left w:w="100" w:type="dxa"/>
              <w:right w:w="100" w:type="dxa"/>
            </w:tcMar>
          </w:tcPr>
          <w:p>
            <w:pPr>
              <w:spacing w:before="0" w:after="0" w:line="276" w:lineRule="auto"/>
              <w:jc w:val="center"/>
            </w:pPr>
            <w:r>
              <w:rPr>
                <w:b/>
                <w:sz w:val="18"/>
              </w:rPr>
              <w:t>24 pts</w:t>
            </w:r>
          </w:p>
        </w:tc>
        <w:tc>
          <w:tcPr>
            <w:tcW w:type="dxa" w:w="1728"/>
            <w:shd w:fill="E2E8F0"/>
            <w:tcMar>
              <w:top w:w="80" w:type="dxa"/>
              <w:bottom w:w="80" w:type="dxa"/>
              <w:left w:w="100" w:type="dxa"/>
              <w:right w:w="100" w:type="dxa"/>
            </w:tcMar>
          </w:tcPr>
          <w:p>
            <w:pPr>
              <w:spacing w:before="0" w:after="0" w:line="276" w:lineRule="auto"/>
              <w:jc w:val="center"/>
            </w:pPr>
            <w:r>
              <w:rPr>
                <w:b/>
                <w:sz w:val="18"/>
              </w:rPr>
              <w:t>100.0 %</w:t>
            </w:r>
          </w:p>
        </w:tc>
      </w:tr>
    </w:tbl>
    <w:p>
      <w:pPr>
        <w:spacing w:before="120" w:after="80" w:line="276" w:lineRule="auto"/>
      </w:pPr>
      <w:r>
        <w:rPr>
          <w:b/>
          <w:color w:val="64748B"/>
          <w:sz w:val="17"/>
        </w:rPr>
        <w:t>Escala Cualitativa de Aprobación:  [90-100%] Sobresaliente  |  [75-89%] Aceptable / Competente  |  [60-74%] Básico con Observaciones  |  [&lt; 60%] Insuficiente / Requiere Rehacer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936"/>
      </w:tblGrid>
      <w:tr>
        <w:tc>
          <w:tcPr>
            <w:tcW w:type="dxa" w:w="9936"/>
            <w:shd w:fill="FFFFFF"/>
            <w:tcMar>
              <w:top w:w="80" w:type="dxa"/>
              <w:bottom w:w="80" w:type="dxa"/>
              <w:left w:w="120" w:type="dxa"/>
              <w:right w:w="120" w:type="dxa"/>
            </w:tcMar>
          </w:tcPr>
          <w:p>
            <w:pPr>
              <w:spacing w:before="0" w:after="40" w:line="276" w:lineRule="auto"/>
            </w:pPr>
            <w:r>
              <w:rPr>
                <w:b/>
                <w:color w:val="1E3A8A"/>
                <w:sz w:val="17"/>
              </w:rPr>
              <w:t>FORTALEZAS IDENTIFICADAS EN EL FRONTEND:</w:t>
              <w:br/>
            </w:r>
            <w:r>
              <w:rPr>
                <w:color w:val="0F172A"/>
                <w:sz w:val="17"/>
              </w:rPr>
              <w:t>El Tutor ahora responde a la idea equivocada: diagnóstico de 10 tipos de error en la salida, confianza declarada y modos «por pasos» y «otra explicación» (MOD-02, UI-03, UI-05, META-02). El algoritmo de la lección en 4 formatos que el estudiante elige (UI-01). El curso se mejora con el uso: valoración de cada lección que el docente ve (UI-04). Avance con base y sin perder libertad: bloqueo suave por módulo, configurable por el docente (MOD-01, UI-02). Reflexión semanal y recomendaciones explicadas (META-01, META-03).</w:t>
            </w:r>
          </w:p>
        </w:tc>
      </w:tr>
      <w:tr>
        <w:tc>
          <w:tcPr>
            <w:tcW w:type="dxa" w:w="9936"/>
            <w:shd w:fill="F8FAFC"/>
            <w:tcMar>
              <w:top w:w="80" w:type="dxa"/>
              <w:bottom w:w="80" w:type="dxa"/>
              <w:left w:w="120" w:type="dxa"/>
              <w:right w:w="120" w:type="dxa"/>
            </w:tcMar>
          </w:tcPr>
          <w:p>
            <w:pPr>
              <w:spacing w:before="0" w:after="40" w:line="276" w:lineRule="auto"/>
            </w:pPr>
            <w:r>
              <w:rPr>
                <w:b/>
                <w:color w:val="1E3A8A"/>
                <w:sz w:val="17"/>
              </w:rPr>
              <w:t>DEBILIDADES CRÍTICAS Y AJUSTES OBLIGATORIOS:</w:t>
              <w:br/>
            </w:r>
            <w:r>
              <w:rPr>
                <w:color w:val="0F172A"/>
                <w:sz w:val="17"/>
              </w:rPr>
              <w:t>1) Las adaptaciones de UI-01, UI-02, UI-04, UI-05 y META-02 cumplen la intención del criterio, no el ejemplo literal; se presentan al profesor el 06/10 con su respaldo (PLAN_DE_MEJORA.md §1). 2) 6 de los 13 bloques de código no se dibujan como diagrama (usan funciones o estructuras que el intérprete no lee con fidelidad) y se muestran solo como código. 3) La valoración por lección empieza vacía: se llena con el uso del equipo desde el 05/10.</w:t>
            </w:r>
          </w:p>
        </w:tc>
      </w:tr>
    </w:tbl>
    <w:p>
      <w:r>
        <w:rPr>
          <w:b/>
          <w:sz w:val="17"/>
        </w:rPr>
        <w:t xml:space="preserve">Método de esta revisión (04/10/2026, «después»): </w:t>
      </w:r>
      <w:r>
        <w:rPr>
          <w:sz w:val="17"/>
        </w:rPr>
        <w:t>mismo método que el «antes» sobre la v2.0.0 candidata (main @ 4d41b8d) desplegada en stire-soft.vercel.app: código fuente, recorridos con cuentas de prueba en computador (1440×900) y celular (390×844 y 844×390), teclado, modo oscuro, conexión cortada, axe-core 4.10 (WCAG 2.1 AA) en 20 pantallas y Lighthouse 12. Cada ítem lo verifica además un integrante del equipo el 05/10 (VERIFICACION_v2.0.0.md). Comparación con el «antes», capturas y evidencia en docs/calidad/listas-chequeo/2026-10-04_despues/.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