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UX, Movilidad y Patrones de Diseño</w:t>
      </w:r>
    </w:p>
    <w:p>
      <w:pPr>
        <w:spacing w:before="0" w:after="120" w:line="276" w:lineRule="auto"/>
      </w:pPr>
      <w:r>
        <w:rPr>
          <w:rFonts w:ascii="Arial" w:hAnsi="Arial"/>
          <w:color w:val="64748B"/>
          <w:sz w:val="20"/>
        </w:rPr>
        <w:t>Instrumento de evaluación formativa y autoevaluación para interfaces de usuario en informática educativa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Roger S. Pressman &amp; Bruce R. Maxim (2019). Software Engineering: A Practitioner's Approach (9th Edition, McGraw-Hill Education). Capítulo 12 (User Experience Design), Capítulo 13 (Design for Mobility) y Capítulo 14 (Pattern-Based Design).</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Diseño y Desarrollo de Software Educativo III (203457) — Semana 9 del curso (Reto 3) · 2026-2</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06 / 10 / 2026 (actualización de la evaluación con IA; la revisión humana del equipo cierra el 09/10/2026)</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 la Aplicación / Frontend: </w:t>
            </w:r>
            <w:r>
              <w:rPr>
                <w:color w:val="0F172A"/>
                <w:sz w:val="18"/>
              </w:rPr>
              <w:t>STIRE-Soft — Sistema Tutor Inteligente con Repetición Espaciada (frontend Nuxt 3)</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v2.0.0 (la etiqueta se pone tras la revisión humana) / main @ 80f63d6, desplegada el 06/10/2026</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Jeider Gómez · Pedro Romero · José López · Julio Galvis · Jorge Iván Cervantes García (códigos: completar)</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https://stire-soft.vercel.app · https://github.com/Jeider-Gomez/Stire-Soft</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 · Autoevaluación del equipo STIRE-Soft (revisión con apoyo de Claude Code)</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96.9 / 100 pts  (96.9 %) — 31 de 32 puntos · Sobresaliente (actualizada el 07/10)</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tiene como objetivo verificar que el equipo de desarrollo haya aplicado con rigor metodológico los modelos, reglas ergonómicas, principios de movilidad y patrones de diseño formalizados en los Capítulos 12, 13 y 14 de Pressman &amp; Maxim. Cada ítem debe sustentarse mediante evidencia tangible en la interfaz interactiva desplegada o en el código fuente del frontend.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CAPÍTULO 12: DISEÑO DE LA EXPERIENCIA DE USUARIO (UX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UX-01</w:t>
            </w:r>
          </w:p>
        </w:tc>
        <w:tc>
          <w:tcPr>
            <w:tcW w:type="dxa" w:w="2952"/>
            <w:shd w:fill="FFFFFF"/>
            <w:tcMar>
              <w:top w:w="70" w:type="dxa"/>
              <w:bottom w:w="70" w:type="dxa"/>
              <w:left w:w="70" w:type="dxa"/>
              <w:right w:w="70" w:type="dxa"/>
            </w:tcMar>
          </w:tcPr>
          <w:p>
            <w:pPr>
              <w:spacing w:before="0" w:after="40" w:line="276" w:lineRule="auto"/>
            </w:pPr>
            <w:r>
              <w:rPr>
                <w:b/>
                <w:color w:val="0F172A"/>
                <w:sz w:val="17"/>
              </w:rPr>
              <w:t>Los 5 Planos de Garrett y Arquitectura de Información (IA)</w:t>
              <w:br/>
            </w:r>
            <w:r>
              <w:rPr>
                <w:i/>
                <w:color w:val="64748B"/>
                <w:sz w:val="15"/>
              </w:rPr>
              <w:t>Ref: Pressman Cap. 12.1 y Cap. 12.1.1 ("Information Architecture", p. 236); Garrett [Gar02/Gar11]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Arquitectura de Contenido (Organización y Rotulado/Labeling): Objetos de información y pantallas/widgets estructurados lógicamente con etiquetas y títulos unívocos.</w:t>
            </w:r>
          </w:p>
          <w:p>
            <w:pPr>
              <w:spacing w:before="0" w:after="20" w:line="276" w:lineRule="auto"/>
            </w:pPr>
            <w:r>
              <w:rPr>
                <w:b/>
                <w:color w:val="0284C7"/>
                <w:sz w:val="16"/>
              </w:rPr>
              <w:t xml:space="preserve">• </w:t>
            </w:r>
            <w:r>
              <w:rPr>
                <w:color w:val="334155"/>
                <w:sz w:val="16"/>
              </w:rPr>
              <w:t>Filosofía de Navegación y Recorrido (Traversal): La arquitectura permite un recorrido intuitivo, fluido y sin callejones sin salida, facilitando la búsqueda y asimilación eficiente de contenidos.</w:t>
            </w:r>
          </w:p>
          <w:p>
            <w:pPr>
              <w:spacing w:before="0" w:after="20" w:line="276" w:lineRule="auto"/>
            </w:pPr>
            <w:r>
              <w:rPr>
                <w:b/>
                <w:color w:val="0284C7"/>
                <w:sz w:val="16"/>
              </w:rPr>
              <w:t xml:space="preserve">• </w:t>
            </w:r>
            <w:r>
              <w:rPr>
                <w:color w:val="334155"/>
                <w:sz w:val="16"/>
              </w:rPr>
              <w:t>Estrategia, Alcance y Superficie: La solución satisface los objetivos de los usuarios sin sobrecarga, con un plano de esqueleto y superficie visualmente equilibrado y armónico.</w:t>
            </w:r>
          </w:p>
          <w:p>
            <w:pPr>
              <w:spacing w:before="60" w:after="20" w:line="276" w:lineRule="auto"/>
            </w:pPr>
            <w:r>
              <w:rPr>
                <w:b/>
                <w:color w:val="1E3A8A"/>
                <w:sz w:val="15"/>
              </w:rPr>
              <w:t xml:space="preserve">Ejemplo en Frontend: </w:t>
            </w:r>
            <w:r>
              <w:rPr>
                <w:i/>
                <w:color w:val="0F172A"/>
                <w:sz w:val="15"/>
              </w:rPr>
              <w:t>Un panel de bienvenida (Dashboard) estructurado según la arquitectura de información: menú lateral con rotulado claro (Labeling) por unidades temáticas, buscador o filtros de temas, y tarjetas (Cards) que organizan los objetos de contenido con jerarquía visual y títulos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Wireframes / IA y Rotulado revisados</w:t>
              <w:br/>
              <w:t>Evidencia: Se mantiene la organización Unidad › Tema › Lección. Ahora el ejercicio también tiene migas: «Inicio › Variables y tipos de datos › Ejercicio · Básico» (layouts/workspace.vue:24, medido en producción). El inicio avisa qué módulo sigue y cuánto falta para abrirlo.</w:t>
              <w:br/>
              <w:t>Ajuste: Captura pc_est_ejercicio.webp.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UX-02</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1 de Mandel: Poner al Usuario en Control</w:t>
              <w:br/>
            </w:r>
            <w:r>
              <w:rPr>
                <w:i/>
                <w:color w:val="64748B"/>
                <w:sz w:val="15"/>
              </w:rPr>
              <w:t>Ref: Pressman Cap. 12.2.1 ("Place the User in Control");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Interacción flexible: El usuario no se ve atrapado en secuencias modales forzadas ni flujos rígidos obligatorios que limiten su autonomía.</w:t>
            </w:r>
          </w:p>
          <w:p>
            <w:pPr>
              <w:spacing w:before="0" w:after="20" w:line="276" w:lineRule="auto"/>
            </w:pPr>
            <w:r>
              <w:rPr>
                <w:b/>
                <w:color w:val="0284C7"/>
                <w:sz w:val="16"/>
              </w:rPr>
              <w:t xml:space="preserve">• </w:t>
            </w:r>
            <w:r>
              <w:rPr>
                <w:color w:val="334155"/>
                <w:sz w:val="16"/>
              </w:rPr>
              <w:t>Reversibilidad de acciones: Mecanismos visibles para deshacer (Undo / Ctrl+Z), retroceder o cancelar operaciones en curso antes de ejecuciones irreversibles.</w:t>
            </w:r>
          </w:p>
          <w:p>
            <w:pPr>
              <w:spacing w:before="0" w:after="20" w:line="276" w:lineRule="auto"/>
            </w:pPr>
            <w:r>
              <w:rPr>
                <w:b/>
                <w:color w:val="0284C7"/>
                <w:sz w:val="16"/>
              </w:rPr>
              <w:t xml:space="preserve">• </w:t>
            </w:r>
            <w:r>
              <w:rPr>
                <w:color w:val="334155"/>
                <w:sz w:val="16"/>
              </w:rPr>
              <w:t>Persistencia de borradores: Posibilidad de interrumpir procesos o formularios extensos y retomarlos más tarde sin pérdida de información ingresada.</w:t>
            </w:r>
          </w:p>
          <w:p>
            <w:pPr>
              <w:spacing w:before="60" w:after="20" w:line="276" w:lineRule="auto"/>
            </w:pPr>
            <w:r>
              <w:rPr>
                <w:b/>
                <w:color w:val="1E3A8A"/>
                <w:sz w:val="15"/>
              </w:rPr>
              <w:t xml:space="preserve">Ejemplo en Frontend: </w:t>
            </w:r>
            <w:r>
              <w:rPr>
                <w:i/>
                <w:color w:val="0F172A"/>
                <w:sz w:val="15"/>
              </w:rPr>
              <w:t>En un ejercicio o formulario de registro extenso, el estudiante dispone de un botón visible "Guardar borrador", un botón "Cancelar" que solicita confirmación no invasiva, y la libertad de alternar entre preguntas sin estar encadenado a una secuencia irreversible.</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Botón Cancelar / Deshacer</w:t>
              <w:br/>
              <w:t>Evidencia: Las confirmaciones del navegador se cambiaron por un diálogo propio (components/DialogoConfirmar.vue, role="alertdialog") que dice qué se pierde y deja el foco en «Cancelar». El autoguardado reintenta solo y guarda una copia en el equipo: con un F5 el código vuelve y lo avisa. Nuevo (06/10): el docente publica, oculta, archiva y restaura módulos, temas, lecciones y clases; «Ocultar» pide confirmación, y publicar u ocultar se deshace desde el aviso. Antes de eliminar, la ventana dice exactamente qué se pierde y no deja borrar el trabajo de estudiantes (ofrece «Archivar en su lugar»); eliminar una clase exige escribir su nombre y esperar 8 s para leer las consecuencias.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UX-03</w:t>
            </w:r>
          </w:p>
        </w:tc>
        <w:tc>
          <w:tcPr>
            <w:tcW w:type="dxa" w:w="2952"/>
            <w:shd w:fill="FFFFFF"/>
            <w:tcMar>
              <w:top w:w="70" w:type="dxa"/>
              <w:bottom w:w="70" w:type="dxa"/>
              <w:left w:w="70" w:type="dxa"/>
              <w:right w:w="70" w:type="dxa"/>
            </w:tcMar>
          </w:tcPr>
          <w:p>
            <w:r>
              <w:t>Regla de Oro 2 de Mandel: Reducir la Carga de Memoria</w:t>
              <w:br/>
              <w:t>Ref: Pressman Cap. 12.2.2 ("Reduce the User’s Memory Load"); Theo Mandel [Man97], Miller (1956, regla 7±2)</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Reconocimiento sobre recuerdo: Las opciones, instrucciones contextuales y estados del sistema son visibles en pantalla en el momento de actuar.</w:t>
            </w:r>
          </w:p>
          <w:p>
            <w:pPr>
              <w:spacing w:before="0" w:after="20" w:line="276" w:lineRule="auto"/>
            </w:pPr>
            <w:r>
              <w:rPr>
                <w:b/>
                <w:color w:val="0284C7"/>
                <w:sz w:val="16"/>
              </w:rPr>
              <w:t xml:space="preserve">• </w:t>
            </w:r>
            <w:r>
              <w:rPr>
                <w:color w:val="334155"/>
                <w:sz w:val="16"/>
              </w:rPr>
              <w:t>Segmentación (Chunking): Formularios y contenidos densos fragmentados en pasos progresivos (Wizards o Steppers) respetando la capacidad de la memoria de trabajo.</w:t>
            </w:r>
          </w:p>
          <w:p>
            <w:pPr>
              <w:spacing w:before="0" w:after="20" w:line="276" w:lineRule="auto"/>
            </w:pPr>
            <w:r>
              <w:rPr>
                <w:b/>
                <w:color w:val="0284C7"/>
                <w:sz w:val="16"/>
              </w:rPr>
              <w:t xml:space="preserve">• </w:t>
            </w:r>
            <w:r>
              <w:rPr>
                <w:color w:val="334155"/>
                <w:sz w:val="16"/>
              </w:rPr>
              <w:t>Valores por defecto y sugerencias: Campos con valores predeterminados sensatos, placeholders ilustrativos y autocompletado inteligente.</w:t>
            </w:r>
          </w:p>
          <w:p>
            <w:pPr>
              <w:spacing w:before="60" w:after="20" w:line="276" w:lineRule="auto"/>
            </w:pPr>
            <w:r>
              <w:rPr>
                <w:b/>
                <w:color w:val="1E3A8A"/>
                <w:sz w:val="15"/>
              </w:rPr>
              <w:t xml:space="preserve">Ejemplo en Frontend: </w:t>
            </w:r>
            <w:r>
              <w:rPr>
                <w:i/>
                <w:color w:val="0F172A"/>
                <w:sz w:val="15"/>
              </w:rPr>
              <w:t>Un asistente de configuración guiada en 3 pasos con barra de progreso ("Paso 1: Datos", "Paso 2: Preferencias", "Paso 3: Confirmación"), con textos de ayuda contextual (tooltips) en los campos técnicos y valores comunes preseleccionados.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Chunking y ayudas visuales</w:t>
              <w:br/>
              <w:t>Evidencia: Se mantiene: «Cómo se califica», casos de prueba y límite de tiempo siempre visibles; registro en 2 pasos con las reglas de la clave a la vista. Nuevo: el diagnóstico de la salida dice qué revisar sin tener que comparar a ojo («Casi: cambia alguna mayúscula o minúscula»).</w:t>
              <w:br/>
              <w:t>Ajuste: Captura pc_est_diagnostico.webp.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UX-04</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3 de Mandel: Consistencia Integral</w:t>
              <w:br/>
            </w:r>
            <w:r>
              <w:rPr>
                <w:i/>
                <w:color w:val="64748B"/>
                <w:sz w:val="15"/>
              </w:rPr>
              <w:t>Ref: Pressman Cap. 12.2.3 ("Make the Interface Consistent");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Consistencia visual: Misma paleta cromática corporativa, escalas tipográficas jerárquicas y familia iconográfica homogénea en todas las vistas.</w:t>
            </w:r>
          </w:p>
          <w:p>
            <w:pPr>
              <w:spacing w:before="0" w:after="20" w:line="276" w:lineRule="auto"/>
            </w:pPr>
            <w:r>
              <w:rPr>
                <w:b/>
                <w:color w:val="0284C7"/>
                <w:sz w:val="16"/>
              </w:rPr>
              <w:t xml:space="preserve">• </w:t>
            </w:r>
            <w:r>
              <w:rPr>
                <w:color w:val="334155"/>
                <w:sz w:val="16"/>
              </w:rPr>
              <w:t>Consistencia operativa: Idénticos gestos, clics y atajos de teclado producen siempre los mismos resultados en cualquier sección de la aplicación.</w:t>
            </w:r>
          </w:p>
          <w:p>
            <w:pPr>
              <w:spacing w:before="0" w:after="20" w:line="276" w:lineRule="auto"/>
            </w:pPr>
            <w:r>
              <w:rPr>
                <w:b/>
                <w:color w:val="0284C7"/>
                <w:sz w:val="16"/>
              </w:rPr>
              <w:t xml:space="preserve">• </w:t>
            </w:r>
            <w:r>
              <w:rPr>
                <w:color w:val="334155"/>
                <w:sz w:val="16"/>
              </w:rPr>
              <w:t>Consistencia terminológica: Textos y botones con vocabulario estandarizado (evitando alternar arbitrariamente entre "Guardar", "Salvar" o "Registrar" para la misma función).</w:t>
            </w:r>
          </w:p>
          <w:p>
            <w:pPr>
              <w:spacing w:before="60" w:after="20" w:line="276" w:lineRule="auto"/>
            </w:pPr>
            <w:r>
              <w:rPr>
                <w:b/>
                <w:color w:val="1E3A8A"/>
                <w:sz w:val="15"/>
              </w:rPr>
              <w:t xml:space="preserve">Ejemplo en Frontend: </w:t>
            </w:r>
            <w:r>
              <w:rPr>
                <w:i/>
                <w:color w:val="0F172A"/>
                <w:sz w:val="15"/>
              </w:rPr>
              <w:t>En todas las pantallas, los botones principales usan la clase `.btn-primary` (azul marino `#1E3A8A` con bordes redondeados); los iconos pertenecen a la misma librería y grosor de trazo; y la barra de navegación superior conserva la misma estructura en todo el sitio.</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Design System verificado</w:t>
              <w:br/>
              <w:t>Evidencia: Se quitaron los 107 emojis de las pantallas y se cambiaron por íconos Lucide: 0 emojis medidos en el contenido de todas las pantallas recorridas. Títulos en estilo de oración en todas las pantallas («Iniciar sesión», «Mis clases») y sin anglicismos («Volver al inicio» en lugar de «Dashboard»). Queda pendiente aplicar la identidad visual completa de José (docs/identidad-visual/), que no cambia estos criterios.</w:t>
              <w:br/>
              <w:t>Ajuste: Prueba automática UX-04 en src/content-rendering/__tests__/listas-chequeo-v2-linea-a.frontend.spec.ts.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UX-05</w:t>
            </w:r>
          </w:p>
        </w:tc>
        <w:tc>
          <w:tcPr>
            <w:tcW w:type="dxa" w:w="2952"/>
            <w:shd w:fill="FFFFFF"/>
            <w:tcMar>
              <w:top w:w="70" w:type="dxa"/>
              <w:bottom w:w="70" w:type="dxa"/>
              <w:left w:w="70" w:type="dxa"/>
              <w:right w:w="70" w:type="dxa"/>
            </w:tcMar>
          </w:tcPr>
          <w:p>
            <w:pPr>
              <w:spacing w:before="0" w:after="40" w:line="276" w:lineRule="auto"/>
            </w:pPr>
            <w:r>
              <w:rPr>
                <w:b/>
                <w:color w:val="0F172A"/>
                <w:sz w:val="17"/>
              </w:rPr>
              <w:t>Modelado de Usuarios, Personas y Análisis de Tareas</w:t>
              <w:br/>
            </w:r>
            <w:r>
              <w:rPr>
                <w:i/>
                <w:color w:val="64748B"/>
                <w:sz w:val="15"/>
              </w:rPr>
              <w:t>Ref: Pressman Cap. 12.4.2 ("User Modeling", Recuadro SafeHome) y Cap. 12.4.3 ("Task Analysis")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Diseño centrado en el arquetipo: La interfaz responde con fidelidad al perfil de habilidades, limitaciones y necesidades del usuario meta (Persona estudiantil o docente).</w:t>
            </w:r>
          </w:p>
          <w:p>
            <w:pPr>
              <w:spacing w:before="0" w:after="20" w:line="276" w:lineRule="auto"/>
            </w:pPr>
            <w:r>
              <w:rPr>
                <w:b/>
                <w:color w:val="0284C7"/>
                <w:sz w:val="16"/>
              </w:rPr>
              <w:t xml:space="preserve">• </w:t>
            </w:r>
            <w:r>
              <w:rPr>
                <w:color w:val="334155"/>
                <w:sz w:val="16"/>
              </w:rPr>
              <w:t>Optimización de tareas frecuentes: Los flujos de interacción eliminan fricciones y pasos innecesarios en las actividades prioritarias del usuario.</w:t>
            </w:r>
          </w:p>
          <w:p>
            <w:pPr>
              <w:spacing w:before="0" w:after="20" w:line="276" w:lineRule="auto"/>
            </w:pPr>
            <w:r>
              <w:rPr>
                <w:b/>
                <w:color w:val="0284C7"/>
                <w:sz w:val="16"/>
              </w:rPr>
              <w:t xml:space="preserve">• </w:t>
            </w:r>
            <w:r>
              <w:rPr>
                <w:color w:val="334155"/>
                <w:sz w:val="16"/>
              </w:rPr>
              <w:t>Análisis Jerárquico de Tareas (HTA): Descomposición lógica de operaciones complejas en sub-tareas guiadas y comprensibles.</w:t>
            </w:r>
          </w:p>
          <w:p>
            <w:pPr>
              <w:spacing w:before="60" w:after="20" w:line="276" w:lineRule="auto"/>
            </w:pPr>
            <w:r>
              <w:rPr>
                <w:b/>
                <w:color w:val="1E3A8A"/>
                <w:sz w:val="15"/>
              </w:rPr>
              <w:t xml:space="preserve">Ejemplo en Frontend: </w:t>
            </w:r>
            <w:r>
              <w:rPr>
                <w:i/>
                <w:color w:val="0F172A"/>
                <w:sz w:val="15"/>
              </w:rPr>
              <w:t>Para el perfil de "Estudiante de Primer Semestre" (Persona validada), la pantalla de inicio prioriza una tarjeta prominente "Continuar con mi lección actual", permitiéndole retomar su trabajo en un solo clic sin tener que buscar en menús profundos de administración.</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Perfil Persona y HTA revisados</w:t>
              <w:br/>
              <w:t>Evidencia: Dos Personas (estudiante de 3.er semestre y docente de Fundamentos de Algoritmia) y el análisis jerárquico de tareas (HTA) de «resolver un ejercicio» y «preparar una clase», con las decisiones de la interfaz que salen de cada uno: docs/modesec/usuarios/PERSONAS_Y_TAREAS.md.</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UX-06</w:t>
            </w:r>
          </w:p>
        </w:tc>
        <w:tc>
          <w:tcPr>
            <w:tcW w:type="dxa" w:w="2952"/>
            <w:shd w:fill="F8FAFC"/>
            <w:tcMar>
              <w:top w:w="70" w:type="dxa"/>
              <w:bottom w:w="70" w:type="dxa"/>
              <w:left w:w="70" w:type="dxa"/>
              <w:right w:w="70" w:type="dxa"/>
            </w:tcMar>
          </w:tcPr>
          <w:p>
            <w:pPr>
              <w:spacing w:before="0" w:after="40" w:line="276" w:lineRule="auto"/>
            </w:pPr>
            <w:r>
              <w:rPr>
                <w:b/>
                <w:color w:val="0F172A"/>
                <w:sz w:val="17"/>
              </w:rPr>
              <w:t>Directrices Ergonómicas de Bruce Tognazzini</w:t>
              <w:br/>
            </w:r>
            <w:r>
              <w:rPr>
                <w:i/>
                <w:color w:val="64748B"/>
                <w:sz w:val="15"/>
              </w:rPr>
              <w:t>Ref: Pressman Cap. 12.8.1 ("Usability Guidelines"); Bruce Tognazzini [Tog01]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Ley de Fitts: Botones de acción clave de tamaño generoso, bien delimitados y situados en zonas de fácil alcance visual y cursorial.</w:t>
            </w:r>
          </w:p>
          <w:p>
            <w:pPr>
              <w:spacing w:before="0" w:after="20" w:line="276" w:lineRule="auto"/>
            </w:pPr>
            <w:r>
              <w:rPr>
                <w:b/>
                <w:color w:val="0284C7"/>
                <w:sz w:val="16"/>
              </w:rPr>
              <w:t xml:space="preserve">• </w:t>
            </w:r>
            <w:r>
              <w:rPr>
                <w:color w:val="334155"/>
                <w:sz w:val="16"/>
              </w:rPr>
              <w:t>Anticipación del sistema y retroalimentación: Respuesta inmediata ante cualquier evento (spinners, barras de progreso, skeleton screens o cambios de estado hover/focus).</w:t>
            </w:r>
          </w:p>
          <w:p>
            <w:pPr>
              <w:spacing w:before="0" w:after="20" w:line="276" w:lineRule="auto"/>
            </w:pPr>
            <w:r>
              <w:rPr>
                <w:b/>
                <w:color w:val="0284C7"/>
                <w:sz w:val="16"/>
              </w:rPr>
              <w:t xml:space="preserve">• </w:t>
            </w:r>
            <w:r>
              <w:rPr>
                <w:color w:val="334155"/>
                <w:sz w:val="16"/>
              </w:rPr>
              <w:t>Preservación del estado: La interfaz preserva los campos y el estado de la interacción si ocurre un error temporal de red o recarga accidental de página.</w:t>
            </w:r>
          </w:p>
          <w:p>
            <w:pPr>
              <w:spacing w:before="60" w:after="20" w:line="276" w:lineRule="auto"/>
            </w:pPr>
            <w:r>
              <w:rPr>
                <w:b/>
                <w:color w:val="1E3A8A"/>
                <w:sz w:val="15"/>
              </w:rPr>
              <w:t xml:space="preserve">Ejemplo en Frontend: </w:t>
            </w:r>
            <w:r>
              <w:rPr>
                <w:i/>
                <w:color w:val="0F172A"/>
                <w:sz w:val="15"/>
              </w:rPr>
              <w:t>Al pulsar "Calificar Ejercicio", el botón se inhabilita mostrando un spinner animado con el texto "Verificando solución..." para evitar envíos duplicados; si el estudiante pulsa F5 por error, los campos de texto conservan el contenido redactado en el almacenamiento local.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Ley de Fitts y feedback visual</w:t>
              <w:br/>
              <w:t>Evidencia: Fitts: «Probar código» y «Entregar solución» miden 48 px de alto en el celular y 44 px en el computador; los demás controles miden 44 px o más (390×844). Estado siempre visible: «Guardado a las…», «Sin conexión: tu código queda en este equipo; reintentando…». Nuevo (06/10): toda acción del docente termina con un aviso (components/AvisosPantalla.vue; role="status", o "alert" si es un error) que se cierra solo a los 6 s; el botón de publicar mide 44 px en el celular.</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UX-07</w:t>
            </w:r>
          </w:p>
        </w:tc>
        <w:tc>
          <w:tcPr>
            <w:tcW w:type="dxa" w:w="2952"/>
            <w:shd w:fill="FFFFFF"/>
            <w:tcMar>
              <w:top w:w="70" w:type="dxa"/>
              <w:bottom w:w="70" w:type="dxa"/>
              <w:left w:w="70" w:type="dxa"/>
              <w:right w:w="70" w:type="dxa"/>
            </w:tcMar>
          </w:tcPr>
          <w:p>
            <w:pPr>
              <w:spacing w:before="0" w:after="40" w:line="276" w:lineRule="auto"/>
            </w:pPr>
            <w:r>
              <w:rPr>
                <w:b/>
                <w:color w:val="0F172A"/>
                <w:sz w:val="17"/>
              </w:rPr>
              <w:t>Accesibilidad Universal y Principios WCAG (POUR)</w:t>
              <w:br/>
            </w:r>
            <w:r>
              <w:rPr>
                <w:i/>
                <w:color w:val="64748B"/>
                <w:sz w:val="15"/>
              </w:rPr>
              <w:t>Ref: Pressman Cap. 12.8.2 ("Accessibility Guidelines"); W3C WCAG 2.1 (POUR)</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Perceptible: Relación de contraste cromático mínima de 4.5:1 para texto estándar y alternativas textuales descriptivas (atributos alt) en imágenes funcionales.</w:t>
            </w:r>
          </w:p>
          <w:p>
            <w:pPr>
              <w:spacing w:before="0" w:after="20" w:line="276" w:lineRule="auto"/>
            </w:pPr>
            <w:r>
              <w:rPr>
                <w:b/>
                <w:color w:val="0284C7"/>
                <w:sz w:val="16"/>
              </w:rPr>
              <w:t xml:space="preserve">• </w:t>
            </w:r>
            <w:r>
              <w:rPr>
                <w:color w:val="334155"/>
                <w:sz w:val="16"/>
              </w:rPr>
              <w:t>Operable: Navegabilidad íntegra mediante teclado (Tab, Shift+Tab, Enter, Espacio, Escape) con indicador de foco visual claramente delimitado (focus ring).</w:t>
            </w:r>
          </w:p>
          <w:p>
            <w:pPr>
              <w:spacing w:before="0" w:after="20" w:line="276" w:lineRule="auto"/>
            </w:pPr>
            <w:r>
              <w:rPr>
                <w:b/>
                <w:color w:val="0284C7"/>
                <w:sz w:val="16"/>
              </w:rPr>
              <w:t xml:space="preserve">• </w:t>
            </w:r>
            <w:r>
              <w:rPr>
                <w:color w:val="334155"/>
                <w:sz w:val="16"/>
              </w:rPr>
              <w:t>Comprensible y Robusto: Mensajes de error en línea (inline validation) con semántica HTML5 adecuada (&lt;nav&gt;, &lt;main&gt;, &lt;button&gt;) y compatibilidad con lectores de pantalla.</w:t>
            </w:r>
          </w:p>
          <w:p>
            <w:pPr>
              <w:spacing w:before="60" w:after="20" w:line="276" w:lineRule="auto"/>
            </w:pPr>
            <w:r>
              <w:rPr>
                <w:b/>
                <w:color w:val="1E3A8A"/>
                <w:sz w:val="15"/>
              </w:rPr>
              <w:t xml:space="preserve">Ejemplo en Frontend: </w:t>
            </w:r>
            <w:r>
              <w:rPr>
                <w:i/>
                <w:color w:val="0F172A"/>
                <w:sz w:val="15"/>
              </w:rPr>
              <w:t>Al navegar la aplicación usando exclusivamente la tecla Tab, cada botón resalta con un anillo de foco visible (`focus:ring-2 focus:ring-blue-600`), las auditorías automáticas de Lighthouse reportan &gt; 90 en Accesibilidad y los esquemas gráficos incluyen atributos alt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Auditoría Lighthouse / WAVE</w:t>
              <w:br/>
              <w:t>Evidencia: axe-core 4.10 (WCAG 2.1 A/AA) en producción: 0 problemas en las 20 pantallas medidas (estudiante, docente y públicas, en computador y celular), contra 5 a 24 problemas de contraste por pantalla en el «antes». Lighthouse 12 en el inicio de sesión: Accesibilidad 100, Buenas prácticas 100, SEO 100 (celular y computador). Enlace «Saltar al contenido» (Tab al entrar) y aria-current="page" en el menú y las migas. Única marca de axe: «scrollable-region-focusable» en el editor de código del celular, que es un falso positivo de CodeMirror 6 (el área se recorre con el teclado desde el propio editor).</w:t>
              <w:br/>
              <w:t>Ajuste: Reportes lighthouse_login_mobile.html y lighthouse_login_desktop.html; captura pc_est_saltar_contenido.webp.</w:t>
            </w:r>
          </w:p>
        </w:tc>
      </w:tr>
      <w:tr>
        <w:tc>
          <w:tcPr>
            <w:tcW w:type="dxa" w:w="792"/>
            <w:shd w:fill="FFFFFF"/>
            <w:tcMar>
              <w:top w:w="70" w:type="dxa"/>
              <w:bottom w:w="70" w:type="dxa"/>
              <w:left w:w="50" w:type="dxa"/>
              <w:right w:w="50" w:type="dxa"/>
            </w:tcMar>
          </w:tcPr>
          <w:p>
            <w:r>
              <w:t>UX-08</w:t>
            </w:r>
          </w:p>
        </w:tc>
        <w:tc>
          <w:tcPr>
            <w:tcW w:type="dxa" w:w="2952"/>
            <w:shd w:fill="FFFFFF"/>
            <w:tcMar>
              <w:top w:w="70" w:type="dxa"/>
              <w:bottom w:w="70" w:type="dxa"/>
              <w:left w:w="70" w:type="dxa"/>
              <w:right w:w="70" w:type="dxa"/>
            </w:tcMar>
          </w:tcPr>
          <w:p>
            <w:r>
              <w:t>Prototipado Validado y Métricas de Usabilidad</w:t>
              <w:br/>
              <w:t>Ref: Pressman Cap. 12.5 y Cap. 12.7; Knapp et al. (2016); Nielsen (1993)</w:t>
              <w:br/>
              <w:t>• Prototipado Interactivo: Evidencia de prototipos elaborados previamente a la codificación (ej. Figma).</w:t>
              <w:br/>
              <w:t>• Pruebas con Usuarios: Aplicación de la regla de los 5 usuarios (Nielsen).</w:t>
              <w:br/>
              <w:t>• Medición de Usabilidad: Cálculo del índice SUS (System Usability Scale).</w:t>
            </w:r>
          </w:p>
        </w:tc>
        <w:tc>
          <w:tcPr>
            <w:tcW w:type="dxa" w:w="3744"/>
            <w:shd w:fill="FFFFFF"/>
            <w:tcMar>
              <w:top w:w="70" w:type="dxa"/>
              <w:bottom w:w="70" w:type="dxa"/>
              <w:left w:w="80" w:type="dxa"/>
              <w:right w:w="80" w:type="dxa"/>
            </w:tcMar>
          </w:tcPr>
          <w:p>
            <w:r>
              <w:t>Ejemplo en Frontend: En el repositorio se incluye una carpeta /docs/ux/ con los wireframes iniciales aprobados y un documento con los resultados de las pruebas de usabilidad realizadas con 5 estudiantes de muestra, justificando los ajustes finales en la UI.</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r>
              <w:t>Pts: 1 / 2</w:t>
              <w:br/>
              <w:t>Obs: [x] Reporte SUS / Wireframes</w:t>
              <w:br/>
              <w:t>Evidencia: Prototipo en Figma, evaluación heurística de Nielsen y auditorías QA. La encuesta SUS (Brooke, 1996) está dentro de STIRE (/estudiante/encuesta y /docente/encuesta) y se calcula sola; el admin ve los resultados sin nombres. Los 5 integrantes la responden en la revisión humana, que cierra el viernes 09/10. Hasta tener esas respuestas el ítem queda en CP.</w:t>
              <w:br/>
              <w:t>Ajuste: Calcular el SUS con las respuestas del equipo (pasa a C con el resultado).</w:t>
            </w:r>
          </w:p>
        </w:tc>
      </w:tr>
    </w:tbl>
    <w:p>
      <w:pPr>
        <w:spacing w:before="0" w:after="80" w:line="276" w:lineRule="auto"/>
      </w:pPr>
    </w:p>
    <w:p>
      <w:pPr>
        <w:spacing w:before="160" w:after="60" w:line="276" w:lineRule="auto"/>
      </w:pPr>
      <w:r>
        <w:rPr>
          <w:rFonts w:ascii="Arial" w:hAnsi="Arial"/>
          <w:b/>
          <w:color w:val="0F172A"/>
          <w:sz w:val="22"/>
        </w:rPr>
        <w:t>4. CAPÍTULO 13: DISEÑO PARA LA MOVILIDAD (MOBILE UI/UX)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MOB-01</w:t>
            </w:r>
          </w:p>
        </w:tc>
        <w:tc>
          <w:tcPr>
            <w:tcW w:type="dxa" w:w="2952"/>
            <w:shd w:fill="FFFFFF"/>
            <w:tcMar>
              <w:top w:w="70" w:type="dxa"/>
              <w:bottom w:w="70" w:type="dxa"/>
              <w:left w:w="70" w:type="dxa"/>
              <w:right w:w="70" w:type="dxa"/>
            </w:tcMar>
          </w:tcPr>
          <w:p>
            <w:pPr>
              <w:spacing w:before="0" w:after="40" w:line="276" w:lineRule="auto"/>
            </w:pPr>
            <w:r>
              <w:rPr>
                <w:b/>
                <w:color w:val="0F172A"/>
                <w:sz w:val="17"/>
              </w:rPr>
              <w:t>Pirámide de Diseño Móvil / Web (Pressman &amp; Lowe)</w:t>
              <w:br/>
            </w:r>
            <w:r>
              <w:rPr>
                <w:i/>
                <w:color w:val="64748B"/>
                <w:sz w:val="15"/>
              </w:rPr>
              <w:t>Ref: Pressman Cap. 13.5 ("Web Design Pyramid", Pressman &amp; Lowe [Pre08])</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Simplicidad radical del contenido: Eliminación de sobrecarga visual y clutter; priorización estricta de la información esencial para pantallas pequeñas.</w:t>
            </w:r>
          </w:p>
          <w:p>
            <w:pPr>
              <w:spacing w:before="0" w:after="20" w:line="276" w:lineRule="auto"/>
            </w:pPr>
            <w:r>
              <w:rPr>
                <w:b/>
                <w:color w:val="0284C7"/>
                <w:sz w:val="16"/>
              </w:rPr>
              <w:t xml:space="preserve">• </w:t>
            </w:r>
            <w:r>
              <w:rPr>
                <w:color w:val="334155"/>
                <w:sz w:val="16"/>
              </w:rPr>
              <w:t>Unidades Semánticas de Navegación (NSU): Información fragmentada en bloques semánticos atómicos que facilitan la lectura rápida y concentrada.</w:t>
            </w:r>
          </w:p>
          <w:p>
            <w:pPr>
              <w:spacing w:before="0" w:after="20" w:line="276" w:lineRule="auto"/>
            </w:pPr>
            <w:r>
              <w:rPr>
                <w:b/>
                <w:color w:val="0284C7"/>
                <w:sz w:val="16"/>
              </w:rPr>
              <w:t xml:space="preserve">• </w:t>
            </w:r>
            <w:r>
              <w:rPr>
                <w:color w:val="334155"/>
                <w:sz w:val="16"/>
              </w:rPr>
              <w:t>Diseño responsivo fluido: Adaptación natural a smartphones, tablets y escritorio mediante Media Queries, Flexbox o CSS Grid, sin desplazamiento horizontal.</w:t>
            </w:r>
          </w:p>
          <w:p>
            <w:pPr>
              <w:spacing w:before="60" w:after="20" w:line="276" w:lineRule="auto"/>
            </w:pPr>
            <w:r>
              <w:rPr>
                <w:b/>
                <w:color w:val="1E3A8A"/>
                <w:sz w:val="15"/>
              </w:rPr>
              <w:t xml:space="preserve">Ejemplo en Frontend: </w:t>
            </w:r>
            <w:r>
              <w:rPr>
                <w:i/>
                <w:color w:val="0F172A"/>
                <w:sz w:val="15"/>
              </w:rPr>
              <w:t>En pantallas móviles de 375px a 414px, el diseño colapsa de 3 columnas a 1 sola columna vertical con espaciado amplio, la barra lateral se transforma en menú deslizable (drawer) y los párrafos no superan 60 caracteres por línea para facilitar la lectura.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Responsive en móvil verificado</w:t>
              <w:br/>
              <w:t>Evidencia: Sin desplazamiento horizontal en ninguna pantalla medida, en vertical (390×844) ni en horizontal (844×390). Las tarjetas pasan a una columna y la lección se divide en bloques cortos.</w:t>
              <w:br/>
              <w:t>Ajuste: Capturas cel_est_inicio.webp, cel_est_unidad.webp y cel_est_horizontal.webp.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MOB-02</w:t>
            </w:r>
          </w:p>
        </w:tc>
        <w:tc>
          <w:tcPr>
            <w:tcW w:type="dxa" w:w="2952"/>
            <w:shd w:fill="F8FAFC"/>
            <w:tcMar>
              <w:top w:w="70" w:type="dxa"/>
              <w:bottom w:w="70" w:type="dxa"/>
              <w:left w:w="70" w:type="dxa"/>
              <w:right w:w="70" w:type="dxa"/>
            </w:tcMar>
          </w:tcPr>
          <w:p>
            <w:r>
              <w:t>Ergonomía Táctil y Zona del Pulgar (Thumb Zone)</w:t>
              <w:br/>
              <w:t>Ref: Pressman Cap. 13.2.1, Cap. 13.8 (Hoober &amp; Berkman [Hoo12]; Schumacher [Sch09]) y Cap. 14.7 (Patrones Móviles)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Zona natural del pulgar (Thumb Zone): Botones y controles de interacción principal situados en el tercio inferior de la pantalla móvil.</w:t>
            </w:r>
          </w:p>
          <w:p>
            <w:pPr>
              <w:spacing w:before="0" w:after="20" w:line="276" w:lineRule="auto"/>
            </w:pPr>
            <w:r>
              <w:rPr>
                <w:b/>
                <w:color w:val="0284C7"/>
                <w:sz w:val="16"/>
              </w:rPr>
              <w:t xml:space="preserve">• </w:t>
            </w:r>
            <w:r>
              <w:rPr>
                <w:color w:val="334155"/>
                <w:sz w:val="16"/>
              </w:rPr>
              <w:t>Dimensiones mínimas de toque (Touch Targets): Áreas de contacto interactivas con un tamaño de al menos 48x48 px/dp y padding suficiente.</w:t>
            </w:r>
          </w:p>
          <w:p>
            <w:pPr>
              <w:spacing w:before="0" w:after="20" w:line="276" w:lineRule="auto"/>
            </w:pPr>
            <w:r>
              <w:rPr>
                <w:b/>
                <w:color w:val="0284C7"/>
                <w:sz w:val="16"/>
              </w:rPr>
              <w:t xml:space="preserve">• </w:t>
            </w:r>
            <w:r>
              <w:rPr>
                <w:color w:val="334155"/>
                <w:sz w:val="16"/>
              </w:rPr>
              <w:t>Espaciado de seguridad: Separación preventiva de al menos 8-12 px entre controles adyacentes para prevenir toques involuntarios en acciones críticas.</w:t>
            </w:r>
          </w:p>
          <w:p>
            <w:pPr>
              <w:spacing w:before="60" w:after="20" w:line="276" w:lineRule="auto"/>
            </w:pPr>
            <w:r>
              <w:rPr>
                <w:b/>
                <w:color w:val="1E3A8A"/>
                <w:sz w:val="15"/>
              </w:rPr>
              <w:t xml:space="preserve">Ejemplo en Frontend: </w:t>
            </w:r>
            <w:r>
              <w:rPr>
                <w:i/>
                <w:color w:val="0F172A"/>
                <w:sz w:val="15"/>
              </w:rPr>
              <w:t>Los controles de navegación "Siguiente Lección" y "Solicitar Pista" se ubican en una barra inferior fija (Bottom Bar) de fácil pulsación con una mano, y ningún botón táctil mide menos de 48px de alto, evitando toques accidentales en el botón "Salir".</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Botones &gt;= 48px en tercio inferior</w:t>
              <w:br/>
              <w:t>Evidencia: En el celular, «Probar código» y «Entregar solución» van en una barra fija abajo (y = 784 de 844 px, 48 px de alto), en la zona del pulgar; el botón del Tutor sube para no taparlos. Controles de 44 px o más en todas las pantallas del estudiante y del docente medidas en el celular; quedan por debajo solo los enlaces dentro de un texto (exentos en WCAG 2.5.8) y el botón «Mostrar contraseña» dentro del campo (32 px, sobre el mínimo de 24 px de WCAG 2.5.8).</w:t>
              <w:br/>
              <w:t>Ajuste: Captura cel_est_barra_inferior.webp.</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MOB-03</w:t>
            </w:r>
          </w:p>
        </w:tc>
        <w:tc>
          <w:tcPr>
            <w:tcW w:type="dxa" w:w="2952"/>
            <w:shd w:fill="FFFFFF"/>
            <w:tcMar>
              <w:top w:w="70" w:type="dxa"/>
              <w:bottom w:w="70" w:type="dxa"/>
              <w:left w:w="70" w:type="dxa"/>
              <w:right w:w="70" w:type="dxa"/>
            </w:tcMar>
          </w:tcPr>
          <w:p>
            <w:pPr>
              <w:spacing w:before="0" w:after="40" w:line="276" w:lineRule="auto"/>
            </w:pPr>
            <w:r>
              <w:rPr>
                <w:b/>
                <w:color w:val="0F172A"/>
                <w:sz w:val="17"/>
              </w:rPr>
              <w:t>Sensibilidad al Contexto y Adaptabilidad (Context-Aware Apps)</w:t>
              <w:br/>
            </w:r>
            <w:r>
              <w:rPr>
                <w:i/>
                <w:color w:val="64748B"/>
                <w:sz w:val="15"/>
              </w:rPr>
              <w:t>Ref: Pressman Cap. 13.4 ("Context-Aware Apps") y Cap. 13.1.2 ("Technical Considerations")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Adaptación a orientación del dispositivo: Reorganización limpia de la interfaz al alternar entre modo vertical (portrait) y horizontal (landscape) sin reiniciar el flujo.</w:t>
            </w:r>
          </w:p>
          <w:p>
            <w:pPr>
              <w:spacing w:before="0" w:after="20" w:line="276" w:lineRule="auto"/>
            </w:pPr>
            <w:r>
              <w:rPr>
                <w:b/>
                <w:color w:val="0284C7"/>
                <w:sz w:val="16"/>
              </w:rPr>
              <w:t xml:space="preserve">• </w:t>
            </w:r>
            <w:r>
              <w:rPr>
                <w:color w:val="334155"/>
                <w:sz w:val="16"/>
              </w:rPr>
              <w:t>Sensibilidad lumínica y ambiental: Compatibilidad con modo oscuro/claro (prefers-color-scheme) para entornos de baja luminosidad.</w:t>
            </w:r>
          </w:p>
          <w:p>
            <w:pPr>
              <w:spacing w:before="0" w:after="20" w:line="276" w:lineRule="auto"/>
            </w:pPr>
            <w:r>
              <w:rPr>
                <w:b/>
                <w:color w:val="0284C7"/>
                <w:sz w:val="16"/>
              </w:rPr>
              <w:t xml:space="preserve">• </w:t>
            </w:r>
            <w:r>
              <w:rPr>
                <w:color w:val="334155"/>
                <w:sz w:val="16"/>
              </w:rPr>
              <w:t>Entrada contextual optimizada: Formularios que invocan automáticamente el teclado virtual especializado según el tipo de dato (numérico, email, fecha).</w:t>
            </w:r>
          </w:p>
          <w:p>
            <w:pPr>
              <w:spacing w:before="60" w:after="20" w:line="276" w:lineRule="auto"/>
            </w:pPr>
            <w:r>
              <w:rPr>
                <w:b/>
                <w:color w:val="1E3A8A"/>
                <w:sz w:val="15"/>
              </w:rPr>
              <w:t xml:space="preserve">Ejemplo en Frontend: </w:t>
            </w:r>
            <w:r>
              <w:rPr>
                <w:i/>
                <w:color w:val="0F172A"/>
                <w:sz w:val="15"/>
              </w:rPr>
              <w:t>Al hacer foco en el campo de código de matrícula, el móvil abre automáticamente el teclado numérico (`inputmode="numeric"`); y al girar la pantalla a horizontal, el editor y la consola de resultados se reorganizan en dos columnas contiguas automáticamente.</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Rotación, teclados y temas probados (corregido el 07/10)</w:t>
              <w:br/>
              <w:t>Evidencia: Rotación sin perder el código (844×390); correo con type="email"; el código de clase pide mayúsculas y se formatea mientras se escribe («algo 2034» → «ALGO-2034»). Apariencia: tema claro, oscuro o «como mi dispositivo», alto contraste, texto grande y más espacio entre líneas. Corrección del 07/10: Jeider la probó y vio que no estaba lista, aunque esta evaluación la había dado por cumplida. El alto contraste casi no cambiaba nada, la opción estaba escondida al final del perfil y no funcionaba con «como mi dispositivo» en oscuro. Siguiendo a Canvas, GitHub y Moodle, ahora hay un botón «Apariencia» en la cabecera con vista previa de cada tema; el alto contraste pone texto casi negro (o blanco sobre negro), bordes marcados, enlaces subrayados y foco de 3 px; se respetan «más contraste» del dispositivo y los temas de contraste de Windows. Probado con agent-browser: axe-core da 0 problemas en 19 pantallas del estudiante y el docente en los cuatro modos (docs/DISENO_APARIENCIA.md §4 bis). Tercera vuelta (07/10, tarde): Jeider comparó con Windows; se agregaron sus cuatro temas de contraste (Acuático, Desierto, Anochecer y Cielo nocturno) y «Reducir el movimiento», y una prueba con WCAG 2.2 en 39 pantallas pasó de 196 elementos con fallas a 0, también con los temas puestos (docs/calidad/auditorias/ACCESIBILIDAD_E_INCLUSION_2026-10-07.md).</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MOB-04</w:t>
            </w:r>
          </w:p>
        </w:tc>
        <w:tc>
          <w:tcPr>
            <w:tcW w:type="dxa" w:w="2952"/>
            <w:shd w:fill="F8FAFC"/>
            <w:tcMar>
              <w:top w:w="70" w:type="dxa"/>
              <w:bottom w:w="70" w:type="dxa"/>
              <w:left w:w="70" w:type="dxa"/>
              <w:right w:w="70" w:type="dxa"/>
            </w:tcMar>
          </w:tcPr>
          <w:p>
            <w:pPr>
              <w:spacing w:before="0" w:after="40" w:line="276" w:lineRule="auto"/>
            </w:pPr>
            <w:r>
              <w:rPr>
                <w:b/>
                <w:color w:val="0F172A"/>
                <w:sz w:val="17"/>
              </w:rPr>
              <w:t>Resiliencia de Red y Rendimiento en Movilidad</w:t>
              <w:br/>
            </w:r>
            <w:r>
              <w:rPr>
                <w:i/>
                <w:color w:val="64748B"/>
                <w:sz w:val="15"/>
              </w:rPr>
              <w:t>Ref: Pressman Cap. 13.1.2 ("Technical Considerations") y Cap. 13.8 ("Mobility Design Best Practices")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Manejo elegante offline / conexión lenta: Notificación transparente y no invasiva ante pérdidas de red, permitiendo continuar tareas locales.</w:t>
            </w:r>
          </w:p>
          <w:p>
            <w:pPr>
              <w:spacing w:before="0" w:after="20" w:line="276" w:lineRule="auto"/>
            </w:pPr>
            <w:r>
              <w:rPr>
                <w:b/>
                <w:color w:val="0284C7"/>
                <w:sz w:val="16"/>
              </w:rPr>
              <w:t xml:space="preserve">• </w:t>
            </w:r>
            <w:r>
              <w:rPr>
                <w:color w:val="334155"/>
                <w:sz w:val="16"/>
              </w:rPr>
              <w:t>Optimización de recursos multimedia: Imágenes en formatos eficientes (WebP, SVG) con carga diferida (lazy loading) para reducir consumo de datos móviles.</w:t>
            </w:r>
          </w:p>
          <w:p>
            <w:pPr>
              <w:spacing w:before="0" w:after="20" w:line="276" w:lineRule="auto"/>
            </w:pPr>
            <w:r>
              <w:rPr>
                <w:b/>
                <w:color w:val="0284C7"/>
                <w:sz w:val="16"/>
              </w:rPr>
              <w:t xml:space="preserve">• </w:t>
            </w:r>
            <w:r>
              <w:rPr>
                <w:color w:val="334155"/>
                <w:sz w:val="16"/>
              </w:rPr>
              <w:t>Fluidez e hilo principal despejado: Operaciones asíncronas no bloqueantes que impiden la congelación del hilo de renderizado (UI Thread).</w:t>
            </w:r>
          </w:p>
          <w:p>
            <w:pPr>
              <w:spacing w:before="60" w:after="20" w:line="276" w:lineRule="auto"/>
            </w:pPr>
            <w:r>
              <w:rPr>
                <w:b/>
                <w:color w:val="1E3A8A"/>
                <w:sz w:val="15"/>
              </w:rPr>
              <w:t xml:space="preserve">Ejemplo en Frontend: </w:t>
            </w:r>
            <w:r>
              <w:rPr>
                <w:i/>
                <w:color w:val="0F172A"/>
                <w:sz w:val="15"/>
              </w:rPr>
              <w:t>Al simular desconexión en DevTools ("Network: Offline"), aparece un aviso flotante sutil: "Modo sin conexión activado; tus avances se sincronizarán automáticamente al reconectar", permitiendo que el estudiante continúe leyendo su guía sin bloqueos de pantalla.</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Simulación Offline en DevTools</w:t>
              <w:br/>
              <w:t>Evidencia: Sin red aparece «Sin conexión. Puedes seguir: tu código queda en este equipo y se enviará al volver la red» y el estado del editor lo repite; al volver la red se guarda solo («Guardado a las 12:20»). Probado en producción cortando la conexión en el celular. Imágenes con loading="lazy"; la calificación es asíncrona. Lighthouse Rendimiento: 79 en celular y 92 en computador.</w:t>
              <w:br/>
              <w:t>Ajuste: Captura cel_est_sin_conexion.webp.</w:t>
            </w:r>
          </w:p>
        </w:tc>
      </w:tr>
    </w:tbl>
    <w:p>
      <w:pPr>
        <w:spacing w:before="0" w:after="80" w:line="276" w:lineRule="auto"/>
      </w:pPr>
    </w:p>
    <w:p>
      <w:pPr>
        <w:spacing w:before="160" w:after="60" w:line="276" w:lineRule="auto"/>
      </w:pPr>
      <w:r>
        <w:rPr>
          <w:rFonts w:ascii="Arial" w:hAnsi="Arial"/>
          <w:b/>
          <w:color w:val="0F172A"/>
          <w:sz w:val="22"/>
        </w:rPr>
        <w:t>5. CAPÍTULO 14: DISEÑO BASADO EN PATRONES (PATTERN-BASED UI)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PAT-01</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Arquitectónicos y de Presentación (MVC / Componentes)</w:t>
              <w:br/>
            </w:r>
            <w:r>
              <w:rPr>
                <w:i/>
                <w:color w:val="64748B"/>
                <w:sz w:val="15"/>
              </w:rPr>
              <w:t>Ref: Pressman Cap. 14.1.1 (Gamma et al. [Gam95]) y Cap. 14.3 ("Architectural Patterns - MVC")</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Separación estricta de responsabilidades: Desacoplamiento entre componentes de presentación visual, lógica de control y acceso a datos.</w:t>
            </w:r>
          </w:p>
          <w:p>
            <w:pPr>
              <w:spacing w:before="0" w:after="20" w:line="276" w:lineRule="auto"/>
            </w:pPr>
            <w:r>
              <w:rPr>
                <w:b/>
                <w:color w:val="0284C7"/>
                <w:sz w:val="16"/>
              </w:rPr>
              <w:t xml:space="preserve">• </w:t>
            </w:r>
            <w:r>
              <w:rPr>
                <w:color w:val="334155"/>
                <w:sz w:val="16"/>
              </w:rPr>
              <w:t>Arquitectura de componentes modulares: Interfaz construida a partir de bloques reutilizables, independientes y con bajo acoplamiento.</w:t>
            </w:r>
          </w:p>
          <w:p>
            <w:pPr>
              <w:spacing w:before="0" w:after="20" w:line="276" w:lineRule="auto"/>
            </w:pPr>
            <w:r>
              <w:rPr>
                <w:b/>
                <w:color w:val="0284C7"/>
                <w:sz w:val="16"/>
              </w:rPr>
              <w:t xml:space="preserve">• </w:t>
            </w:r>
            <w:r>
              <w:rPr>
                <w:color w:val="334155"/>
                <w:sz w:val="16"/>
              </w:rPr>
              <w:t>Gestión de estado predecible: El flujo de datos entre la interfaz y el estado global es unidireccional y fácil de auditar.</w:t>
            </w:r>
          </w:p>
          <w:p>
            <w:pPr>
              <w:spacing w:before="60" w:after="20" w:line="276" w:lineRule="auto"/>
            </w:pPr>
            <w:r>
              <w:rPr>
                <w:b/>
                <w:color w:val="1E3A8A"/>
                <w:sz w:val="15"/>
              </w:rPr>
              <w:t xml:space="preserve">Ejemplo en Frontend: </w:t>
            </w:r>
            <w:r>
              <w:rPr>
                <w:i/>
                <w:color w:val="0F172A"/>
                <w:sz w:val="15"/>
              </w:rPr>
              <w:t>Estructura de código ordenada donde los componentes visuales (`StudentCard.jsx`, `ModalDialog.vue`) se ubican en `/components`, mientras que la lógica de peticiones y estado se gestiona de forma aislada en `/services` o `/store`, sin llamadas a base de datos dentro de la vista.</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Estructura modular desacoplada</w:t>
              <w:br/>
              <w:t>Evidencia: Ninguna página llama a la API desde la vista: 0 de 45 (eran 31 de 40 el 04/10). Cada pantalla organiza y pide sus datos a un composable por dominio (useUnidadEstudiante, useAsistenciaClase, useAjustesClase, useContenidosCurso y otros 25 nuevos); las reglas viven en utilidades puras con prueba. Una prueba automática impide que una página vuelva a llamar a la API (src/content-rendering/__tests__/pat01-paginas-sin-api.frontend.spec.ts). Queda: 26 componentes todavía llaman a la API; siguen el mismo camino, sin cambiar lo que ve el usuario.</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PAT-02</w:t>
            </w:r>
          </w:p>
        </w:tc>
        <w:tc>
          <w:tcPr>
            <w:tcW w:type="dxa" w:w="2952"/>
            <w:shd w:fill="F8FAFC"/>
            <w:tcMar>
              <w:top w:w="70" w:type="dxa"/>
              <w:bottom w:w="70" w:type="dxa"/>
              <w:left w:w="70" w:type="dxa"/>
              <w:right w:w="70" w:type="dxa"/>
            </w:tcMar>
          </w:tcPr>
          <w:p>
            <w:pPr>
              <w:spacing w:before="0" w:after="40" w:line="276" w:lineRule="auto"/>
            </w:pPr>
            <w:r>
              <w:rPr>
                <w:b/>
                <w:color w:val="0F172A"/>
                <w:sz w:val="17"/>
              </w:rPr>
              <w:t>Patrones de Navegación de Interfaz (Tidwell &amp; van Welie)</w:t>
              <w:br/>
            </w:r>
            <w:r>
              <w:rPr>
                <w:i/>
                <w:color w:val="64748B"/>
                <w:sz w:val="15"/>
              </w:rPr>
              <w:t>Ref: Pressman Cap. 14.6 ("User Interface Design Patterns"); Tidwell [Tid11] y van Welie [Wel01]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Patrones canónicos de navegación: Uso adecuado de Pestañas (Tabs) para vistas paralelas, Migas de Pan (Breadcrumbs) para jerarquías y Menú Lateral (Drawer) para navegación principal.</w:t>
            </w:r>
          </w:p>
          <w:p>
            <w:pPr>
              <w:spacing w:before="0" w:after="20" w:line="276" w:lineRule="auto"/>
            </w:pPr>
            <w:r>
              <w:rPr>
                <w:b/>
                <w:color w:val="0284C7"/>
                <w:sz w:val="16"/>
              </w:rPr>
              <w:t xml:space="preserve">• </w:t>
            </w:r>
            <w:r>
              <w:rPr>
                <w:color w:val="334155"/>
                <w:sz w:val="16"/>
              </w:rPr>
              <w:t>Localización espacial permanente: El usuario siempre sabe dónde se encuentra dentro del mapa del sitio mediante estados activos resaltados en los menús.</w:t>
            </w:r>
          </w:p>
          <w:p>
            <w:pPr>
              <w:spacing w:before="0" w:after="20" w:line="276" w:lineRule="auto"/>
            </w:pPr>
            <w:r>
              <w:rPr>
                <w:b/>
                <w:color w:val="0284C7"/>
                <w:sz w:val="16"/>
              </w:rPr>
              <w:t xml:space="preserve">• </w:t>
            </w:r>
            <w:r>
              <w:rPr>
                <w:color w:val="334155"/>
                <w:sz w:val="16"/>
              </w:rPr>
              <w:t>Paginación o scroll estructurado: Listados extensos gestionados mediante paginación clara o scroll continuo con indicador de fin de contenido.</w:t>
            </w:r>
          </w:p>
          <w:p>
            <w:pPr>
              <w:spacing w:before="60" w:after="20" w:line="276" w:lineRule="auto"/>
            </w:pPr>
            <w:r>
              <w:rPr>
                <w:b/>
                <w:color w:val="1E3A8A"/>
                <w:sz w:val="15"/>
              </w:rPr>
              <w:t xml:space="preserve">Ejemplo en Frontend: </w:t>
            </w:r>
            <w:r>
              <w:rPr>
                <w:i/>
                <w:color w:val="0F172A"/>
                <w:sz w:val="15"/>
              </w:rPr>
              <w:t>En un módulo con subtemas, el estudiante observa una ruta superior de migas de pan "Inicio &gt; Programación &gt; Bucles &gt; Práctica 1", pestañas horizontales para alternar entre "Teoría", "Ejemplos" y "Retos", y el menú lateral resalta la lección activa con fondo azul.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Breadcrumbs, Tabs y Drawer probados</w:t>
              <w:br/>
              <w:t>Evidencia: Menú lateral con la opción activa (aria-current), pestañas en la clase del docente y en el ejercicio, migas en la lección y ahora también en el ejercicio, y barra de acciones inferior en el celular.</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PAT-03</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de Entrada de Datos y Formularios</w:t>
              <w:br/>
            </w:r>
            <w:r>
              <w:rPr>
                <w:i/>
                <w:color w:val="64748B"/>
                <w:sz w:val="15"/>
              </w:rPr>
              <w:t>Ref: Pressman Cap. 14.6 ("User Interface Design Patterns - Input &amp; Forms"); Tidwell [Tid11]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Validación reactiva en línea (Inline Validation): Comprobación de datos campo a campo en tiempo real, mostrando errores descriptivos bajo el campo involucrado.</w:t>
            </w:r>
          </w:p>
          <w:p>
            <w:pPr>
              <w:spacing w:before="0" w:after="20" w:line="276" w:lineRule="auto"/>
            </w:pPr>
            <w:r>
              <w:rPr>
                <w:b/>
                <w:color w:val="0284C7"/>
                <w:sz w:val="16"/>
              </w:rPr>
              <w:t xml:space="preserve">• </w:t>
            </w:r>
            <w:r>
              <w:rPr>
                <w:color w:val="334155"/>
                <w:sz w:val="16"/>
              </w:rPr>
              <w:t>Máscaras de entrada y formateo asistido: Controles especializados para fechas, teléfonos o códigos que facilitan el llenado correcto sin fricción.</w:t>
            </w:r>
          </w:p>
          <w:p>
            <w:pPr>
              <w:spacing w:before="0" w:after="20" w:line="276" w:lineRule="auto"/>
            </w:pPr>
            <w:r>
              <w:rPr>
                <w:b/>
                <w:color w:val="0284C7"/>
                <w:sz w:val="16"/>
              </w:rPr>
              <w:t xml:space="preserve">• </w:t>
            </w:r>
            <w:r>
              <w:rPr>
                <w:color w:val="334155"/>
                <w:sz w:val="16"/>
              </w:rPr>
              <w:t>Agrupación semántica de campos: Formularios extensos agrupados en tarjetas temáticas o acordeones colapsables.</w:t>
            </w:r>
          </w:p>
          <w:p>
            <w:pPr>
              <w:spacing w:before="60" w:after="20" w:line="276" w:lineRule="auto"/>
            </w:pPr>
            <w:r>
              <w:rPr>
                <w:b/>
                <w:color w:val="1E3A8A"/>
                <w:sz w:val="15"/>
              </w:rPr>
              <w:t xml:space="preserve">Ejemplo en Frontend: </w:t>
            </w:r>
            <w:r>
              <w:rPr>
                <w:i/>
                <w:color w:val="0F172A"/>
                <w:sz w:val="15"/>
              </w:rPr>
              <w:t>Al escribir un formato inválido en el campo de correo o código institucional, el borde del input se tiñe de rojo suave y aparece el mensaje explicativo justo debajo ("Ingrese un correo válido @unicordoba.edu.co"), desapareciendo de inmediato al corregirlo sin recargar la página.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Validación reactiva campo a campo</w:t>
              <w:br/>
              <w:t>Evidencia: El inicio de sesión valida sin el globo del navegador: el error aparece bajo el campo y el foco va al primero que falta (utils/registro.ts, faltantesDelIngreso). El código de clase tiene formato asistido (utils/codigoClase.ts): mayúsculas y guion mientras se escribe. El registro ya validaba campo a campo.</w:t>
              <w:br/>
              <w:t>Ajuste: Captura cel_validacion_login.webp.</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PAT-04</w:t>
            </w:r>
          </w:p>
        </w:tc>
        <w:tc>
          <w:tcPr>
            <w:tcW w:type="dxa" w:w="2952"/>
            <w:shd w:fill="F8FAFC"/>
            <w:tcMar>
              <w:top w:w="70" w:type="dxa"/>
              <w:bottom w:w="70" w:type="dxa"/>
              <w:left w:w="70" w:type="dxa"/>
              <w:right w:w="70" w:type="dxa"/>
            </w:tcMar>
          </w:tcPr>
          <w:p>
            <w:pPr>
              <w:spacing w:before="0" w:after="40" w:line="276" w:lineRule="auto"/>
            </w:pPr>
            <w:r>
              <w:rPr>
                <w:b/>
                <w:color w:val="0F172A"/>
                <w:sz w:val="17"/>
              </w:rPr>
              <w:t>Prevención y Eliminación de Antipatrones de Diseño de UI</w:t>
              <w:br/>
            </w:r>
            <w:r>
              <w:rPr>
                <w:i/>
                <w:color w:val="64748B"/>
                <w:sz w:val="15"/>
              </w:rPr>
              <w:t>Ref: Pressman Cap. 14.5 ("Anti-Patterns"); William Brown et al. [Bro98]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Ausencia de The Blob (Componente Dios): Ningún archivo de interfaz concentra excesiva lógica, estilos y peticiones en un solo bloque monolítico inmanejable.</w:t>
            </w:r>
          </w:p>
          <w:p>
            <w:pPr>
              <w:spacing w:before="0" w:after="20" w:line="276" w:lineRule="auto"/>
            </w:pPr>
            <w:r>
              <w:rPr>
                <w:b/>
                <w:color w:val="0284C7"/>
                <w:sz w:val="16"/>
              </w:rPr>
              <w:t xml:space="preserve">• </w:t>
            </w:r>
            <w:r>
              <w:rPr>
                <w:color w:val="334155"/>
                <w:sz w:val="16"/>
              </w:rPr>
              <w:t>Ausencia de Mystery Meat Navigation: Todos los iconos interactivos cuentan con texto explicativo visible o tooltip descriptivo inmediato.</w:t>
            </w:r>
          </w:p>
          <w:p>
            <w:pPr>
              <w:spacing w:before="0" w:after="20" w:line="276" w:lineRule="auto"/>
            </w:pPr>
            <w:r>
              <w:rPr>
                <w:b/>
                <w:color w:val="0284C7"/>
                <w:sz w:val="16"/>
              </w:rPr>
              <w:t xml:space="preserve">• </w:t>
            </w:r>
            <w:r>
              <w:rPr>
                <w:color w:val="334155"/>
                <w:sz w:val="16"/>
              </w:rPr>
              <w:t>Ausencia de Modal Hell y Spaghetti UI: No se superponen ventanas modales sobre otras modales ni existen enlaces desorientadores en bucle.</w:t>
            </w:r>
          </w:p>
          <w:p>
            <w:pPr>
              <w:spacing w:before="60" w:after="20" w:line="276" w:lineRule="auto"/>
            </w:pPr>
            <w:r>
              <w:rPr>
                <w:b/>
                <w:color w:val="1E3A8A"/>
                <w:sz w:val="15"/>
              </w:rPr>
              <w:t xml:space="preserve">Ejemplo en Frontend: </w:t>
            </w:r>
            <w:r>
              <w:rPr>
                <w:i/>
                <w:color w:val="0F172A"/>
                <w:sz w:val="15"/>
              </w:rPr>
              <w:t>Ningún componente supera las 300 líneas de código; todos los botones con iconos (ej. un engranaje de configuración) poseen texto visible o un tooltip descriptivo con `role="tooltip"`; y la aplicación jamás abre un diálogo modal encima de otro diálogo modal abierto.</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Inspección de código contra The Blob</w:t>
              <w:br/>
              <w:t>Evidencia: Sin «Mystery Meat» (0 botones sin nombre) ni ventanas encimadas: todas las ventanas usan la misma base accesible. «The Blob» se atacó por responsabilidad, no por longitud: se dividieron los cinco archivos que mezclaban responsabilidades (panel del admin 1532 → 93 líneas, Contenidos 1131 → 338, Ajustes de la clase 604 → 153, las tres ventanas de crear contenido 429 → una sola ventana, el constructor de ejercicios HTML/CSS 645 → 174 con su lógica en una utilidad con prueba). Quedan 20 de 159 archivos de más de 300 líneas, cada uno con su motivo escrito (una sola herramienta: editor de diagramas, editor de código, cajón del Tutor…); la prueba pat04-componentes-grandes no deja que crezcan ni que aparezcan nuevos (actualizado el 07/10).</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Experiencia de Usuario (Capítulo 12 - 7 ítems)</w:t>
            </w:r>
          </w:p>
        </w:tc>
        <w:tc>
          <w:tcPr>
            <w:tcW w:type="dxa" w:w="1872"/>
            <w:shd w:fill="FFFFFF"/>
            <w:tcMar>
              <w:top w:w="70" w:type="dxa"/>
              <w:bottom w:w="70" w:type="dxa"/>
              <w:left w:w="100" w:type="dxa"/>
              <w:right w:w="100" w:type="dxa"/>
            </w:tcMar>
          </w:tcPr>
          <w:p>
            <w:r>
              <w:t>16 pts</w:t>
            </w:r>
          </w:p>
        </w:tc>
        <w:tc>
          <w:tcPr>
            <w:tcW w:type="dxa" w:w="1728"/>
            <w:shd w:fill="FFFFFF"/>
            <w:tcMar>
              <w:top w:w="70" w:type="dxa"/>
              <w:bottom w:w="70" w:type="dxa"/>
              <w:left w:w="100" w:type="dxa"/>
              <w:right w:w="100" w:type="dxa"/>
            </w:tcMar>
          </w:tcPr>
          <w:p>
            <w:pPr>
              <w:spacing w:before="0" w:after="0" w:line="276" w:lineRule="auto"/>
              <w:jc w:val="center"/>
            </w:pPr>
            <w:r>
              <w:rPr>
                <w:sz w:val="17"/>
              </w:rPr>
              <w:t>15 pts</w:t>
            </w:r>
          </w:p>
        </w:tc>
        <w:tc>
          <w:tcPr>
            <w:tcW w:type="dxa" w:w="1728"/>
            <w:shd w:fill="FFFFFF"/>
            <w:tcMar>
              <w:top w:w="70" w:type="dxa"/>
              <w:bottom w:w="70" w:type="dxa"/>
              <w:left w:w="100" w:type="dxa"/>
              <w:right w:w="100" w:type="dxa"/>
            </w:tcMar>
          </w:tcPr>
          <w:p>
            <w:pPr>
              <w:spacing w:before="0" w:after="0" w:line="276" w:lineRule="auto"/>
              <w:jc w:val="center"/>
            </w:pPr>
            <w:r>
              <w:rPr>
                <w:sz w:val="17"/>
              </w:rPr>
              <w:t>93.8 %</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Diseño para la Movilidad (Capítulo 13 - 4 ítems)</w:t>
            </w:r>
          </w:p>
        </w:tc>
        <w:tc>
          <w:tcPr>
            <w:tcW w:type="dxa" w:w="1872"/>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100.0 %</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Diseño Basado en Patrones (Capítulo 14 - 4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100.0 %</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r>
              <w:t>32 pts</w:t>
            </w:r>
          </w:p>
        </w:tc>
        <w:tc>
          <w:tcPr>
            <w:tcW w:type="dxa" w:w="1728"/>
            <w:shd w:fill="E2E8F0"/>
            <w:tcMar>
              <w:top w:w="80" w:type="dxa"/>
              <w:bottom w:w="80" w:type="dxa"/>
              <w:left w:w="100" w:type="dxa"/>
              <w:right w:w="100" w:type="dxa"/>
            </w:tcMar>
          </w:tcPr>
          <w:p>
            <w:pPr>
              <w:spacing w:before="0" w:after="0" w:line="276" w:lineRule="auto"/>
              <w:jc w:val="center"/>
            </w:pPr>
            <w:r>
              <w:rPr>
                <w:b/>
                <w:sz w:val="18"/>
              </w:rPr>
              <w:t>31 pts</w:t>
            </w:r>
          </w:p>
        </w:tc>
        <w:tc>
          <w:tcPr>
            <w:tcW w:type="dxa" w:w="1728"/>
            <w:shd w:fill="E2E8F0"/>
            <w:tcMar>
              <w:top w:w="80" w:type="dxa"/>
              <w:bottom w:w="80" w:type="dxa"/>
              <w:left w:w="100" w:type="dxa"/>
              <w:right w:w="100" w:type="dxa"/>
            </w:tcMar>
          </w:tcPr>
          <w:p>
            <w:pPr>
              <w:spacing w:before="0" w:after="0" w:line="276" w:lineRule="auto"/>
              <w:jc w:val="center"/>
            </w:pPr>
            <w:r>
              <w:rPr>
                <w:b/>
                <w:sz w:val="18"/>
              </w:rPr>
              <w:t>96.9 %</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Accesibilidad medida: 0 problemas de axe-core WCAG 2.1 AA en 20 pantallas y Lighthouse Accesibilidad 100 (UX-07). Uso con una mano en el celular: barra inferior de 48 px y controles de 44 px (MOB-02, UX-06). El trabajo no se pierde: copia local, recuperación tras F5 y aviso sin conexión (UX-02, MOB-04). Una sola apariencia: 0 emojis y títulos uniformes (UX-04). Migas en todo el recorrido (UX-01, PAT-02), errores bajo el campo y formato asistido (PAT-03), y Personas con HTA (UX-05). El docente organiza su curso sin miedo (06/10): ve qué se pierde antes de eliminar, no puede borrar el trabajo de sus estudiantes, puede archivar y restaurar, y cada acción confirma que salió bien (UX-02, UX-06). Ninguna página llama a la API desde la vista (PAT-01).</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1) Falta el SUS del equipo: se responde en la revisión humana, hasta el viernes 09/10 (UX-08). Con él, 32/32.</w:t>
            </w:r>
          </w:p>
        </w:tc>
      </w:tr>
    </w:tbl>
    <w:p>
      <w:r>
        <w:rPr>
          <w:b/>
          <w:sz w:val="17"/>
        </w:rPr>
        <w:t xml:space="preserve">Método de esta revisión (04/10/2026, «después»): </w:t>
      </w:r>
      <w:r>
        <w:rPr>
          <w:sz w:val="17"/>
        </w:rPr>
        <w:t>mismo método sobre la v2.0.0 (main @ 80f63d6), desplegada en stire-soft.vercel.app. Solo se reevaluaron los criterios que cambiaron desde el 04/10 (interfaz: UX-02, UX-06, UX-08, MOB-03, PAT-01 y PAT-04); los demás conservan la evidencia del 04/10. Mediciones del código (páginas que llaman a la API, archivos de más de 300 líneas) y recorrido en el navegador de la gestión de contenidos del docente (14 pasos, 0 errores). Es una evaluación hecha con IA (Claude Code): la revisión humana del equipo, criterio por criterio, cierra el viernes 09/10 (tarjetas S08-V-* en Trello). Revisiones anteriores en docs/calidad/listas-chequeo/.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