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lang w:eastAsia="ja-JP"/>
        </w:rPr>
      </w:pPr>
      <w:r>
        <w:rPr>
          <w:lang w:eastAsia="ja-JP"/>
        </w:rPr>
        <w:t>Lease Agreement</w:t>
      </w:r>
    </w:p>
    <w:p>
      <w:pPr>
        <w:pStyle w:val="Normal"/>
        <w:bidi w:val="0"/>
        <w:jc w:val="center"/>
        <w:rPr>
          <w:lang w:eastAsia="ja-JP"/>
        </w:rPr>
      </w:pPr>
      <w:r>
        <w:rPr>
          <w:lang w:eastAsia="ja-JP"/>
        </w:rPr>
      </w:r>
    </w:p>
    <w:p>
      <w:pPr>
        <w:pStyle w:val="Normal"/>
        <w:bidi w:val="0"/>
        <w:jc w:val="start"/>
        <w:rPr>
          <w:lang w:eastAsia="ja-JP"/>
        </w:rPr>
      </w:pPr>
      <w:r>
        <w:rPr>
          <w:lang w:eastAsia="ja-JP"/>
        </w:rPr>
        <w:t>(1) Leased building (Building number 10722651)</w:t>
      </w:r>
    </w:p>
    <w:p>
      <w:pPr>
        <w:pStyle w:val="Normal"/>
        <w:bidi w:val="0"/>
        <w:jc w:val="start"/>
        <w:rPr>
          <w:lang w:eastAsia="ja-JP"/>
        </w:rPr>
      </w:pPr>
      <w:r>
        <w:rPr>
          <w:lang w:eastAsia="ja-JP"/>
        </w:rPr>
      </w:r>
    </w:p>
    <w:p>
      <w:pPr>
        <w:pStyle w:val="Normal"/>
        <w:numPr>
          <w:ilvl w:val="0"/>
          <w:numId w:val="1"/>
        </w:numPr>
        <w:bidi w:val="0"/>
        <w:jc w:val="start"/>
        <w:rPr>
          <w:lang w:eastAsia="ja-JP"/>
        </w:rPr>
      </w:pPr>
      <w:r>
        <w:rPr>
          <w:lang w:eastAsia="ja-JP"/>
        </w:rPr>
        <w:t>Building -</w:t>
      </w:r>
    </w:p>
    <w:p>
      <w:pPr>
        <w:pStyle w:val="Normal"/>
        <w:numPr>
          <w:ilvl w:val="1"/>
          <w:numId w:val="1"/>
        </w:numPr>
        <w:bidi w:val="0"/>
        <w:jc w:val="start"/>
        <w:rPr>
          <w:lang w:eastAsia="ja-JP"/>
        </w:rPr>
      </w:pPr>
      <w:r>
        <w:rPr>
          <w:lang w:eastAsia="ja-JP"/>
        </w:rPr>
        <w:t xml:space="preserve">Name – Mezon Marushi </w:t>
      </w:r>
    </w:p>
    <w:p>
      <w:pPr>
        <w:pStyle w:val="Normal"/>
        <w:numPr>
          <w:ilvl w:val="1"/>
          <w:numId w:val="1"/>
        </w:numPr>
        <w:bidi w:val="0"/>
        <w:jc w:val="start"/>
        <w:rPr>
          <w:lang w:eastAsia="ja-JP"/>
        </w:rPr>
      </w:pPr>
      <w:r>
        <w:rPr>
          <w:lang w:eastAsia="ja-JP"/>
        </w:rPr>
        <w:t>Room number – 502</w:t>
      </w:r>
    </w:p>
    <w:p>
      <w:pPr>
        <w:pStyle w:val="Normal"/>
        <w:numPr>
          <w:ilvl w:val="1"/>
          <w:numId w:val="1"/>
        </w:numPr>
        <w:bidi w:val="0"/>
        <w:jc w:val="start"/>
        <w:rPr>
          <w:lang w:eastAsia="ja-JP"/>
        </w:rPr>
      </w:pPr>
      <w:r>
        <w:rPr>
          <w:lang w:eastAsia="ja-JP"/>
        </w:rPr>
        <w:t>Address – Postal code 115-0041 Iwabuchi-machi 26-6, Kita City, Tokyo</w:t>
      </w:r>
    </w:p>
    <w:p>
      <w:pPr>
        <w:pStyle w:val="Normal"/>
        <w:numPr>
          <w:ilvl w:val="1"/>
          <w:numId w:val="1"/>
        </w:numPr>
        <w:bidi w:val="0"/>
        <w:jc w:val="start"/>
        <w:rPr>
          <w:lang w:eastAsia="ja-JP"/>
        </w:rPr>
      </w:pPr>
      <w:r>
        <w:rPr>
          <w:lang w:eastAsia="ja-JP"/>
        </w:rPr>
        <w:t>Build – Reinforced Concrete, 7 stories</w:t>
      </w:r>
    </w:p>
    <w:p>
      <w:pPr>
        <w:pStyle w:val="Normal"/>
        <w:numPr>
          <w:ilvl w:val="1"/>
          <w:numId w:val="1"/>
        </w:numPr>
        <w:bidi w:val="0"/>
        <w:jc w:val="start"/>
        <w:rPr>
          <w:lang w:eastAsia="ja-JP"/>
        </w:rPr>
      </w:pPr>
      <w:r>
        <w:rPr>
          <w:lang w:eastAsia="ja-JP"/>
        </w:rPr>
        <w:t>Type – Apartment house (apartments)</w:t>
      </w:r>
    </w:p>
    <w:p>
      <w:pPr>
        <w:pStyle w:val="Normal"/>
        <w:numPr>
          <w:ilvl w:val="0"/>
          <w:numId w:val="1"/>
        </w:numPr>
        <w:bidi w:val="0"/>
        <w:jc w:val="start"/>
        <w:rPr>
          <w:lang w:eastAsia="ja-JP"/>
        </w:rPr>
      </w:pPr>
      <w:r>
        <w:rPr>
          <w:lang w:eastAsia="ja-JP"/>
        </w:rPr>
        <w:t>Dwelling Unit</w:t>
      </w:r>
    </w:p>
    <w:p>
      <w:pPr>
        <w:pStyle w:val="Normal"/>
        <w:numPr>
          <w:ilvl w:val="1"/>
          <w:numId w:val="1"/>
        </w:numPr>
        <w:bidi w:val="0"/>
        <w:jc w:val="start"/>
        <w:rPr>
          <w:lang w:eastAsia="ja-JP"/>
        </w:rPr>
      </w:pPr>
      <w:r>
        <w:rPr>
          <w:lang w:eastAsia="ja-JP"/>
        </w:rPr>
        <w:t xml:space="preserve">Layout – Western-style room (118 </w:t>
      </w:r>
      <w:r>
        <w:rPr>
          <w:position w:val="0"/>
          <w:sz w:val="24"/>
          <w:sz w:val="24"/>
          <w:vertAlign w:val="baseline"/>
          <w:lang w:eastAsia="ja-JP"/>
        </w:rPr>
        <w:t>ft</w:t>
      </w:r>
      <w:r>
        <w:rPr>
          <w:vertAlign w:val="superscript"/>
          <w:lang w:eastAsia="ja-JP"/>
        </w:rPr>
        <w:t>2</w:t>
      </w:r>
      <w:r>
        <w:rPr>
          <w:position w:val="0"/>
          <w:sz w:val="24"/>
          <w:sz w:val="24"/>
          <w:vertAlign w:val="baseline"/>
          <w:lang w:eastAsia="ja-JP"/>
        </w:rPr>
        <w:t>), western-style room (88 ft</w:t>
      </w:r>
      <w:r>
        <w:rPr>
          <w:vertAlign w:val="superscript"/>
          <w:lang w:eastAsia="ja-JP"/>
        </w:rPr>
        <w:t>2</w:t>
      </w:r>
      <w:r>
        <w:rPr>
          <w:position w:val="0"/>
          <w:sz w:val="24"/>
          <w:sz w:val="24"/>
          <w:vertAlign w:val="baseline"/>
          <w:lang w:eastAsia="ja-JP"/>
        </w:rPr>
        <w:t>), Kitchen (98 ft</w:t>
      </w:r>
      <w:r>
        <w:rPr>
          <w:vertAlign w:val="superscript"/>
          <w:lang w:eastAsia="ja-JP"/>
        </w:rPr>
        <w:t>2</w:t>
      </w:r>
      <w:r>
        <w:rPr>
          <w:position w:val="0"/>
          <w:sz w:val="24"/>
          <w:sz w:val="24"/>
          <w:vertAlign w:val="baseline"/>
          <w:lang w:eastAsia="ja-JP"/>
        </w:rPr>
        <w:t>)</w:t>
      </w:r>
    </w:p>
    <w:p>
      <w:pPr>
        <w:pStyle w:val="Normal"/>
        <w:numPr>
          <w:ilvl w:val="1"/>
          <w:numId w:val="1"/>
        </w:numPr>
        <w:bidi w:val="0"/>
        <w:jc w:val="start"/>
        <w:rPr>
          <w:lang w:eastAsia="ja-JP"/>
        </w:rPr>
      </w:pPr>
      <w:r>
        <w:rPr>
          <w:position w:val="0"/>
          <w:sz w:val="24"/>
          <w:sz w:val="24"/>
          <w:vertAlign w:val="baseline"/>
          <w:lang w:eastAsia="ja-JP"/>
        </w:rPr>
        <w:t>Floor area – 422 ft</w:t>
      </w:r>
      <w:r>
        <w:rPr>
          <w:vertAlign w:val="superscript"/>
          <w:lang w:eastAsia="ja-JP"/>
        </w:rPr>
        <w:t>2</w:t>
      </w:r>
    </w:p>
    <w:p>
      <w:pPr>
        <w:pStyle w:val="Normal"/>
        <w:numPr>
          <w:ilvl w:val="1"/>
          <w:numId w:val="1"/>
        </w:numPr>
        <w:bidi w:val="0"/>
        <w:jc w:val="start"/>
        <w:rPr>
          <w:lang w:eastAsia="ja-JP"/>
        </w:rPr>
      </w:pPr>
      <w:r>
        <w:rPr>
          <w:lang w:eastAsia="ja-JP"/>
        </w:rPr>
        <w:t>Kitchen – Yes – Private use</w:t>
      </w:r>
    </w:p>
    <w:p>
      <w:pPr>
        <w:pStyle w:val="Normal"/>
        <w:numPr>
          <w:ilvl w:val="1"/>
          <w:numId w:val="1"/>
        </w:numPr>
        <w:bidi w:val="0"/>
        <w:jc w:val="start"/>
        <w:rPr>
          <w:lang w:eastAsia="ja-JP"/>
        </w:rPr>
      </w:pPr>
      <w:r>
        <w:rPr>
          <w:lang w:eastAsia="ja-JP"/>
        </w:rPr>
        <w:t>Cooking stove – Yes – Gas cooking stove</w:t>
      </w:r>
    </w:p>
    <w:p>
      <w:pPr>
        <w:pStyle w:val="Normal"/>
        <w:numPr>
          <w:ilvl w:val="1"/>
          <w:numId w:val="1"/>
        </w:numPr>
        <w:bidi w:val="0"/>
        <w:jc w:val="start"/>
        <w:rPr>
          <w:lang w:eastAsia="ja-JP"/>
        </w:rPr>
      </w:pPr>
      <w:r>
        <w:rPr>
          <w:lang w:eastAsia="ja-JP"/>
        </w:rPr>
        <w:t>Bath room – Yes – Private use (seperate from the toilet)</w:t>
      </w:r>
    </w:p>
    <w:p>
      <w:pPr>
        <w:pStyle w:val="Normal"/>
        <w:numPr>
          <w:ilvl w:val="1"/>
          <w:numId w:val="1"/>
        </w:numPr>
        <w:bidi w:val="0"/>
        <w:jc w:val="start"/>
        <w:rPr>
          <w:lang w:eastAsia="ja-JP"/>
        </w:rPr>
      </w:pPr>
      <w:r>
        <w:rPr>
          <w:lang w:eastAsia="ja-JP"/>
        </w:rPr>
        <w:t>Washstand – Yes – Contains a moveable faucet that can spray water</w:t>
      </w:r>
    </w:p>
    <w:p>
      <w:pPr>
        <w:pStyle w:val="Normal"/>
        <w:numPr>
          <w:ilvl w:val="1"/>
          <w:numId w:val="1"/>
        </w:numPr>
        <w:bidi w:val="0"/>
        <w:jc w:val="start"/>
        <w:rPr>
          <w:lang w:eastAsia="ja-JP"/>
        </w:rPr>
      </w:pPr>
      <w:r>
        <w:rPr>
          <w:lang w:eastAsia="ja-JP"/>
        </w:rPr>
        <w:t>Toilet – Yes – Private use (water flushing toilet)</w:t>
      </w:r>
    </w:p>
    <w:p>
      <w:pPr>
        <w:pStyle w:val="Normal"/>
        <w:numPr>
          <w:ilvl w:val="1"/>
          <w:numId w:val="1"/>
        </w:numPr>
        <w:bidi w:val="0"/>
        <w:jc w:val="start"/>
        <w:rPr>
          <w:lang w:eastAsia="ja-JP"/>
        </w:rPr>
      </w:pPr>
      <w:r>
        <w:rPr>
          <w:lang w:eastAsia="ja-JP"/>
        </w:rPr>
        <w:t>Water heater – Yes – Gas</w:t>
      </w:r>
    </w:p>
    <w:p>
      <w:pPr>
        <w:pStyle w:val="Normal"/>
        <w:numPr>
          <w:ilvl w:val="1"/>
          <w:numId w:val="1"/>
        </w:numPr>
        <w:bidi w:val="0"/>
        <w:jc w:val="start"/>
        <w:rPr>
          <w:lang w:eastAsia="ja-JP"/>
        </w:rPr>
      </w:pPr>
      <w:r>
        <w:rPr>
          <w:lang w:eastAsia="ja-JP"/>
        </w:rPr>
        <w:t>Heating and cooling – Yes – 1 heating and cooling air conditioner</w:t>
      </w:r>
    </w:p>
    <w:p>
      <w:pPr>
        <w:pStyle w:val="Normal"/>
        <w:numPr>
          <w:ilvl w:val="1"/>
          <w:numId w:val="1"/>
        </w:numPr>
        <w:bidi w:val="0"/>
        <w:jc w:val="start"/>
        <w:rPr>
          <w:lang w:eastAsia="ja-JP"/>
        </w:rPr>
      </w:pPr>
      <w:r>
        <w:rPr>
          <w:lang w:eastAsia="ja-JP"/>
        </w:rPr>
        <w:t>Water – Yes – Municipal</w:t>
      </w:r>
    </w:p>
    <w:p>
      <w:pPr>
        <w:pStyle w:val="Normal"/>
        <w:numPr>
          <w:ilvl w:val="1"/>
          <w:numId w:val="1"/>
        </w:numPr>
        <w:bidi w:val="0"/>
        <w:jc w:val="start"/>
        <w:rPr>
          <w:lang w:eastAsia="ja-JP"/>
        </w:rPr>
      </w:pPr>
      <w:r>
        <w:rPr>
          <w:lang w:eastAsia="ja-JP"/>
        </w:rPr>
        <w:t>Electricity – Yes</w:t>
      </w:r>
    </w:p>
    <w:p>
      <w:pPr>
        <w:pStyle w:val="Normal"/>
        <w:numPr>
          <w:ilvl w:val="1"/>
          <w:numId w:val="1"/>
        </w:numPr>
        <w:bidi w:val="0"/>
        <w:jc w:val="start"/>
        <w:rPr>
          <w:lang w:eastAsia="ja-JP"/>
        </w:rPr>
      </w:pPr>
      <w:r>
        <w:rPr>
          <w:lang w:eastAsia="ja-JP"/>
        </w:rPr>
        <w:t>Sewerage – Yes – Municipal sewage</w:t>
      </w:r>
    </w:p>
    <w:p>
      <w:pPr>
        <w:pStyle w:val="Normal"/>
        <w:numPr>
          <w:ilvl w:val="1"/>
          <w:numId w:val="1"/>
        </w:numPr>
        <w:bidi w:val="0"/>
        <w:jc w:val="start"/>
        <w:rPr>
          <w:lang w:eastAsia="ja-JP"/>
        </w:rPr>
      </w:pPr>
      <w:r>
        <w:rPr>
          <w:lang w:eastAsia="ja-JP"/>
        </w:rPr>
        <w:t>Gas – Yes – City gas</w:t>
      </w:r>
    </w:p>
    <w:p>
      <w:pPr>
        <w:pStyle w:val="Normal"/>
        <w:numPr>
          <w:ilvl w:val="1"/>
          <w:numId w:val="1"/>
        </w:numPr>
        <w:bidi w:val="0"/>
        <w:jc w:val="start"/>
        <w:rPr>
          <w:lang w:eastAsia="ja-JP"/>
        </w:rPr>
      </w:pPr>
      <w:r>
        <w:rPr>
          <w:lang w:eastAsia="ja-JP"/>
        </w:rPr>
        <w:t xml:space="preserve">※ </w:t>
      </w:r>
      <w:r>
        <w:rPr>
          <w:lang w:eastAsia="ja-JP"/>
        </w:rPr>
        <w:t>The heat capacity of city gas will differ depending on location</w:t>
      </w:r>
    </w:p>
    <w:p>
      <w:pPr>
        <w:pStyle w:val="Normal"/>
        <w:numPr>
          <w:ilvl w:val="0"/>
          <w:numId w:val="1"/>
        </w:numPr>
        <w:bidi w:val="0"/>
        <w:jc w:val="start"/>
        <w:rPr>
          <w:lang w:eastAsia="ja-JP"/>
        </w:rPr>
      </w:pPr>
      <w:r>
        <w:rPr>
          <w:lang w:eastAsia="ja-JP"/>
        </w:rPr>
        <w:t>Adjoining facilities</w:t>
      </w:r>
    </w:p>
    <w:p>
      <w:pPr>
        <w:pStyle w:val="Normal"/>
        <w:numPr>
          <w:ilvl w:val="1"/>
          <w:numId w:val="1"/>
        </w:numPr>
        <w:bidi w:val="0"/>
        <w:jc w:val="start"/>
        <w:rPr>
          <w:lang w:eastAsia="ja-JP"/>
        </w:rPr>
      </w:pPr>
      <w:r>
        <w:rPr>
          <w:lang w:eastAsia="ja-JP"/>
        </w:rPr>
        <w:t>Parking spaces</w:t>
      </w:r>
    </w:p>
    <w:p>
      <w:pPr>
        <w:pStyle w:val="Normal"/>
        <w:numPr>
          <w:ilvl w:val="1"/>
          <w:numId w:val="1"/>
        </w:numPr>
        <w:bidi w:val="0"/>
        <w:jc w:val="start"/>
        <w:rPr>
          <w:lang w:eastAsia="ja-JP"/>
        </w:rPr>
      </w:pPr>
      <w:r>
        <w:rPr>
          <w:lang w:eastAsia="ja-JP"/>
        </w:rPr>
        <w:t>Number of cars</w:t>
      </w:r>
    </w:p>
    <w:p>
      <w:pPr>
        <w:pStyle w:val="Normal"/>
        <w:numPr>
          <w:ilvl w:val="1"/>
          <w:numId w:val="1"/>
        </w:numPr>
        <w:bidi w:val="0"/>
        <w:jc w:val="start"/>
        <w:rPr>
          <w:lang w:eastAsia="ja-JP"/>
        </w:rPr>
      </w:pPr>
      <w:r>
        <w:rPr>
          <w:lang w:eastAsia="ja-JP"/>
        </w:rPr>
        <w:t>-cars</w:t>
      </w:r>
    </w:p>
    <w:p>
      <w:pPr>
        <w:pStyle w:val="Normal"/>
        <w:numPr>
          <w:ilvl w:val="1"/>
          <w:numId w:val="1"/>
        </w:numPr>
        <w:bidi w:val="0"/>
        <w:jc w:val="start"/>
        <w:rPr>
          <w:lang w:eastAsia="ja-JP"/>
        </w:rPr>
      </w:pPr>
      <w:r>
        <w:rPr>
          <w:lang w:eastAsia="ja-JP"/>
        </w:rPr>
        <w:t>Subdivision</w:t>
      </w:r>
    </w:p>
    <w:p>
      <w:pPr>
        <w:pStyle w:val="Normal"/>
        <w:numPr>
          <w:ilvl w:val="1"/>
          <w:numId w:val="1"/>
        </w:numPr>
        <w:bidi w:val="0"/>
        <w:jc w:val="start"/>
        <w:rPr>
          <w:lang w:eastAsia="ja-JP"/>
        </w:rPr>
      </w:pPr>
      <w:r>
        <w:rPr>
          <w:lang w:eastAsia="ja-JP"/>
        </w:rPr>
        <w:t>Monthly parking charge</w:t>
      </w:r>
    </w:p>
    <w:p>
      <w:pPr>
        <w:pStyle w:val="Normal"/>
        <w:numPr>
          <w:ilvl w:val="1"/>
          <w:numId w:val="1"/>
        </w:numPr>
        <w:bidi w:val="0"/>
        <w:jc w:val="start"/>
        <w:rPr>
          <w:lang w:eastAsia="ja-JP"/>
        </w:rPr>
      </w:pPr>
      <w:r>
        <w:rPr>
          <w:lang w:eastAsia="ja-JP"/>
        </w:rPr>
        <w:t>-yen</w:t>
      </w:r>
    </w:p>
    <w:p>
      <w:pPr>
        <w:pStyle w:val="Normal"/>
        <w:numPr>
          <w:ilvl w:val="1"/>
          <w:numId w:val="1"/>
        </w:numPr>
        <w:bidi w:val="0"/>
        <w:jc w:val="start"/>
        <w:rPr>
          <w:lang w:eastAsia="ja-JP"/>
        </w:rPr>
      </w:pPr>
      <w:r>
        <w:rPr>
          <w:lang w:eastAsia="ja-JP"/>
        </w:rPr>
        <w:t>Subdivision</w:t>
      </w:r>
    </w:p>
    <w:p>
      <w:pPr>
        <w:pStyle w:val="Normal"/>
        <w:numPr>
          <w:ilvl w:val="1"/>
          <w:numId w:val="1"/>
        </w:numPr>
        <w:bidi w:val="0"/>
        <w:jc w:val="start"/>
        <w:rPr>
          <w:lang w:eastAsia="ja-JP"/>
        </w:rPr>
      </w:pPr>
      <w:r>
        <w:rPr>
          <w:lang w:eastAsia="ja-JP"/>
        </w:rPr>
        <w:t xml:space="preserve">Monthly parking charge </w:t>
      </w:r>
    </w:p>
    <w:p>
      <w:pPr>
        <w:pStyle w:val="Normal"/>
        <w:numPr>
          <w:ilvl w:val="1"/>
          <w:numId w:val="1"/>
        </w:numPr>
        <w:bidi w:val="0"/>
        <w:jc w:val="start"/>
        <w:rPr>
          <w:lang w:eastAsia="ja-JP"/>
        </w:rPr>
      </w:pPr>
      <w:r>
        <w:rPr>
          <w:lang w:eastAsia="ja-JP"/>
        </w:rPr>
        <w:t>-yen</w:t>
      </w:r>
    </w:p>
    <w:p>
      <w:pPr>
        <w:pStyle w:val="Normal"/>
        <w:numPr>
          <w:ilvl w:val="1"/>
          <w:numId w:val="1"/>
        </w:numPr>
        <w:bidi w:val="0"/>
        <w:jc w:val="start"/>
        <w:rPr>
          <w:lang w:eastAsia="ja-JP"/>
        </w:rPr>
      </w:pPr>
      <w:r>
        <w:rPr>
          <w:lang w:eastAsia="ja-JP"/>
        </w:rPr>
        <w:t>Subdivision</w:t>
      </w:r>
    </w:p>
    <w:p>
      <w:pPr>
        <w:pStyle w:val="Normal"/>
        <w:numPr>
          <w:ilvl w:val="1"/>
          <w:numId w:val="1"/>
        </w:numPr>
        <w:bidi w:val="0"/>
        <w:jc w:val="start"/>
        <w:rPr>
          <w:lang w:eastAsia="ja-JP"/>
        </w:rPr>
      </w:pPr>
      <w:r>
        <w:rPr>
          <w:lang w:eastAsia="ja-JP"/>
        </w:rPr>
        <w:t>Monthly parking charge</w:t>
      </w:r>
    </w:p>
    <w:p>
      <w:pPr>
        <w:pStyle w:val="Normal"/>
        <w:numPr>
          <w:ilvl w:val="1"/>
          <w:numId w:val="1"/>
        </w:numPr>
        <w:bidi w:val="0"/>
        <w:jc w:val="start"/>
        <w:rPr>
          <w:lang w:eastAsia="ja-JP"/>
        </w:rPr>
      </w:pPr>
      <w:r>
        <w:rPr>
          <w:lang w:eastAsia="ja-JP"/>
        </w:rPr>
        <w:t>-yen</w:t>
      </w:r>
    </w:p>
    <w:p>
      <w:pPr>
        <w:pStyle w:val="Normal"/>
        <w:bidi w:val="0"/>
        <w:jc w:val="start"/>
        <w:rPr>
          <w:lang w:eastAsia="ja-JP"/>
        </w:rPr>
      </w:pPr>
      <w:r>
        <w:rPr>
          <w:lang w:eastAsia="ja-JP"/>
        </w:rPr>
      </w:r>
    </w:p>
    <w:p>
      <w:pPr>
        <w:pStyle w:val="Normal"/>
        <w:bidi w:val="0"/>
        <w:jc w:val="start"/>
        <w:rPr>
          <w:lang w:eastAsia="ja-JP"/>
        </w:rPr>
      </w:pPr>
      <w:r>
        <w:rPr>
          <w:lang w:eastAsia="ja-JP"/>
        </w:rPr>
        <w:t>(2) Lengh of Lease and Term for Notice of Contract Cancellation</w:t>
      </w:r>
    </w:p>
    <w:p>
      <w:pPr>
        <w:pStyle w:val="Normal"/>
        <w:numPr>
          <w:ilvl w:val="0"/>
          <w:numId w:val="2"/>
        </w:numPr>
        <w:bidi w:val="0"/>
        <w:jc w:val="start"/>
        <w:rPr>
          <w:lang w:eastAsia="ja-JP"/>
        </w:rPr>
      </w:pPr>
      <w:r>
        <w:rPr>
          <w:lang w:eastAsia="ja-JP"/>
        </w:rPr>
        <w:t>Start – April 30</w:t>
      </w:r>
      <w:r>
        <w:rPr>
          <w:vertAlign w:val="superscript"/>
          <w:lang w:eastAsia="ja-JP"/>
        </w:rPr>
        <w:t>th</w:t>
      </w:r>
      <w:r>
        <w:rPr>
          <w:lang w:eastAsia="ja-JP"/>
        </w:rPr>
        <w:t xml:space="preserve"> 2022</w:t>
      </w:r>
    </w:p>
    <w:p>
      <w:pPr>
        <w:pStyle w:val="Normal"/>
        <w:numPr>
          <w:ilvl w:val="0"/>
          <w:numId w:val="2"/>
        </w:numPr>
        <w:bidi w:val="0"/>
        <w:jc w:val="start"/>
        <w:rPr>
          <w:lang w:eastAsia="ja-JP"/>
        </w:rPr>
      </w:pPr>
      <w:r>
        <w:rPr>
          <w:lang w:eastAsia="ja-JP"/>
        </w:rPr>
        <w:t>End – April 29</w:t>
      </w:r>
      <w:r>
        <w:rPr>
          <w:vertAlign w:val="superscript"/>
          <w:lang w:eastAsia="ja-JP"/>
        </w:rPr>
        <w:t>th</w:t>
      </w:r>
      <w:r>
        <w:rPr>
          <w:lang w:eastAsia="ja-JP"/>
        </w:rPr>
        <w:t xml:space="preserve"> 2024</w:t>
      </w:r>
    </w:p>
    <w:p>
      <w:pPr>
        <w:pStyle w:val="Normal"/>
        <w:numPr>
          <w:ilvl w:val="0"/>
          <w:numId w:val="2"/>
        </w:numPr>
        <w:bidi w:val="0"/>
        <w:jc w:val="start"/>
        <w:rPr>
          <w:lang w:eastAsia="ja-JP"/>
        </w:rPr>
      </w:pPr>
      <w:r>
        <w:rPr>
          <w:lang w:eastAsia="ja-JP"/>
        </w:rPr>
        <w:t>2 years and 0 months</w:t>
      </w:r>
    </w:p>
    <w:p>
      <w:pPr>
        <w:pStyle w:val="Normal"/>
        <w:numPr>
          <w:ilvl w:val="0"/>
          <w:numId w:val="2"/>
        </w:numPr>
        <w:bidi w:val="0"/>
        <w:jc w:val="start"/>
        <w:rPr>
          <w:lang w:eastAsia="ja-JP"/>
        </w:rPr>
      </w:pPr>
      <w:r>
        <w:rPr>
          <w:lang w:eastAsia="ja-JP"/>
        </w:rPr>
        <w:t>Term for notice of contract cancellation – 1 month before cancellation</w:t>
      </w:r>
    </w:p>
    <w:p>
      <w:pPr>
        <w:pStyle w:val="Normal"/>
        <w:bidi w:val="0"/>
        <w:jc w:val="start"/>
        <w:rPr>
          <w:lang w:eastAsia="ja-JP"/>
        </w:rPr>
      </w:pPr>
      <w:r>
        <w:rPr>
          <w:lang w:eastAsia="ja-JP"/>
        </w:rPr>
      </w:r>
    </w:p>
    <w:p>
      <w:pPr>
        <w:pStyle w:val="Normal"/>
        <w:bidi w:val="0"/>
        <w:jc w:val="start"/>
        <w:rPr>
          <w:lang w:eastAsia="ja-JP"/>
        </w:rPr>
      </w:pPr>
      <w:r>
        <w:rPr>
          <w:lang w:eastAsia="ja-JP"/>
        </w:rPr>
        <w:t>(3) Rent, etc.</w:t>
      </w:r>
    </w:p>
    <w:p>
      <w:pPr>
        <w:pStyle w:val="Normal"/>
        <w:numPr>
          <w:ilvl w:val="0"/>
          <w:numId w:val="3"/>
        </w:numPr>
        <w:bidi w:val="0"/>
        <w:jc w:val="start"/>
        <w:rPr>
          <w:lang w:eastAsia="ja-JP"/>
        </w:rPr>
      </w:pPr>
      <w:r>
        <w:rPr>
          <w:lang w:eastAsia="ja-JP"/>
        </w:rPr>
        <w:t>Rent (Monthly) – 90,000 yen</w:t>
      </w:r>
    </w:p>
    <w:p>
      <w:pPr>
        <w:pStyle w:val="Normal"/>
        <w:numPr>
          <w:ilvl w:val="0"/>
          <w:numId w:val="3"/>
        </w:numPr>
        <w:bidi w:val="0"/>
        <w:jc w:val="start"/>
        <w:rPr>
          <w:lang w:eastAsia="ja-JP"/>
        </w:rPr>
      </w:pPr>
      <w:r>
        <w:rPr>
          <w:lang w:eastAsia="ja-JP"/>
        </w:rPr>
        <w:t>Renewal fee – 1 month of rent</w:t>
      </w:r>
    </w:p>
    <w:p>
      <w:pPr>
        <w:pStyle w:val="Normal"/>
        <w:numPr>
          <w:ilvl w:val="0"/>
          <w:numId w:val="3"/>
        </w:numPr>
        <w:bidi w:val="0"/>
        <w:jc w:val="start"/>
        <w:rPr>
          <w:lang w:eastAsia="ja-JP"/>
        </w:rPr>
      </w:pPr>
      <w:r>
        <w:rPr>
          <w:lang w:eastAsia="ja-JP"/>
        </w:rPr>
        <w:t xml:space="preserve">Administrative fee </w:t>
      </w:r>
    </w:p>
    <w:p>
      <w:pPr>
        <w:pStyle w:val="Normal"/>
        <w:numPr>
          <w:ilvl w:val="0"/>
          <w:numId w:val="3"/>
        </w:numPr>
        <w:bidi w:val="0"/>
        <w:jc w:val="start"/>
        <w:rPr>
          <w:lang w:eastAsia="ja-JP"/>
        </w:rPr>
      </w:pPr>
      <w:r>
        <w:rPr>
          <w:lang w:eastAsia="ja-JP"/>
        </w:rPr>
        <w:t>-yen</w:t>
      </w:r>
    </w:p>
    <w:p>
      <w:pPr>
        <w:pStyle w:val="Normal"/>
        <w:numPr>
          <w:ilvl w:val="0"/>
          <w:numId w:val="3"/>
        </w:numPr>
        <w:bidi w:val="0"/>
        <w:jc w:val="start"/>
        <w:rPr>
          <w:lang w:eastAsia="ja-JP"/>
        </w:rPr>
      </w:pPr>
      <w:r>
        <w:rPr>
          <w:lang w:eastAsia="ja-JP"/>
        </w:rPr>
        <w:t>Terms of payment of monthly rent – According to the contract with Epos: Following the provisions in article 14 and 15 of section 2 of the installment purchase contract.</w:t>
      </w:r>
    </w:p>
    <w:p>
      <w:pPr>
        <w:pStyle w:val="Normal"/>
        <w:numPr>
          <w:ilvl w:val="0"/>
          <w:numId w:val="3"/>
        </w:numPr>
        <w:bidi w:val="0"/>
        <w:jc w:val="start"/>
        <w:rPr>
          <w:lang w:eastAsia="ja-JP"/>
        </w:rPr>
      </w:pPr>
      <w:r>
        <w:rPr>
          <w:lang w:eastAsia="ja-JP"/>
        </w:rPr>
        <w:t>Remittance destination</w:t>
      </w:r>
    </w:p>
    <w:p>
      <w:pPr>
        <w:pStyle w:val="Normal"/>
        <w:numPr>
          <w:ilvl w:val="1"/>
          <w:numId w:val="3"/>
        </w:numPr>
        <w:bidi w:val="0"/>
        <w:jc w:val="start"/>
        <w:rPr>
          <w:lang w:eastAsia="ja-JP"/>
        </w:rPr>
      </w:pPr>
      <w:r>
        <w:rPr>
          <w:lang w:eastAsia="ja-JP"/>
        </w:rPr>
        <w:t>Name of the bank -</w:t>
      </w:r>
    </w:p>
    <w:p>
      <w:pPr>
        <w:pStyle w:val="Normal"/>
        <w:numPr>
          <w:ilvl w:val="1"/>
          <w:numId w:val="3"/>
        </w:numPr>
        <w:bidi w:val="0"/>
        <w:jc w:val="start"/>
        <w:rPr>
          <w:lang w:eastAsia="ja-JP"/>
        </w:rPr>
      </w:pPr>
      <w:r>
        <w:rPr>
          <w:lang w:eastAsia="ja-JP"/>
        </w:rPr>
        <w:t xml:space="preserve">Type of account - </w:t>
      </w:r>
    </w:p>
    <w:p>
      <w:pPr>
        <w:pStyle w:val="Normal"/>
        <w:numPr>
          <w:ilvl w:val="1"/>
          <w:numId w:val="3"/>
        </w:numPr>
        <w:bidi w:val="0"/>
        <w:jc w:val="start"/>
        <w:rPr>
          <w:lang w:eastAsia="ja-JP"/>
        </w:rPr>
      </w:pPr>
      <w:r>
        <w:rPr>
          <w:lang w:eastAsia="ja-JP"/>
        </w:rPr>
        <w:t>Account name -</w:t>
      </w:r>
    </w:p>
    <w:p>
      <w:pPr>
        <w:pStyle w:val="Normal"/>
        <w:numPr>
          <w:ilvl w:val="1"/>
          <w:numId w:val="3"/>
        </w:numPr>
        <w:bidi w:val="0"/>
        <w:jc w:val="start"/>
        <w:rPr>
          <w:lang w:eastAsia="ja-JP"/>
        </w:rPr>
      </w:pPr>
      <w:r>
        <w:rPr>
          <w:lang w:eastAsia="ja-JP"/>
        </w:rPr>
        <w:t>Branch name -</w:t>
      </w:r>
    </w:p>
    <w:p>
      <w:pPr>
        <w:pStyle w:val="Normal"/>
        <w:numPr>
          <w:ilvl w:val="1"/>
          <w:numId w:val="3"/>
        </w:numPr>
        <w:bidi w:val="0"/>
        <w:jc w:val="start"/>
        <w:rPr>
          <w:lang w:eastAsia="ja-JP"/>
        </w:rPr>
      </w:pPr>
      <w:r>
        <w:rPr>
          <w:lang w:eastAsia="ja-JP"/>
        </w:rPr>
        <w:t>Account number -</w:t>
      </w:r>
    </w:p>
    <w:p>
      <w:pPr>
        <w:pStyle w:val="Normal"/>
        <w:numPr>
          <w:ilvl w:val="1"/>
          <w:numId w:val="3"/>
        </w:numPr>
        <w:bidi w:val="0"/>
        <w:jc w:val="start"/>
        <w:rPr>
          <w:lang w:eastAsia="ja-JP"/>
        </w:rPr>
      </w:pPr>
      <w:r>
        <w:rPr>
          <w:lang w:eastAsia="ja-JP"/>
        </w:rPr>
        <w:t>(Name in English letters) -</w:t>
      </w:r>
    </w:p>
    <w:p>
      <w:pPr>
        <w:pStyle w:val="Normal"/>
        <w:numPr>
          <w:ilvl w:val="0"/>
          <w:numId w:val="3"/>
        </w:numPr>
        <w:bidi w:val="0"/>
        <w:jc w:val="start"/>
        <w:rPr>
          <w:lang w:eastAsia="ja-JP"/>
        </w:rPr>
      </w:pPr>
      <w:r>
        <w:rPr>
          <w:lang w:eastAsia="ja-JP"/>
        </w:rPr>
        <w:t xml:space="preserve">Destination - </w:t>
      </w:r>
    </w:p>
    <w:p>
      <w:pPr>
        <w:pStyle w:val="Normal"/>
        <w:bidi w:val="0"/>
        <w:jc w:val="start"/>
        <w:rPr>
          <w:lang w:eastAsia="ja-JP"/>
        </w:rPr>
      </w:pPr>
      <w:r>
        <w:rPr>
          <w:lang w:eastAsia="ja-JP"/>
        </w:rPr>
        <w:t>(4) Lessor or Management Company</w:t>
      </w:r>
    </w:p>
    <w:p>
      <w:pPr>
        <w:pStyle w:val="Normal"/>
        <w:numPr>
          <w:ilvl w:val="0"/>
          <w:numId w:val="4"/>
        </w:numPr>
        <w:bidi w:val="0"/>
        <w:jc w:val="start"/>
        <w:rPr>
          <w:lang w:eastAsia="ja-JP"/>
        </w:rPr>
      </w:pPr>
      <w:r>
        <w:rPr>
          <w:lang w:eastAsia="ja-JP"/>
        </w:rPr>
        <w:t>Lessor</w:t>
      </w:r>
    </w:p>
    <w:p>
      <w:pPr>
        <w:pStyle w:val="Normal"/>
        <w:numPr>
          <w:ilvl w:val="1"/>
          <w:numId w:val="4"/>
        </w:numPr>
        <w:bidi w:val="0"/>
        <w:jc w:val="start"/>
        <w:rPr>
          <w:lang w:eastAsia="ja-JP"/>
        </w:rPr>
      </w:pPr>
      <w:r>
        <w:rPr>
          <w:lang w:eastAsia="ja-JP"/>
        </w:rPr>
        <w:t>Address – Postal code 115-0041 Iwabuchi-machi 26-6, Kita City, Tokyo. Mezon Marushin 1</w:t>
      </w:r>
      <w:r>
        <w:rPr>
          <w:vertAlign w:val="superscript"/>
          <w:lang w:eastAsia="ja-JP"/>
        </w:rPr>
        <w:t>st</w:t>
      </w:r>
      <w:r>
        <w:rPr>
          <w:lang w:eastAsia="ja-JP"/>
        </w:rPr>
        <w:t xml:space="preserve"> floor</w:t>
      </w:r>
    </w:p>
    <w:p>
      <w:pPr>
        <w:pStyle w:val="Normal"/>
        <w:numPr>
          <w:ilvl w:val="1"/>
          <w:numId w:val="4"/>
        </w:numPr>
        <w:bidi w:val="0"/>
        <w:jc w:val="start"/>
        <w:rPr>
          <w:lang w:eastAsia="ja-JP"/>
        </w:rPr>
      </w:pPr>
      <w:r>
        <w:rPr>
          <w:lang w:eastAsia="ja-JP"/>
        </w:rPr>
        <w:t>Name – Oyama Brewing Co.</w:t>
      </w:r>
    </w:p>
    <w:p>
      <w:pPr>
        <w:pStyle w:val="Normal"/>
        <w:numPr>
          <w:ilvl w:val="0"/>
          <w:numId w:val="4"/>
        </w:numPr>
        <w:bidi w:val="0"/>
        <w:jc w:val="start"/>
        <w:rPr>
          <w:lang w:eastAsia="ja-JP"/>
        </w:rPr>
      </w:pPr>
      <w:r>
        <w:rPr>
          <w:lang w:eastAsia="ja-JP"/>
        </w:rPr>
        <w:t>Lessor’s proxy</w:t>
      </w:r>
    </w:p>
    <w:p>
      <w:pPr>
        <w:pStyle w:val="Normal"/>
        <w:numPr>
          <w:ilvl w:val="1"/>
          <w:numId w:val="4"/>
        </w:numPr>
        <w:bidi w:val="0"/>
        <w:jc w:val="start"/>
        <w:rPr>
          <w:lang w:eastAsia="ja-JP"/>
        </w:rPr>
      </w:pPr>
      <w:r>
        <w:rPr>
          <w:lang w:eastAsia="ja-JP"/>
        </w:rPr>
        <w:t>Address -</w:t>
      </w:r>
    </w:p>
    <w:p>
      <w:pPr>
        <w:pStyle w:val="Normal"/>
        <w:numPr>
          <w:ilvl w:val="1"/>
          <w:numId w:val="4"/>
        </w:numPr>
        <w:bidi w:val="0"/>
        <w:jc w:val="start"/>
        <w:rPr>
          <w:lang w:eastAsia="ja-JP"/>
        </w:rPr>
      </w:pPr>
      <w:r>
        <w:rPr>
          <w:lang w:eastAsia="ja-JP"/>
        </w:rPr>
        <w:t>Name -</w:t>
      </w:r>
    </w:p>
    <w:p>
      <w:pPr>
        <w:pStyle w:val="Normal"/>
        <w:numPr>
          <w:ilvl w:val="0"/>
          <w:numId w:val="4"/>
        </w:numPr>
        <w:bidi w:val="0"/>
        <w:jc w:val="start"/>
        <w:rPr>
          <w:lang w:eastAsia="ja-JP"/>
        </w:rPr>
      </w:pPr>
      <w:r>
        <w:rPr>
          <w:lang w:eastAsia="ja-JP"/>
        </w:rPr>
        <w:t>Management company 1 (Private Use Area)</w:t>
      </w:r>
    </w:p>
    <w:p>
      <w:pPr>
        <w:pStyle w:val="Normal"/>
        <w:numPr>
          <w:ilvl w:val="1"/>
          <w:numId w:val="4"/>
        </w:numPr>
        <w:bidi w:val="0"/>
        <w:jc w:val="start"/>
        <w:rPr>
          <w:lang w:eastAsia="ja-JP"/>
        </w:rPr>
      </w:pPr>
      <w:r>
        <w:rPr>
          <w:lang w:eastAsia="ja-JP"/>
        </w:rPr>
        <w:t>Address – Postal code 115-0045 Akabane 1-13-2, Kita City, Tokyo, Akabane Station Front Ansum Building</w:t>
      </w:r>
    </w:p>
    <w:p>
      <w:pPr>
        <w:pStyle w:val="Normal"/>
        <w:numPr>
          <w:ilvl w:val="1"/>
          <w:numId w:val="4"/>
        </w:numPr>
        <w:bidi w:val="0"/>
        <w:jc w:val="start"/>
        <w:rPr>
          <w:lang w:eastAsia="ja-JP"/>
        </w:rPr>
      </w:pPr>
      <w:r>
        <w:rPr>
          <w:lang w:eastAsia="ja-JP"/>
        </w:rPr>
        <w:t>Name – Able Inc., Akabane Shop</w:t>
      </w:r>
    </w:p>
    <w:p>
      <w:pPr>
        <w:pStyle w:val="Normal"/>
        <w:numPr>
          <w:ilvl w:val="0"/>
          <w:numId w:val="4"/>
        </w:numPr>
        <w:bidi w:val="0"/>
        <w:jc w:val="start"/>
        <w:rPr>
          <w:lang w:eastAsia="ja-JP"/>
        </w:rPr>
      </w:pPr>
      <w:r>
        <w:rPr>
          <w:lang w:eastAsia="ja-JP"/>
        </w:rPr>
        <w:t>Management company 2 (Public Area)</w:t>
      </w:r>
    </w:p>
    <w:p>
      <w:pPr>
        <w:pStyle w:val="Normal"/>
        <w:numPr>
          <w:ilvl w:val="1"/>
          <w:numId w:val="4"/>
        </w:numPr>
        <w:bidi w:val="0"/>
        <w:jc w:val="start"/>
        <w:rPr>
          <w:lang w:eastAsia="ja-JP"/>
        </w:rPr>
      </w:pPr>
      <w:r>
        <w:rPr>
          <w:lang w:eastAsia="ja-JP"/>
        </w:rPr>
        <w:t>Address -</w:t>
      </w:r>
    </w:p>
    <w:p>
      <w:pPr>
        <w:pStyle w:val="Normal"/>
        <w:numPr>
          <w:ilvl w:val="1"/>
          <w:numId w:val="4"/>
        </w:numPr>
        <w:bidi w:val="0"/>
        <w:jc w:val="start"/>
        <w:rPr>
          <w:lang w:eastAsia="ja-JP"/>
        </w:rPr>
      </w:pPr>
      <w:r>
        <w:rPr>
          <w:lang w:eastAsia="ja-JP"/>
        </w:rPr>
        <w:t>Name -</w:t>
      </w:r>
    </w:p>
    <w:p>
      <w:pPr>
        <w:pStyle w:val="Normal"/>
        <w:bidi w:val="0"/>
        <w:jc w:val="start"/>
        <w:rPr>
          <w:lang w:eastAsia="ja-JP"/>
        </w:rPr>
      </w:pPr>
      <w:r>
        <w:rPr>
          <w:lang w:eastAsia="ja-JP"/>
        </w:rPr>
      </w:r>
    </w:p>
    <w:p>
      <w:pPr>
        <w:pStyle w:val="Normal"/>
        <w:bidi w:val="0"/>
        <w:jc w:val="start"/>
        <w:rPr>
          <w:lang w:eastAsia="ja-JP"/>
        </w:rPr>
      </w:pPr>
      <w:r>
        <w:rPr>
          <w:lang w:eastAsia="ja-JP"/>
        </w:rPr>
        <w:t>(5) Lessee and Residents</w:t>
      </w:r>
    </w:p>
    <w:p>
      <w:pPr>
        <w:pStyle w:val="Normal"/>
        <w:numPr>
          <w:ilvl w:val="0"/>
          <w:numId w:val="5"/>
        </w:numPr>
        <w:bidi w:val="0"/>
        <w:jc w:val="start"/>
        <w:rPr>
          <w:lang w:eastAsia="ja-JP"/>
        </w:rPr>
      </w:pPr>
      <w:r>
        <w:rPr>
          <w:lang w:eastAsia="ja-JP"/>
        </w:rPr>
        <w:t>Lessee</w:t>
      </w:r>
    </w:p>
    <w:p>
      <w:pPr>
        <w:pStyle w:val="Normal"/>
        <w:numPr>
          <w:ilvl w:val="1"/>
          <w:numId w:val="5"/>
        </w:numPr>
        <w:bidi w:val="0"/>
        <w:jc w:val="start"/>
        <w:rPr>
          <w:lang w:eastAsia="ja-JP"/>
        </w:rPr>
      </w:pPr>
      <w:r>
        <w:rPr>
          <w:lang w:eastAsia="ja-JP"/>
        </w:rPr>
        <w:t>Address – Postal Code 202-0015 Hoya-cho 4-1-23, Nishi-Tokyo City, Tokyo, Room 203</w:t>
      </w:r>
    </w:p>
    <w:p>
      <w:pPr>
        <w:pStyle w:val="Normal"/>
        <w:numPr>
          <w:ilvl w:val="1"/>
          <w:numId w:val="5"/>
        </w:numPr>
        <w:bidi w:val="0"/>
        <w:jc w:val="start"/>
        <w:rPr>
          <w:lang w:eastAsia="ja-JP"/>
        </w:rPr>
      </w:pPr>
      <w:r>
        <w:rPr>
          <w:lang w:eastAsia="ja-JP"/>
        </w:rPr>
        <w:t>Name – Wakako Kanno</w:t>
      </w:r>
    </w:p>
    <w:p>
      <w:pPr>
        <w:pStyle w:val="Normal"/>
        <w:numPr>
          <w:ilvl w:val="0"/>
          <w:numId w:val="5"/>
        </w:numPr>
        <w:bidi w:val="0"/>
        <w:jc w:val="start"/>
        <w:rPr>
          <w:lang w:eastAsia="ja-JP"/>
        </w:rPr>
      </w:pPr>
      <w:r>
        <w:rPr>
          <w:lang w:eastAsia="ja-JP"/>
        </w:rPr>
        <w:t>Residents</w:t>
      </w:r>
    </w:p>
    <w:p>
      <w:pPr>
        <w:pStyle w:val="Normal"/>
        <w:numPr>
          <w:ilvl w:val="1"/>
          <w:numId w:val="5"/>
        </w:numPr>
        <w:bidi w:val="0"/>
        <w:jc w:val="start"/>
        <w:rPr>
          <w:lang w:eastAsia="ja-JP"/>
        </w:rPr>
      </w:pPr>
      <w:r>
        <w:rPr>
          <w:lang w:eastAsia="ja-JP"/>
        </w:rPr>
        <w:t>Wakako Kanno</w:t>
      </w:r>
    </w:p>
    <w:p>
      <w:pPr>
        <w:pStyle w:val="Normal"/>
        <w:numPr>
          <w:ilvl w:val="1"/>
          <w:numId w:val="5"/>
        </w:numPr>
        <w:bidi w:val="0"/>
        <w:jc w:val="start"/>
        <w:rPr>
          <w:lang w:eastAsia="ja-JP"/>
        </w:rPr>
      </w:pPr>
      <w:r>
        <w:rPr>
          <w:lang w:eastAsia="ja-JP"/>
        </w:rPr>
        <w:t>Jason Grant</w:t>
      </w:r>
    </w:p>
    <w:p>
      <w:pPr>
        <w:pStyle w:val="Normal"/>
        <w:numPr>
          <w:ilvl w:val="0"/>
          <w:numId w:val="5"/>
        </w:numPr>
        <w:bidi w:val="0"/>
        <w:jc w:val="start"/>
        <w:rPr>
          <w:lang w:eastAsia="ja-JP"/>
        </w:rPr>
      </w:pPr>
      <w:r>
        <w:rPr>
          <w:lang w:eastAsia="ja-JP"/>
        </w:rPr>
        <w:t>Relationship</w:t>
      </w:r>
    </w:p>
    <w:p>
      <w:pPr>
        <w:pStyle w:val="Normal"/>
        <w:numPr>
          <w:ilvl w:val="1"/>
          <w:numId w:val="5"/>
        </w:numPr>
        <w:bidi w:val="0"/>
        <w:jc w:val="start"/>
        <w:rPr>
          <w:lang w:eastAsia="ja-JP"/>
        </w:rPr>
      </w:pPr>
      <w:r>
        <w:rPr>
          <w:lang w:eastAsia="ja-JP"/>
        </w:rPr>
        <w:t>Lessee</w:t>
      </w:r>
    </w:p>
    <w:p>
      <w:pPr>
        <w:pStyle w:val="Normal"/>
        <w:numPr>
          <w:ilvl w:val="1"/>
          <w:numId w:val="5"/>
        </w:numPr>
        <w:bidi w:val="0"/>
        <w:jc w:val="start"/>
        <w:rPr>
          <w:lang w:eastAsia="ja-JP"/>
        </w:rPr>
      </w:pPr>
      <w:r>
        <w:rPr>
          <w:lang w:eastAsia="ja-JP"/>
        </w:rPr>
        <w:t>Fiance</w:t>
      </w:r>
    </w:p>
    <w:p>
      <w:pPr>
        <w:pStyle w:val="Normal"/>
        <w:numPr>
          <w:ilvl w:val="0"/>
          <w:numId w:val="5"/>
        </w:numPr>
        <w:bidi w:val="0"/>
        <w:jc w:val="start"/>
        <w:rPr>
          <w:lang w:eastAsia="ja-JP"/>
        </w:rPr>
      </w:pPr>
      <w:r>
        <w:rPr>
          <w:lang w:eastAsia="ja-JP"/>
        </w:rPr>
        <w:t>Age</w:t>
      </w:r>
    </w:p>
    <w:p>
      <w:pPr>
        <w:pStyle w:val="Normal"/>
        <w:numPr>
          <w:ilvl w:val="1"/>
          <w:numId w:val="5"/>
        </w:numPr>
        <w:bidi w:val="0"/>
        <w:jc w:val="start"/>
        <w:rPr>
          <w:lang w:eastAsia="ja-JP"/>
        </w:rPr>
      </w:pPr>
      <w:r>
        <w:rPr>
          <w:lang w:eastAsia="ja-JP"/>
        </w:rPr>
        <w:t>42</w:t>
      </w:r>
    </w:p>
    <w:p>
      <w:pPr>
        <w:pStyle w:val="Normal"/>
        <w:numPr>
          <w:ilvl w:val="1"/>
          <w:numId w:val="5"/>
        </w:numPr>
        <w:bidi w:val="0"/>
        <w:jc w:val="start"/>
        <w:rPr>
          <w:lang w:eastAsia="ja-JP"/>
        </w:rPr>
      </w:pPr>
      <w:r>
        <w:rPr>
          <w:lang w:eastAsia="ja-JP"/>
        </w:rPr>
        <w:t>43</w:t>
      </w:r>
    </w:p>
    <w:p>
      <w:pPr>
        <w:pStyle w:val="Normal"/>
        <w:numPr>
          <w:ilvl w:val="0"/>
          <w:numId w:val="5"/>
        </w:numPr>
        <w:bidi w:val="0"/>
        <w:jc w:val="start"/>
        <w:rPr>
          <w:lang w:eastAsia="ja-JP"/>
        </w:rPr>
      </w:pPr>
      <w:r>
        <w:rPr>
          <w:lang w:eastAsia="ja-JP"/>
        </w:rPr>
        <w:t>Residents</w:t>
      </w:r>
    </w:p>
    <w:p>
      <w:pPr>
        <w:pStyle w:val="Normal"/>
        <w:numPr>
          <w:ilvl w:val="0"/>
          <w:numId w:val="5"/>
        </w:numPr>
        <w:bidi w:val="0"/>
        <w:jc w:val="start"/>
        <w:rPr>
          <w:lang w:eastAsia="ja-JP"/>
        </w:rPr>
      </w:pPr>
      <w:r>
        <w:rPr>
          <w:lang w:eastAsia="ja-JP"/>
        </w:rPr>
        <w:t>Relationship</w:t>
      </w:r>
    </w:p>
    <w:p>
      <w:pPr>
        <w:pStyle w:val="Normal"/>
        <w:numPr>
          <w:ilvl w:val="0"/>
          <w:numId w:val="5"/>
        </w:numPr>
        <w:bidi w:val="0"/>
        <w:jc w:val="start"/>
        <w:rPr>
          <w:lang w:eastAsia="ja-JP"/>
        </w:rPr>
      </w:pPr>
      <w:r>
        <w:rPr>
          <w:lang w:eastAsia="ja-JP"/>
        </w:rPr>
        <w:t>Age</w:t>
      </w:r>
    </w:p>
    <w:p>
      <w:pPr>
        <w:pStyle w:val="Normal"/>
        <w:bidi w:val="0"/>
        <w:jc w:val="start"/>
        <w:rPr>
          <w:lang w:eastAsia="ja-JP"/>
        </w:rPr>
      </w:pPr>
      <w:r>
        <w:rPr>
          <w:lang w:eastAsia="ja-JP"/>
        </w:rPr>
      </w:r>
    </w:p>
    <w:p>
      <w:pPr>
        <w:pStyle w:val="Normal"/>
        <w:bidi w:val="0"/>
        <w:jc w:val="start"/>
        <w:rPr>
          <w:lang w:eastAsia="ja-JP"/>
        </w:rPr>
      </w:pPr>
      <w:r>
        <w:rPr>
          <w:lang w:eastAsia="ja-JP"/>
        </w:rPr>
        <w:t>(Contract Execution)</w:t>
      </w:r>
    </w:p>
    <w:p>
      <w:pPr>
        <w:pStyle w:val="Normal"/>
        <w:numPr>
          <w:ilvl w:val="0"/>
          <w:numId w:val="6"/>
        </w:numPr>
        <w:bidi w:val="0"/>
        <w:jc w:val="start"/>
        <w:rPr>
          <w:lang w:eastAsia="ja-JP"/>
        </w:rPr>
      </w:pPr>
      <w:r>
        <w:rPr>
          <w:lang w:eastAsia="ja-JP"/>
        </w:rPr>
        <w:t>Article 1</w:t>
      </w:r>
    </w:p>
    <w:p>
      <w:pPr>
        <w:pStyle w:val="Normal"/>
        <w:numPr>
          <w:ilvl w:val="1"/>
          <w:numId w:val="6"/>
        </w:numPr>
        <w:bidi w:val="0"/>
        <w:jc w:val="start"/>
        <w:rPr>
          <w:lang w:eastAsia="ja-JP"/>
        </w:rPr>
      </w:pPr>
      <w:r>
        <w:rPr>
          <w:lang w:eastAsia="ja-JP"/>
        </w:rPr>
        <w:t>The Lessor (hereafter refer</w:t>
      </w:r>
      <w:r>
        <w:rPr>
          <w:lang w:eastAsia="ja-JP"/>
        </w:rPr>
        <w:t>red</w:t>
      </w:r>
      <w:r>
        <w:rPr>
          <w:lang w:eastAsia="ja-JP"/>
        </w:rPr>
        <w:t xml:space="preserve"> to as the “first party”) and the lessee (hereafter referred to as the “second party”) will be entered into a contract (hereafter know as “this contract”) for the purpose of leasing the apartment described in (1)  above (hereafter known as “the apartment”) with the conditions described below.</w:t>
      </w:r>
    </w:p>
    <w:p>
      <w:pPr>
        <w:pStyle w:val="Normal"/>
        <w:bidi w:val="0"/>
        <w:jc w:val="start"/>
        <w:rPr>
          <w:lang w:eastAsia="ja-JP"/>
        </w:rPr>
      </w:pPr>
      <w:r>
        <w:rPr>
          <w:lang w:eastAsia="ja-JP"/>
        </w:rPr>
        <w:t>(Contract Length)</w:t>
      </w:r>
    </w:p>
    <w:p>
      <w:pPr>
        <w:pStyle w:val="Normal"/>
        <w:numPr>
          <w:ilvl w:val="0"/>
          <w:numId w:val="7"/>
        </w:numPr>
        <w:bidi w:val="0"/>
        <w:jc w:val="start"/>
        <w:rPr>
          <w:lang w:eastAsia="ja-JP"/>
        </w:rPr>
      </w:pPr>
      <w:r>
        <w:rPr>
          <w:lang w:eastAsia="ja-JP"/>
        </w:rPr>
        <w:t>Article 2</w:t>
      </w:r>
    </w:p>
    <w:p>
      <w:pPr>
        <w:pStyle w:val="Normal"/>
        <w:numPr>
          <w:ilvl w:val="1"/>
          <w:numId w:val="7"/>
        </w:numPr>
        <w:bidi w:val="0"/>
        <w:jc w:val="start"/>
        <w:rPr>
          <w:lang w:eastAsia="ja-JP"/>
        </w:rPr>
      </w:pPr>
      <w:r>
        <w:rPr>
          <w:lang w:eastAsia="ja-JP"/>
        </w:rPr>
        <w:t>The contract period and cancellation period is defined in (2) above. If the second party does not inform the first party about the cancellation of the lease contract by the end of the cancellation period before the end of the contract and if the first party does not inform the second party that they will not be renewing the contract at least 6 months before the end of the contract period, the contract will automatically be renewed for the same period starting on the day after the end of the contract period. This process will continue in perpetuity.</w:t>
      </w:r>
    </w:p>
    <w:p>
      <w:pPr>
        <w:pStyle w:val="Normal"/>
        <w:numPr>
          <w:ilvl w:val="1"/>
          <w:numId w:val="7"/>
        </w:numPr>
        <w:bidi w:val="0"/>
        <w:jc w:val="start"/>
        <w:rPr>
          <w:lang w:eastAsia="ja-JP"/>
        </w:rPr>
      </w:pPr>
      <w:r>
        <w:rPr>
          <w:lang w:eastAsia="ja-JP"/>
        </w:rPr>
        <w:t xml:space="preserve">2. At the time of the contract renewal as described in the preceding clause, if there is a renewal fee in (3) above, the second party will have to pay the first party that amount of money regardless of the type of renewal. </w:t>
      </w:r>
    </w:p>
    <w:p>
      <w:pPr>
        <w:pStyle w:val="Normal"/>
        <w:numPr>
          <w:ilvl w:val="1"/>
          <w:numId w:val="7"/>
        </w:numPr>
        <w:bidi w:val="0"/>
        <w:jc w:val="start"/>
        <w:rPr>
          <w:lang w:eastAsia="ja-JP"/>
        </w:rPr>
      </w:pPr>
      <w:r>
        <w:rPr>
          <w:lang w:eastAsia="ja-JP"/>
        </w:rPr>
        <w:t xml:space="preserve">3. At the time of the contract renewal as described in the first clause, if there is an administrative fee in (3) above, the second party will have to pay the first party that amount of money regardless of the type of renewal. </w:t>
      </w:r>
    </w:p>
    <w:p>
      <w:pPr>
        <w:pStyle w:val="Normal"/>
        <w:numPr>
          <w:ilvl w:val="1"/>
          <w:numId w:val="7"/>
        </w:numPr>
        <w:bidi w:val="0"/>
        <w:jc w:val="start"/>
        <w:rPr>
          <w:lang w:eastAsia="ja-JP"/>
        </w:rPr>
      </w:pPr>
      <w:r>
        <w:rPr>
          <w:lang w:eastAsia="ja-JP"/>
        </w:rPr>
        <w:t>4. At the time of the contract renewal as described in the first clause, if the first party requests the preparation of a renewal contract on the submission of documents, the second party will have to submit to the request regardless of the type of renewal.</w:t>
      </w:r>
    </w:p>
    <w:p>
      <w:pPr>
        <w:pStyle w:val="Normal"/>
        <w:bidi w:val="0"/>
        <w:jc w:val="start"/>
        <w:rPr>
          <w:lang w:eastAsia="ja-JP"/>
        </w:rPr>
      </w:pPr>
      <w:r>
        <w:rPr>
          <w:lang w:eastAsia="ja-JP"/>
        </w:rPr>
        <w:t>(Reason for Use)</w:t>
      </w:r>
    </w:p>
    <w:p>
      <w:pPr>
        <w:pStyle w:val="Normal"/>
        <w:numPr>
          <w:ilvl w:val="0"/>
          <w:numId w:val="8"/>
        </w:numPr>
        <w:bidi w:val="0"/>
        <w:jc w:val="start"/>
        <w:rPr>
          <w:lang w:eastAsia="ja-JP"/>
        </w:rPr>
      </w:pPr>
      <w:r>
        <w:rPr>
          <w:lang w:eastAsia="ja-JP"/>
        </w:rPr>
        <w:t>Article 3</w:t>
      </w:r>
    </w:p>
    <w:p>
      <w:pPr>
        <w:pStyle w:val="Normal"/>
        <w:numPr>
          <w:ilvl w:val="1"/>
          <w:numId w:val="8"/>
        </w:numPr>
        <w:bidi w:val="0"/>
        <w:jc w:val="start"/>
        <w:rPr>
          <w:lang w:eastAsia="ja-JP"/>
        </w:rPr>
      </w:pPr>
      <w:r>
        <w:rPr>
          <w:lang w:eastAsia="ja-JP"/>
        </w:rPr>
        <w:t>The second party must use the apartment only for the purpose of residency. However, the second party can use the apartment for residency and the other uses that the first party has approved of listed in article 22.</w:t>
      </w:r>
    </w:p>
    <w:p>
      <w:pPr>
        <w:pStyle w:val="Normal"/>
        <w:bidi w:val="0"/>
        <w:jc w:val="start"/>
        <w:rPr>
          <w:lang w:eastAsia="ja-JP"/>
        </w:rPr>
      </w:pPr>
      <w:r>
        <w:rPr>
          <w:lang w:eastAsia="ja-JP"/>
        </w:rPr>
        <w:t>(Rent)</w:t>
      </w:r>
    </w:p>
    <w:p>
      <w:pPr>
        <w:pStyle w:val="Normal"/>
        <w:numPr>
          <w:ilvl w:val="0"/>
          <w:numId w:val="9"/>
        </w:numPr>
        <w:bidi w:val="0"/>
        <w:jc w:val="start"/>
        <w:rPr>
          <w:lang w:eastAsia="ja-JP"/>
        </w:rPr>
      </w:pPr>
      <w:r>
        <w:rPr>
          <w:lang w:eastAsia="ja-JP"/>
        </w:rPr>
        <w:t>Article 4</w:t>
      </w:r>
    </w:p>
    <w:p>
      <w:pPr>
        <w:pStyle w:val="Normal"/>
        <w:numPr>
          <w:ilvl w:val="1"/>
          <w:numId w:val="9"/>
        </w:numPr>
        <w:bidi w:val="0"/>
        <w:jc w:val="start"/>
        <w:rPr>
          <w:lang w:eastAsia="ja-JP"/>
        </w:rPr>
      </w:pPr>
      <w:r>
        <w:rPr>
          <w:lang w:eastAsia="ja-JP"/>
        </w:rPr>
        <w:t xml:space="preserve">The second party must pay rent to the first party as described in (3), above. In the case that </w:t>
      </w:r>
      <w:r>
        <w:rPr>
          <w:lang w:eastAsia="ja-JP"/>
        </w:rPr>
        <w:t>rent is paid using a bank transfer, the transfer fee must be paid by the second party.</w:t>
      </w:r>
    </w:p>
    <w:p>
      <w:pPr>
        <w:pStyle w:val="Normal"/>
        <w:numPr>
          <w:ilvl w:val="1"/>
          <w:numId w:val="9"/>
        </w:numPr>
        <w:bidi w:val="0"/>
        <w:jc w:val="start"/>
        <w:rPr>
          <w:lang w:eastAsia="ja-JP"/>
        </w:rPr>
      </w:pPr>
      <w:r>
        <w:rPr>
          <w:lang w:eastAsia="ja-JP"/>
        </w:rPr>
        <w:t xml:space="preserve">2. In the case that the second party does not reside in the apartment for a full calendar month, the rent is calculated by dividing the total rent by the number of days in the month and multiplying that by the of days the apartment is resided in. </w:t>
      </w:r>
    </w:p>
    <w:p>
      <w:pPr>
        <w:pStyle w:val="Normal"/>
        <w:numPr>
          <w:ilvl w:val="1"/>
          <w:numId w:val="9"/>
        </w:numPr>
        <w:bidi w:val="0"/>
        <w:jc w:val="start"/>
        <w:rPr>
          <w:lang w:eastAsia="ja-JP"/>
        </w:rPr>
      </w:pPr>
      <w:r>
        <w:rPr>
          <w:lang w:eastAsia="ja-JP"/>
        </w:rPr>
        <w:t>3. The first party may, if any of the following points are applicable, revise the rent after consultation with the second party:</w:t>
      </w:r>
    </w:p>
    <w:p>
      <w:pPr>
        <w:pStyle w:val="Normal"/>
        <w:numPr>
          <w:ilvl w:val="2"/>
          <w:numId w:val="9"/>
        </w:numPr>
        <w:bidi w:val="0"/>
        <w:jc w:val="start"/>
        <w:rPr>
          <w:lang w:eastAsia="ja-JP"/>
        </w:rPr>
      </w:pPr>
      <w:r>
        <w:rPr>
          <w:lang w:eastAsia="ja-JP"/>
        </w:rPr>
        <w:t xml:space="preserve">(1) </w:t>
      </w:r>
      <w:r>
        <w:rPr>
          <w:lang w:eastAsia="ja-JP"/>
        </w:rPr>
        <w:t>In the case that t</w:t>
      </w:r>
      <w:r>
        <w:rPr>
          <w:lang w:eastAsia="ja-JP"/>
        </w:rPr>
        <w:t xml:space="preserve">he amount of rent becomes inappropriate because of </w:t>
      </w:r>
      <w:r>
        <w:rPr>
          <w:lang w:eastAsia="ja-JP"/>
        </w:rPr>
        <w:t>the fluctuation of the amount of tax or other liabilities.</w:t>
      </w:r>
    </w:p>
    <w:p>
      <w:pPr>
        <w:pStyle w:val="Normal"/>
        <w:numPr>
          <w:ilvl w:val="2"/>
          <w:numId w:val="9"/>
        </w:numPr>
        <w:bidi w:val="0"/>
        <w:jc w:val="start"/>
        <w:rPr>
          <w:lang w:eastAsia="ja-JP"/>
        </w:rPr>
      </w:pPr>
      <w:r>
        <w:rPr>
          <w:lang w:eastAsia="ja-JP"/>
        </w:rPr>
        <w:t>(2) In the case that the rent seems inappropriate because of comparison with the rent of nearby apartments of the same type or changes in economic situations.</w:t>
      </w:r>
    </w:p>
    <w:p>
      <w:pPr>
        <w:pStyle w:val="Normal"/>
        <w:numPr>
          <w:ilvl w:val="2"/>
          <w:numId w:val="9"/>
        </w:numPr>
        <w:bidi w:val="0"/>
        <w:jc w:val="start"/>
        <w:rPr>
          <w:lang w:eastAsia="ja-JP"/>
        </w:rPr>
      </w:pPr>
      <w:r>
        <w:rPr>
          <w:lang w:eastAsia="ja-JP"/>
        </w:rPr>
        <w:t xml:space="preserve">(3) In the case that the first party has made improvements to the building, </w:t>
      </w:r>
      <w:r>
        <w:rPr>
          <w:lang w:eastAsia="ja-JP"/>
        </w:rPr>
        <w:t>the common areas or the premises.</w:t>
      </w:r>
    </w:p>
    <w:p>
      <w:pPr>
        <w:pStyle w:val="Normal"/>
        <w:bidi w:val="0"/>
        <w:jc w:val="start"/>
        <w:rPr>
          <w:lang w:eastAsia="ja-JP"/>
        </w:rPr>
      </w:pPr>
      <w:r>
        <w:rPr>
          <w:lang w:eastAsia="ja-JP"/>
        </w:rPr>
        <w:t>(Common Area Maintenance Charge)</w:t>
      </w:r>
    </w:p>
    <w:p>
      <w:pPr>
        <w:pStyle w:val="Normal"/>
        <w:numPr>
          <w:ilvl w:val="0"/>
          <w:numId w:val="10"/>
        </w:numPr>
        <w:bidi w:val="0"/>
        <w:jc w:val="start"/>
        <w:rPr>
          <w:lang w:eastAsia="ja-JP"/>
        </w:rPr>
      </w:pPr>
      <w:r>
        <w:rPr>
          <w:lang w:eastAsia="ja-JP"/>
        </w:rPr>
        <w:t>Article 5</w:t>
      </w:r>
    </w:p>
    <w:p>
      <w:pPr>
        <w:pStyle w:val="Normal"/>
        <w:numPr>
          <w:ilvl w:val="1"/>
          <w:numId w:val="11"/>
        </w:numPr>
        <w:bidi w:val="0"/>
        <w:jc w:val="start"/>
        <w:rPr>
          <w:lang w:eastAsia="ja-JP"/>
        </w:rPr>
      </w:pPr>
      <w:r>
        <w:rPr>
          <w:lang w:eastAsia="ja-JP"/>
        </w:rPr>
        <w:t xml:space="preserve">Since the first party reserves funds for the management and maintenance of the common area, necessary funds for fuel, electricity, water, sewerage, and cleaning (hereafter referred to as “common area </w:t>
      </w:r>
      <w:r>
        <w:rPr>
          <w:lang w:eastAsia="ja-JP"/>
        </w:rPr>
        <w:t>management and</w:t>
      </w:r>
      <w:r>
        <w:rPr>
          <w:lang w:eastAsia="ja-JP"/>
        </w:rPr>
        <w:t xml:space="preserve"> maintenance charge”), the second party must pay the fee. In the case that the common area maintenance fee is paid using a bank transfer, the transfer fee must be paid by the second party.</w:t>
      </w:r>
    </w:p>
    <w:p>
      <w:pPr>
        <w:pStyle w:val="Normal"/>
        <w:numPr>
          <w:ilvl w:val="1"/>
          <w:numId w:val="11"/>
        </w:numPr>
        <w:bidi w:val="0"/>
        <w:jc w:val="start"/>
        <w:rPr>
          <w:lang w:eastAsia="ja-JP"/>
        </w:rPr>
      </w:pPr>
      <w:r>
        <w:rPr>
          <w:lang w:eastAsia="ja-JP"/>
        </w:rPr>
        <w:t xml:space="preserve">2. </w:t>
      </w:r>
      <w:r>
        <w:rPr>
          <w:lang w:eastAsia="ja-JP"/>
        </w:rPr>
        <w:t>The common area maintenance charge, as described in the preceding clause, must be paid as described in (3), above.</w:t>
      </w:r>
    </w:p>
    <w:p>
      <w:pPr>
        <w:pStyle w:val="Normal"/>
        <w:numPr>
          <w:ilvl w:val="1"/>
          <w:numId w:val="11"/>
        </w:numPr>
        <w:bidi w:val="0"/>
        <w:jc w:val="start"/>
        <w:rPr>
          <w:lang w:eastAsia="ja-JP"/>
        </w:rPr>
      </w:pPr>
      <w:r>
        <w:rPr>
          <w:lang w:eastAsia="ja-JP"/>
        </w:rPr>
        <w:t xml:space="preserve">3. </w:t>
      </w:r>
      <w:r>
        <w:rPr>
          <w:lang w:eastAsia="ja-JP"/>
        </w:rPr>
        <w:t xml:space="preserve"> In the case that the second party does not reside in the apartment for a full calendar month, the </w:t>
      </w:r>
      <w:r>
        <w:rPr>
          <w:lang w:eastAsia="ja-JP"/>
        </w:rPr>
        <w:t>common area maintenance charge</w:t>
      </w:r>
      <w:r>
        <w:rPr>
          <w:lang w:eastAsia="ja-JP"/>
        </w:rPr>
        <w:t xml:space="preserve"> is calculated by dividing the total rent by the number of days in the month and multiplying that by the of days the apartment is resided in. </w:t>
      </w:r>
    </w:p>
    <w:p>
      <w:pPr>
        <w:pStyle w:val="Normal"/>
        <w:numPr>
          <w:ilvl w:val="1"/>
          <w:numId w:val="11"/>
        </w:numPr>
        <w:bidi w:val="0"/>
        <w:jc w:val="start"/>
        <w:rPr>
          <w:lang w:eastAsia="ja-JP"/>
        </w:rPr>
      </w:pPr>
      <w:r>
        <w:rPr>
          <w:lang w:eastAsia="ja-JP"/>
        </w:rPr>
        <w:t xml:space="preserve">4. </w:t>
      </w:r>
      <w:r>
        <w:rPr>
          <w:lang w:eastAsia="ja-JP"/>
        </w:rPr>
        <w:t xml:space="preserve">The first party may revise the common area maintenance charge after consultation with the second party if the common area management and maintenance change is deemed unsuitable. </w:t>
      </w:r>
    </w:p>
    <w:p>
      <w:pPr>
        <w:pStyle w:val="Normal"/>
        <w:bidi w:val="0"/>
        <w:jc w:val="start"/>
        <w:rPr>
          <w:lang w:eastAsia="ja-JP"/>
        </w:rPr>
      </w:pPr>
      <w:r>
        <w:rPr>
          <w:lang w:eastAsia="ja-JP"/>
        </w:rPr>
        <w:t>(Charges other than Ren</w:t>
      </w:r>
      <w:r>
        <w:rPr>
          <w:lang w:eastAsia="ja-JP"/>
        </w:rPr>
        <w:t>t</w:t>
      </w:r>
      <w:r>
        <w:rPr>
          <w:lang w:eastAsia="ja-JP"/>
        </w:rPr>
        <w:t xml:space="preserve"> and Common Area Maintenance Charge)</w:t>
      </w:r>
    </w:p>
    <w:p>
      <w:pPr>
        <w:pStyle w:val="Normal"/>
        <w:numPr>
          <w:ilvl w:val="0"/>
          <w:numId w:val="12"/>
        </w:numPr>
        <w:bidi w:val="0"/>
        <w:jc w:val="start"/>
        <w:rPr>
          <w:lang w:eastAsia="ja-JP"/>
        </w:rPr>
      </w:pPr>
      <w:r>
        <w:rPr>
          <w:lang w:eastAsia="ja-JP"/>
        </w:rPr>
        <w:t>Article 6</w:t>
      </w:r>
    </w:p>
    <w:p>
      <w:pPr>
        <w:pStyle w:val="Normal"/>
        <w:numPr>
          <w:ilvl w:val="1"/>
          <w:numId w:val="12"/>
        </w:numPr>
        <w:bidi w:val="0"/>
        <w:jc w:val="start"/>
        <w:rPr>
          <w:lang w:eastAsia="ja-JP"/>
        </w:rPr>
      </w:pPr>
      <w:r>
        <w:rPr>
          <w:lang w:eastAsia="ja-JP"/>
        </w:rPr>
        <w:t>If the second party has to pay the first party for any charges other than the rent and common area maintenance charges described in (3), above, the second party has to pay by the remittance deadline to the remittance destination.</w:t>
      </w:r>
    </w:p>
    <w:p>
      <w:pPr>
        <w:pStyle w:val="Normal"/>
        <w:bidi w:val="0"/>
        <w:jc w:val="start"/>
        <w:rPr>
          <w:lang w:eastAsia="ja-JP"/>
        </w:rPr>
      </w:pPr>
      <w:r>
        <w:rPr>
          <w:lang w:eastAsia="ja-JP"/>
        </w:rPr>
        <w:t>(Security Deposit, etc.)</w:t>
      </w:r>
    </w:p>
    <w:p>
      <w:pPr>
        <w:pStyle w:val="Normal"/>
        <w:numPr>
          <w:ilvl w:val="0"/>
          <w:numId w:val="13"/>
        </w:numPr>
        <w:bidi w:val="0"/>
        <w:jc w:val="start"/>
        <w:rPr>
          <w:lang w:eastAsia="ja-JP"/>
        </w:rPr>
      </w:pPr>
      <w:r>
        <w:rPr>
          <w:lang w:eastAsia="ja-JP"/>
        </w:rPr>
        <w:t>Article 7</w:t>
      </w:r>
    </w:p>
    <w:p>
      <w:pPr>
        <w:pStyle w:val="Normal"/>
        <w:numPr>
          <w:ilvl w:val="1"/>
          <w:numId w:val="13"/>
        </w:numPr>
        <w:bidi w:val="0"/>
        <w:jc w:val="start"/>
        <w:rPr>
          <w:lang w:eastAsia="ja-JP"/>
        </w:rPr>
      </w:pPr>
      <w:r>
        <w:rPr>
          <w:lang w:eastAsia="ja-JP"/>
        </w:rPr>
      </w:r>
    </w:p>
    <w:p>
      <w:pPr>
        <w:pStyle w:val="Normal"/>
        <w:bidi w:val="0"/>
        <w:jc w:val="start"/>
        <w:rPr>
          <w:lang w:eastAsia="ja-JP"/>
        </w:rPr>
      </w:pPr>
      <w:r>
        <w:rPr>
          <w:lang w:eastAsia="ja-JP"/>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840"/>
        </w:tabs>
        <w:ind w:start="840" w:hanging="360"/>
      </w:pPr>
      <w:rPr>
        <w:rFonts w:ascii="Symbol" w:hAnsi="Symbol" w:cs="Symbol" w:hint="default"/>
      </w:rPr>
    </w:lvl>
    <w:lvl w:ilvl="1">
      <w:start w:val="1"/>
      <w:numFmt w:val="bullet"/>
      <w:lvlText w:val="◦"/>
      <w:lvlJc w:val="start"/>
      <w:pPr>
        <w:tabs>
          <w:tab w:val="num" w:pos="1200"/>
        </w:tabs>
        <w:ind w:start="1200" w:hanging="360"/>
      </w:pPr>
      <w:rPr>
        <w:rFonts w:ascii="OpenSymbol" w:hAnsi="OpenSymbol" w:cs="OpenSymbol" w:hint="default"/>
      </w:rPr>
    </w:lvl>
    <w:lvl w:ilvl="2">
      <w:start w:val="1"/>
      <w:numFmt w:val="bullet"/>
      <w:lvlText w:val="▪"/>
      <w:lvlJc w:val="start"/>
      <w:pPr>
        <w:tabs>
          <w:tab w:val="num" w:pos="1560"/>
        </w:tabs>
        <w:ind w:start="1560" w:hanging="360"/>
      </w:pPr>
      <w:rPr>
        <w:rFonts w:ascii="OpenSymbol" w:hAnsi="OpenSymbol" w:cs="OpenSymbol" w:hint="default"/>
      </w:rPr>
    </w:lvl>
    <w:lvl w:ilvl="3">
      <w:start w:val="1"/>
      <w:numFmt w:val="bullet"/>
      <w:lvlText w:val=""/>
      <w:lvlJc w:val="start"/>
      <w:pPr>
        <w:tabs>
          <w:tab w:val="num" w:pos="1920"/>
        </w:tabs>
        <w:ind w:start="1920" w:hanging="360"/>
      </w:pPr>
      <w:rPr>
        <w:rFonts w:ascii="Symbol" w:hAnsi="Symbol" w:cs="Symbol" w:hint="default"/>
      </w:rPr>
    </w:lvl>
    <w:lvl w:ilvl="4">
      <w:start w:val="1"/>
      <w:numFmt w:val="bullet"/>
      <w:lvlText w:val="◦"/>
      <w:lvlJc w:val="start"/>
      <w:pPr>
        <w:tabs>
          <w:tab w:val="num" w:pos="2280"/>
        </w:tabs>
        <w:ind w:start="2280" w:hanging="360"/>
      </w:pPr>
      <w:rPr>
        <w:rFonts w:ascii="OpenSymbol" w:hAnsi="OpenSymbol" w:cs="OpenSymbol" w:hint="default"/>
      </w:rPr>
    </w:lvl>
    <w:lvl w:ilvl="5">
      <w:start w:val="1"/>
      <w:numFmt w:val="bullet"/>
      <w:lvlText w:val="▪"/>
      <w:lvlJc w:val="start"/>
      <w:pPr>
        <w:tabs>
          <w:tab w:val="num" w:pos="2640"/>
        </w:tabs>
        <w:ind w:start="2640" w:hanging="360"/>
      </w:pPr>
      <w:rPr>
        <w:rFonts w:ascii="OpenSymbol" w:hAnsi="OpenSymbol" w:cs="OpenSymbol" w:hint="default"/>
      </w:rPr>
    </w:lvl>
    <w:lvl w:ilvl="6">
      <w:start w:val="1"/>
      <w:numFmt w:val="bullet"/>
      <w:lvlText w:val=""/>
      <w:lvlJc w:val="start"/>
      <w:pPr>
        <w:tabs>
          <w:tab w:val="num" w:pos="3000"/>
        </w:tabs>
        <w:ind w:start="3000" w:hanging="360"/>
      </w:pPr>
      <w:rPr>
        <w:rFonts w:ascii="Symbol" w:hAnsi="Symbol" w:cs="Symbol" w:hint="default"/>
      </w:rPr>
    </w:lvl>
    <w:lvl w:ilvl="7">
      <w:start w:val="1"/>
      <w:numFmt w:val="bullet"/>
      <w:lvlText w:val="◦"/>
      <w:lvlJc w:val="start"/>
      <w:pPr>
        <w:tabs>
          <w:tab w:val="num" w:pos="3360"/>
        </w:tabs>
        <w:ind w:start="3360" w:hanging="360"/>
      </w:pPr>
      <w:rPr>
        <w:rFonts w:ascii="OpenSymbol" w:hAnsi="OpenSymbol" w:cs="OpenSymbol" w:hint="default"/>
      </w:rPr>
    </w:lvl>
    <w:lvl w:ilvl="8">
      <w:start w:val="1"/>
      <w:numFmt w:val="bullet"/>
      <w:lvlText w:val="▪"/>
      <w:lvlJc w:val="start"/>
      <w:pPr>
        <w:tabs>
          <w:tab w:val="num" w:pos="3720"/>
        </w:tabs>
        <w:ind w:start="372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LibreOffice/24.8.0.3$Linux_X86_64 LibreOffice_project/480$Build-3</Application>
  <AppVersion>15.0000</AppVersion>
  <Pages>4</Pages>
  <Words>1192</Words>
  <Characters>5507</Characters>
  <CharactersWithSpaces>6533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2024-08-24T11:38:01Z</dcterms:created>
  <dc:creator/>
  <dc:description/>
  <dc:language>en-US</dc:language>
  <cp:lastModifiedBy/>
  <dcterms:modified xsi:type="dcterms:W3CDTF">2024-09-22T15:11:29Z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