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525" w:rsidRPr="00A92BEE" w:rsidRDefault="009F3551" w:rsidP="009F3551">
      <w:pPr>
        <w:jc w:val="center"/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Prueba de conocimiento</w:t>
      </w:r>
    </w:p>
    <w:p w:rsidR="00CA0DDA" w:rsidRPr="00A92BEE" w:rsidRDefault="009F3551" w:rsidP="009F3551">
      <w:pPr>
        <w:jc w:val="center"/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Científico Analítico de Datos</w:t>
      </w:r>
    </w:p>
    <w:p w:rsidR="00B003CF" w:rsidRPr="00A92BEE" w:rsidRDefault="00B003CF" w:rsidP="009F3551">
      <w:pPr>
        <w:jc w:val="center"/>
        <w:rPr>
          <w:rFonts w:ascii="Arial" w:hAnsi="Arial" w:cs="Arial"/>
          <w:color w:val="1F1F1F"/>
          <w:shd w:val="clear" w:color="auto" w:fill="FFFFFF"/>
        </w:rPr>
      </w:pPr>
    </w:p>
    <w:p w:rsidR="00B003CF" w:rsidRPr="00A92BEE" w:rsidRDefault="00B003CF" w:rsidP="009F3551">
      <w:pPr>
        <w:jc w:val="center"/>
        <w:rPr>
          <w:rFonts w:ascii="Arial" w:hAnsi="Arial" w:cs="Arial"/>
          <w:color w:val="1F1F1F"/>
          <w:shd w:val="clear" w:color="auto" w:fill="FFFFFF"/>
        </w:rPr>
      </w:pPr>
    </w:p>
    <w:p w:rsidR="00124C66" w:rsidRPr="00A92BEE" w:rsidRDefault="00124C66" w:rsidP="00124C66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Proceso de Depuración y Ajuste de Datos</w:t>
      </w:r>
    </w:p>
    <w:p w:rsidR="00124C66" w:rsidRPr="00A92BEE" w:rsidRDefault="00124C66" w:rsidP="00124C66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En la fase de depuración, se estandarizaron los nombres de municipios y departamentos en el archivo </w:t>
      </w:r>
      <w:r w:rsidRPr="00A92BEE">
        <w:rPr>
          <w:rFonts w:ascii="Arial" w:hAnsi="Arial" w:cs="Arial"/>
          <w:i/>
          <w:iCs/>
          <w:color w:val="1F1F1F"/>
          <w:shd w:val="clear" w:color="auto" w:fill="FFFFFF"/>
        </w:rPr>
        <w:t>municipios.xlsx</w:t>
      </w:r>
      <w:r w:rsidRPr="00A92BEE">
        <w:rPr>
          <w:rFonts w:ascii="Arial" w:hAnsi="Arial" w:cs="Arial"/>
          <w:color w:val="1F1F1F"/>
          <w:shd w:val="clear" w:color="auto" w:fill="FFFFFF"/>
        </w:rPr>
        <w:t>, ya que se identificaron inconsistencias en caracteres especiales y tildes. Para garantizar precisión en la unión de bases de datos, se implementaron los siguientes ajustes:</w:t>
      </w:r>
    </w:p>
    <w:p w:rsidR="00124C66" w:rsidRPr="00A92BEE" w:rsidRDefault="00124C66" w:rsidP="00124C66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Normalización de Códigos DANE</w:t>
      </w:r>
      <w:r w:rsidRPr="00A92BEE">
        <w:rPr>
          <w:rFonts w:ascii="Arial" w:hAnsi="Arial" w:cs="Arial"/>
          <w:color w:val="1F1F1F"/>
          <w:shd w:val="clear" w:color="auto" w:fill="FFFFFF"/>
        </w:rPr>
        <w:t>:</w:t>
      </w:r>
    </w:p>
    <w:p w:rsidR="00124C66" w:rsidRPr="00A92BEE" w:rsidRDefault="00124C66" w:rsidP="00124C66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Se uniformizó el formato a 5 dígitos, agregando ceros iniciales a los códigos que solo contenían 4 caracteres.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A92BEE">
        <w:rPr>
          <w:rFonts w:ascii="Arial" w:hAnsi="Arial" w:cs="Arial"/>
          <w:color w:val="1F1F1F"/>
          <w:shd w:val="clear" w:color="auto" w:fill="FFFFFF"/>
        </w:rPr>
        <w:t>Se utilizó como referencia la base auxiliar </w:t>
      </w:r>
      <w:proofErr w:type="spellStart"/>
      <w:r w:rsidRPr="00A92BEE">
        <w:rPr>
          <w:rFonts w:ascii="Arial" w:hAnsi="Arial" w:cs="Arial"/>
          <w:i/>
          <w:iCs/>
          <w:color w:val="1F1F1F"/>
          <w:shd w:val="clear" w:color="auto" w:fill="FFFFFF"/>
        </w:rPr>
        <w:t>depto_mun</w:t>
      </w:r>
      <w:proofErr w:type="spellEnd"/>
      <w:r w:rsidRPr="00A92BEE">
        <w:rPr>
          <w:rFonts w:ascii="Arial" w:hAnsi="Arial" w:cs="Arial"/>
          <w:color w:val="1F1F1F"/>
          <w:shd w:val="clear" w:color="auto" w:fill="FFFFFF"/>
        </w:rPr>
        <w:t> para corregir nombres oficiales de municipios y departamentos.</w:t>
      </w:r>
    </w:p>
    <w:p w:rsidR="00124C66" w:rsidRPr="00A92BEE" w:rsidRDefault="00124C66" w:rsidP="00124C66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Integridad de Datos</w:t>
      </w:r>
      <w:r w:rsidRPr="00A92BEE">
        <w:rPr>
          <w:rFonts w:ascii="Arial" w:hAnsi="Arial" w:cs="Arial"/>
          <w:color w:val="1F1F1F"/>
          <w:shd w:val="clear" w:color="auto" w:fill="FFFFFF"/>
        </w:rPr>
        <w:t>:</w:t>
      </w:r>
    </w:p>
    <w:p w:rsidR="00124C66" w:rsidRPr="00A92BEE" w:rsidRDefault="00124C66" w:rsidP="00124C66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Se identificó una discrepancia con el municipio </w:t>
      </w:r>
      <w:r w:rsidRPr="00A92BEE">
        <w:rPr>
          <w:rFonts w:ascii="Arial" w:hAnsi="Arial" w:cs="Arial"/>
          <w:i/>
          <w:iCs/>
          <w:color w:val="1F1F1F"/>
          <w:shd w:val="clear" w:color="auto" w:fill="FFFFFF"/>
        </w:rPr>
        <w:t xml:space="preserve">Belén de </w:t>
      </w:r>
      <w:proofErr w:type="spellStart"/>
      <w:r w:rsidRPr="00A92BEE">
        <w:rPr>
          <w:rFonts w:ascii="Arial" w:hAnsi="Arial" w:cs="Arial"/>
          <w:i/>
          <w:iCs/>
          <w:color w:val="1F1F1F"/>
          <w:shd w:val="clear" w:color="auto" w:fill="FFFFFF"/>
        </w:rPr>
        <w:t>Bajira</w:t>
      </w:r>
      <w:proofErr w:type="spellEnd"/>
      <w:r w:rsidRPr="00A92BEE">
        <w:rPr>
          <w:rFonts w:ascii="Arial" w:hAnsi="Arial" w:cs="Arial"/>
          <w:color w:val="1F1F1F"/>
          <w:shd w:val="clear" w:color="auto" w:fill="FFFFFF"/>
        </w:rPr>
        <w:t>, presente en la base de prestadores pero ausente en la de municipios.</w:t>
      </w:r>
    </w:p>
    <w:p w:rsidR="00124C66" w:rsidRPr="00A92BEE" w:rsidRDefault="00124C66" w:rsidP="00124C66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Para casos similares, se implementó un protocolo de verificación cruzada con fuentes oficiales.</w:t>
      </w:r>
    </w:p>
    <w:p w:rsidR="00124C66" w:rsidRPr="00A92BEE" w:rsidRDefault="00124C66" w:rsidP="00124C66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Estrategia de Unión</w:t>
      </w:r>
      <w:r w:rsidRPr="00A92BEE">
        <w:rPr>
          <w:rFonts w:ascii="Arial" w:hAnsi="Arial" w:cs="Arial"/>
          <w:color w:val="1F1F1F"/>
          <w:shd w:val="clear" w:color="auto" w:fill="FFFFFF"/>
        </w:rPr>
        <w:t>:</w:t>
      </w:r>
    </w:p>
    <w:p w:rsidR="00124C66" w:rsidRPr="00A92BEE" w:rsidRDefault="00124C66" w:rsidP="00124C66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Se priorizó el uso del código DANE sobre los nombres textuales para las operaciones de </w:t>
      </w:r>
      <w:proofErr w:type="spellStart"/>
      <w:r w:rsidRPr="00A92BEE">
        <w:rPr>
          <w:rFonts w:ascii="Arial" w:hAnsi="Arial" w:cs="Arial"/>
          <w:i/>
          <w:iCs/>
          <w:color w:val="1F1F1F"/>
          <w:shd w:val="clear" w:color="auto" w:fill="FFFFFF"/>
        </w:rPr>
        <w:t>merge</w:t>
      </w:r>
      <w:proofErr w:type="spellEnd"/>
      <w:r w:rsidRPr="00A92BEE">
        <w:rPr>
          <w:rFonts w:ascii="Arial" w:hAnsi="Arial" w:cs="Arial"/>
          <w:color w:val="1F1F1F"/>
          <w:shd w:val="clear" w:color="auto" w:fill="FFFFFF"/>
        </w:rPr>
        <w:t>, dado que:</w:t>
      </w:r>
    </w:p>
    <w:p w:rsidR="00124C66" w:rsidRPr="00A92BEE" w:rsidRDefault="00124C66" w:rsidP="00124C66">
      <w:pPr>
        <w:pStyle w:val="Prrafodelista"/>
        <w:numPr>
          <w:ilvl w:val="1"/>
          <w:numId w:val="3"/>
        </w:num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Es un identificador único y estandarizado</w:t>
      </w:r>
    </w:p>
    <w:p w:rsidR="00124C66" w:rsidRPr="00A92BEE" w:rsidRDefault="00124C66" w:rsidP="00124C66">
      <w:pPr>
        <w:pStyle w:val="Prrafodelista"/>
        <w:numPr>
          <w:ilvl w:val="1"/>
          <w:numId w:val="3"/>
        </w:num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Elimina ambigüedades por variaciones ortográficas</w:t>
      </w:r>
    </w:p>
    <w:p w:rsidR="00124C66" w:rsidRPr="00A92BEE" w:rsidRDefault="00124C66" w:rsidP="00124C66">
      <w:pPr>
        <w:pStyle w:val="Prrafodelista"/>
        <w:numPr>
          <w:ilvl w:val="1"/>
          <w:numId w:val="3"/>
        </w:num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Sigue las mejores prácticas en integración de datos</w:t>
      </w:r>
    </w:p>
    <w:p w:rsidR="00124C66" w:rsidRPr="00A92BEE" w:rsidRDefault="00124C66" w:rsidP="00124C66">
      <w:pPr>
        <w:rPr>
          <w:rFonts w:ascii="Arial" w:hAnsi="Arial" w:cs="Arial"/>
          <w:b/>
          <w:bCs/>
          <w:color w:val="1F1F1F"/>
          <w:shd w:val="clear" w:color="auto" w:fill="FFFFFF"/>
        </w:rPr>
      </w:pPr>
    </w:p>
    <w:p w:rsidR="00124C66" w:rsidRPr="00A92BEE" w:rsidRDefault="00124C66" w:rsidP="00124C66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Ajustes en la Base de Prestadores</w:t>
      </w:r>
      <w:r w:rsidRPr="00A92BEE">
        <w:rPr>
          <w:rFonts w:ascii="Arial" w:hAnsi="Arial" w:cs="Arial"/>
          <w:color w:val="1F1F1F"/>
          <w:shd w:val="clear" w:color="auto" w:fill="FFFFFF"/>
        </w:rPr>
        <w:t>:</w:t>
      </w:r>
    </w:p>
    <w:p w:rsidR="00124C66" w:rsidRPr="00A92BEE" w:rsidRDefault="00124C66" w:rsidP="00124C66">
      <w:pPr>
        <w:pStyle w:val="Prrafodelista"/>
        <w:numPr>
          <w:ilvl w:val="1"/>
          <w:numId w:val="3"/>
        </w:num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Se aplicó el mismo proceso de normalización de nombres</w:t>
      </w:r>
    </w:p>
    <w:p w:rsidR="00124C66" w:rsidRPr="00A92BEE" w:rsidRDefault="00124C66" w:rsidP="00124C66">
      <w:pPr>
        <w:pStyle w:val="Prrafodelista"/>
        <w:numPr>
          <w:ilvl w:val="1"/>
          <w:numId w:val="3"/>
        </w:num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Se enriqueció la base con los códigos DANE correspondientes</w:t>
      </w:r>
    </w:p>
    <w:p w:rsidR="00124C66" w:rsidRPr="00A92BEE" w:rsidRDefault="00124C66" w:rsidP="00124C66">
      <w:pPr>
        <w:pStyle w:val="Prrafodelista"/>
        <w:numPr>
          <w:ilvl w:val="1"/>
          <w:numId w:val="3"/>
        </w:num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Se validó la completitud de las llaves de unión</w:t>
      </w:r>
    </w:p>
    <w:p w:rsidR="00124C66" w:rsidRPr="00A92BEE" w:rsidRDefault="00124C66" w:rsidP="00124C66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Con este procedimiento previo, s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e obtuvo un </w:t>
      </w:r>
      <w:proofErr w:type="spellStart"/>
      <w:r w:rsidRPr="00A92BEE">
        <w:rPr>
          <w:rFonts w:ascii="Arial" w:hAnsi="Arial" w:cs="Arial"/>
          <w:color w:val="1F1F1F"/>
          <w:shd w:val="clear" w:color="auto" w:fill="FFFFFF"/>
        </w:rPr>
        <w:t>dataset</w:t>
      </w:r>
      <w:proofErr w:type="spellEnd"/>
      <w:r w:rsidRPr="00A92BEE">
        <w:rPr>
          <w:rFonts w:ascii="Arial" w:hAnsi="Arial" w:cs="Arial"/>
          <w:color w:val="1F1F1F"/>
          <w:shd w:val="clear" w:color="auto" w:fill="FFFFFF"/>
        </w:rPr>
        <w:t xml:space="preserve"> consolidado con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n</w:t>
      </w:r>
      <w:r w:rsidRPr="00A92BEE">
        <w:rPr>
          <w:rFonts w:ascii="Arial" w:hAnsi="Arial" w:cs="Arial"/>
          <w:color w:val="1F1F1F"/>
          <w:shd w:val="clear" w:color="auto" w:fill="FFFFFF"/>
        </w:rPr>
        <w:t>omenclatura oficial estandarizada</w:t>
      </w:r>
      <w:r w:rsidRPr="00A92BEE">
        <w:rPr>
          <w:rFonts w:ascii="Arial" w:hAnsi="Arial" w:cs="Arial"/>
          <w:color w:val="1F1F1F"/>
          <w:shd w:val="clear" w:color="auto" w:fill="FFFFFF"/>
        </w:rPr>
        <w:t>, i</w:t>
      </w:r>
      <w:r w:rsidRPr="00A92BEE">
        <w:rPr>
          <w:rFonts w:ascii="Arial" w:hAnsi="Arial" w:cs="Arial"/>
          <w:color w:val="1F1F1F"/>
          <w:shd w:val="clear" w:color="auto" w:fill="FFFFFF"/>
        </w:rPr>
        <w:t>dentificadores numéricos consistentes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y c</w:t>
      </w:r>
      <w:r w:rsidRPr="00A92BEE">
        <w:rPr>
          <w:rFonts w:ascii="Arial" w:hAnsi="Arial" w:cs="Arial"/>
          <w:color w:val="1F1F1F"/>
          <w:shd w:val="clear" w:color="auto" w:fill="FFFFFF"/>
        </w:rPr>
        <w:t>apacidad para cruces exactos entre sistemas</w:t>
      </w:r>
      <w:r w:rsidRPr="00A92BEE">
        <w:rPr>
          <w:rFonts w:ascii="Arial" w:hAnsi="Arial" w:cs="Arial"/>
          <w:color w:val="1F1F1F"/>
          <w:shd w:val="clear" w:color="auto" w:fill="FFFFFF"/>
        </w:rPr>
        <w:t>.</w:t>
      </w:r>
    </w:p>
    <w:p w:rsidR="00124C66" w:rsidRPr="00A92BEE" w:rsidRDefault="00124C66" w:rsidP="00124C66">
      <w:pPr>
        <w:rPr>
          <w:rFonts w:ascii="Arial" w:hAnsi="Arial" w:cs="Arial"/>
          <w:color w:val="1F1F1F"/>
          <w:shd w:val="clear" w:color="auto" w:fill="FFFFFF"/>
        </w:rPr>
      </w:pPr>
    </w:p>
    <w:p w:rsidR="00B003CF" w:rsidRPr="00A92BEE" w:rsidRDefault="00124C66" w:rsidP="00124C66">
      <w:pPr>
        <w:rPr>
          <w:rFonts w:ascii="Arial" w:hAnsi="Arial" w:cs="Arial"/>
          <w:b/>
          <w:bCs/>
          <w:color w:val="1F1F1F"/>
          <w:shd w:val="clear" w:color="auto" w:fill="FFFFFF"/>
        </w:rPr>
      </w:pP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Análisis de la base de datos y procesamiento estadístico:</w:t>
      </w:r>
    </w:p>
    <w:p w:rsidR="00124C66" w:rsidRPr="00A92BEE" w:rsidRDefault="00124C66" w:rsidP="00124C66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>En primer lugar realizamos un análisis descriptivo en el cual encontramos los siguientes resultados:</w:t>
      </w:r>
    </w:p>
    <w:p w:rsidR="00F672DD" w:rsidRPr="00A92BEE" w:rsidRDefault="00C54771" w:rsidP="00124C66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noProof/>
          <w:color w:val="1F1F1F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3542030</wp:posOffset>
            </wp:positionH>
            <wp:positionV relativeFrom="paragraph">
              <wp:posOffset>1093594</wp:posOffset>
            </wp:positionV>
            <wp:extent cx="3544570" cy="2226310"/>
            <wp:effectExtent l="0" t="0" r="0" b="0"/>
            <wp:wrapTight wrapText="bothSides">
              <wp:wrapPolygon edited="0">
                <wp:start x="0" y="0"/>
                <wp:lineTo x="0" y="21440"/>
                <wp:lineTo x="21515" y="21440"/>
                <wp:lineTo x="21515" y="0"/>
                <wp:lineTo x="0" y="0"/>
              </wp:wrapPolygon>
            </wp:wrapTight>
            <wp:docPr id="15940079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7922" name="Imagen 15940079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BEE">
        <w:rPr>
          <w:rFonts w:ascii="Arial" w:hAnsi="Arial" w:cs="Arial"/>
          <w:noProof/>
          <w:color w:val="1F1F1F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1066528</wp:posOffset>
            </wp:positionV>
            <wp:extent cx="3696335" cy="2254885"/>
            <wp:effectExtent l="0" t="0" r="0" b="5715"/>
            <wp:wrapTight wrapText="bothSides">
              <wp:wrapPolygon edited="0">
                <wp:start x="0" y="0"/>
                <wp:lineTo x="0" y="21533"/>
                <wp:lineTo x="21522" y="21533"/>
                <wp:lineTo x="21522" y="0"/>
                <wp:lineTo x="0" y="0"/>
              </wp:wrapPolygon>
            </wp:wrapTight>
            <wp:docPr id="248432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32834" name="Imagen 2484328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C66" w:rsidRPr="00A92BEE">
        <w:rPr>
          <w:rFonts w:ascii="Arial" w:hAnsi="Arial" w:cs="Arial"/>
          <w:color w:val="1F1F1F"/>
          <w:shd w:val="clear" w:color="auto" w:fill="FFFFFF"/>
        </w:rPr>
        <w:t xml:space="preserve">Con respecto a los prestadores, se encuentran en su mayoría en las principales ciudades del país como lo son Bogotá, </w:t>
      </w:r>
      <w:r w:rsidRPr="00A92BEE">
        <w:rPr>
          <w:rFonts w:ascii="Arial" w:hAnsi="Arial" w:cs="Arial"/>
          <w:color w:val="1F1F1F"/>
          <w:shd w:val="clear" w:color="auto" w:fill="FFFFFF"/>
        </w:rPr>
        <w:t>Medellín</w:t>
      </w:r>
      <w:r w:rsidR="00124C66" w:rsidRPr="00A92BEE">
        <w:rPr>
          <w:rFonts w:ascii="Arial" w:hAnsi="Arial" w:cs="Arial"/>
          <w:color w:val="1F1F1F"/>
          <w:shd w:val="clear" w:color="auto" w:fill="FFFFFF"/>
        </w:rPr>
        <w:t>, Cali, Barranquilla, Pereira, Bucaramanga</w:t>
      </w:r>
      <w:r w:rsidR="00701DF0" w:rsidRPr="00A92BEE">
        <w:rPr>
          <w:rFonts w:ascii="Arial" w:hAnsi="Arial" w:cs="Arial"/>
          <w:color w:val="1F1F1F"/>
          <w:shd w:val="clear" w:color="auto" w:fill="FFFFFF"/>
        </w:rPr>
        <w:t xml:space="preserve"> y</w:t>
      </w:r>
      <w:r w:rsidR="00124C66" w:rsidRPr="00A92BEE">
        <w:rPr>
          <w:rFonts w:ascii="Arial" w:hAnsi="Arial" w:cs="Arial"/>
          <w:color w:val="1F1F1F"/>
          <w:shd w:val="clear" w:color="auto" w:fill="FFFFFF"/>
        </w:rPr>
        <w:t xml:space="preserve"> Cartagena, </w:t>
      </w:r>
      <w:r w:rsidR="00701DF0" w:rsidRPr="00A92BEE">
        <w:rPr>
          <w:rFonts w:ascii="Arial" w:hAnsi="Arial" w:cs="Arial"/>
          <w:color w:val="1F1F1F"/>
          <w:shd w:val="clear" w:color="auto" w:fill="FFFFFF"/>
        </w:rPr>
        <w:t>las cuales abarcan el 69% del total de prestadores del país (en el código se encuentra el detalle de cada municipio). En el mismo análisis observamos 134 municipios sin prestadores.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Para mejor visualización se adjunta un mapa que cuenta con los conteos de prestadores por municipio.</w:t>
      </w:r>
      <w:r w:rsidR="00124C66" w:rsidRPr="00A92BEE">
        <w:rPr>
          <w:rFonts w:ascii="Arial" w:hAnsi="Arial" w:cs="Arial"/>
          <w:color w:val="1F1F1F"/>
          <w:shd w:val="clear" w:color="auto" w:fill="FFFFFF"/>
        </w:rPr>
        <w:br/>
      </w:r>
    </w:p>
    <w:p w:rsidR="00F83ED7" w:rsidRPr="00A92BEE" w:rsidRDefault="00F20627" w:rsidP="00F83ED7">
      <w:pPr>
        <w:rPr>
          <w:rFonts w:ascii="Arial" w:hAnsi="Arial" w:cs="Arial"/>
          <w:color w:val="1F1F1F"/>
          <w:shd w:val="clear" w:color="auto" w:fill="FFFFFF"/>
        </w:rPr>
      </w:pPr>
      <m:oMath>
        <m:r>
          <w:rPr>
            <w:rFonts w:ascii="Cambria Math" w:hAnsi="Cambria Math" w:cs="Arial"/>
            <w:i/>
            <w:noProof/>
            <w:color w:val="1F1F1F"/>
            <w:shd w:val="clear" w:color="auto" w:fill="FFFFFF"/>
          </w:rPr>
          <w:lastRenderedPageBreak/>
          <w:drawing>
            <wp:anchor distT="0" distB="0" distL="114300" distR="114300" simplePos="0" relativeHeight="251660288" behindDoc="1" locked="0" layoutInCell="1" allowOverlap="1" wp14:anchorId="76CADF8E">
              <wp:simplePos x="0" y="0"/>
              <wp:positionH relativeFrom="column">
                <wp:posOffset>2540</wp:posOffset>
              </wp:positionH>
              <wp:positionV relativeFrom="paragraph">
                <wp:posOffset>805180</wp:posOffset>
              </wp:positionV>
              <wp:extent cx="6858000" cy="423545"/>
              <wp:effectExtent l="0" t="0" r="0" b="0"/>
              <wp:wrapTight wrapText="bothSides">
                <wp:wrapPolygon edited="0">
                  <wp:start x="0" y="0"/>
                  <wp:lineTo x="0" y="20726"/>
                  <wp:lineTo x="21560" y="20726"/>
                  <wp:lineTo x="21560" y="0"/>
                  <wp:lineTo x="0" y="0"/>
                </wp:wrapPolygon>
              </wp:wrapTight>
              <wp:docPr id="855817100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817100" name="Imagen 855817100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423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  <w:r w:rsidR="00157E6B" w:rsidRPr="00A92BEE">
        <w:rPr>
          <w:rFonts w:ascii="Arial" w:hAnsi="Arial" w:cs="Arial"/>
          <w:color w:val="1F1F1F"/>
          <w:shd w:val="clear" w:color="auto" w:fill="FFFFFF"/>
        </w:rPr>
        <w:t>Modelo:</w:t>
      </w:r>
      <w:r w:rsidR="00157E6B" w:rsidRPr="00A92BEE">
        <w:rPr>
          <w:rFonts w:ascii="Arial" w:hAnsi="Arial" w:cs="Arial"/>
          <w:color w:val="1F1F1F"/>
          <w:shd w:val="clear" w:color="auto" w:fill="FFFFFF"/>
        </w:rPr>
        <w:br/>
        <w:t xml:space="preserve">Se realiza un modelo lineal </w:t>
      </w:r>
      <w:proofErr w:type="spellStart"/>
      <w:r w:rsidR="00157E6B" w:rsidRPr="00A92BEE">
        <w:rPr>
          <w:rFonts w:ascii="Arial" w:hAnsi="Arial" w:cs="Arial"/>
          <w:color w:val="1F1F1F"/>
          <w:shd w:val="clear" w:color="auto" w:fill="FFFFFF"/>
        </w:rPr>
        <w:t>multiple</w:t>
      </w:r>
      <w:proofErr w:type="spellEnd"/>
      <w:r w:rsidR="00157E6B" w:rsidRPr="00A92BEE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F83ED7" w:rsidRPr="00A92BEE">
        <w:rPr>
          <w:rFonts w:ascii="Arial" w:hAnsi="Arial" w:cs="Arial"/>
          <w:color w:val="1F1F1F"/>
          <w:shd w:val="clear" w:color="auto" w:fill="FFFFFF"/>
        </w:rPr>
        <w:t>que explica el logaritmo del número de prestadores de salud (</w:t>
      </w:r>
      <w:proofErr w:type="spellStart"/>
      <w:r w:rsidR="00F83ED7" w:rsidRPr="00A92BEE">
        <w:rPr>
          <w:rFonts w:ascii="Arial" w:hAnsi="Arial" w:cs="Arial"/>
          <w:color w:val="1F1F1F"/>
          <w:shd w:val="clear" w:color="auto" w:fill="FFFFFF"/>
        </w:rPr>
        <w:t>log_prestadores</w:t>
      </w:r>
      <w:proofErr w:type="spellEnd"/>
      <w:r w:rsidR="00F83ED7" w:rsidRPr="00A92BEE">
        <w:rPr>
          <w:rFonts w:ascii="Arial" w:hAnsi="Arial" w:cs="Arial"/>
          <w:color w:val="1F1F1F"/>
          <w:shd w:val="clear" w:color="auto" w:fill="FFFFFF"/>
        </w:rPr>
        <w:t>) en función de</w:t>
      </w:r>
      <w:r w:rsidR="00F83ED7" w:rsidRPr="00A92BEE">
        <w:rPr>
          <w:rFonts w:ascii="Arial" w:hAnsi="Arial" w:cs="Arial"/>
          <w:color w:val="1F1F1F"/>
          <w:shd w:val="clear" w:color="auto" w:fill="FFFFFF"/>
        </w:rPr>
        <w:t>, e</w:t>
      </w:r>
      <w:r w:rsidR="00F83ED7" w:rsidRPr="00A92BEE">
        <w:rPr>
          <w:rFonts w:ascii="Arial" w:hAnsi="Arial" w:cs="Arial"/>
          <w:color w:val="1F1F1F"/>
          <w:shd w:val="clear" w:color="auto" w:fill="FFFFFF"/>
        </w:rPr>
        <w:t>l logaritmo de la población</w:t>
      </w:r>
      <w:r w:rsidR="00F83ED7" w:rsidRPr="00A92BEE">
        <w:rPr>
          <w:rFonts w:ascii="Arial" w:hAnsi="Arial" w:cs="Arial"/>
          <w:color w:val="1F1F1F"/>
          <w:shd w:val="clear" w:color="auto" w:fill="FFFFFF"/>
        </w:rPr>
        <w:t>, e</w:t>
      </w:r>
      <w:r w:rsidR="00F83ED7" w:rsidRPr="00A92BEE">
        <w:rPr>
          <w:rFonts w:ascii="Arial" w:hAnsi="Arial" w:cs="Arial"/>
          <w:color w:val="1F1F1F"/>
          <w:shd w:val="clear" w:color="auto" w:fill="FFFFFF"/>
        </w:rPr>
        <w:t>l logaritmo de la superficie</w:t>
      </w:r>
      <w:r w:rsidR="00F83ED7" w:rsidRPr="00A92BEE">
        <w:rPr>
          <w:rFonts w:ascii="Arial" w:hAnsi="Arial" w:cs="Arial"/>
          <w:color w:val="1F1F1F"/>
          <w:shd w:val="clear" w:color="auto" w:fill="FFFFFF"/>
        </w:rPr>
        <w:t>, l</w:t>
      </w:r>
      <w:r w:rsidR="00F83ED7" w:rsidRPr="00A92BEE">
        <w:rPr>
          <w:rFonts w:ascii="Arial" w:hAnsi="Arial" w:cs="Arial"/>
          <w:color w:val="1F1F1F"/>
          <w:shd w:val="clear" w:color="auto" w:fill="FFFFFF"/>
        </w:rPr>
        <w:t>a población rural</w:t>
      </w:r>
      <w:r w:rsidR="00F83ED7" w:rsidRPr="00A92BEE">
        <w:rPr>
          <w:rFonts w:ascii="Arial" w:hAnsi="Arial" w:cs="Arial"/>
          <w:color w:val="1F1F1F"/>
          <w:shd w:val="clear" w:color="auto" w:fill="FFFFFF"/>
        </w:rPr>
        <w:t xml:space="preserve"> y e</w:t>
      </w:r>
      <w:r w:rsidR="00F83ED7" w:rsidRPr="00A92BEE">
        <w:rPr>
          <w:rFonts w:ascii="Arial" w:hAnsi="Arial" w:cs="Arial"/>
          <w:color w:val="1F1F1F"/>
          <w:shd w:val="clear" w:color="auto" w:fill="FFFFFF"/>
        </w:rPr>
        <w:t>l departamento (como variable categórica con efectos fijos)</w:t>
      </w:r>
      <w:r w:rsidR="00F83ED7" w:rsidRPr="00A92BEE">
        <w:rPr>
          <w:rFonts w:ascii="Arial" w:hAnsi="Arial" w:cs="Arial"/>
          <w:color w:val="1F1F1F"/>
          <w:shd w:val="clear" w:color="auto" w:fill="FFFFFF"/>
        </w:rPr>
        <w:t>.</w:t>
      </w:r>
    </w:p>
    <w:p w:rsidR="00B003CF" w:rsidRPr="00A92BEE" w:rsidRDefault="00F83ED7" w:rsidP="00F83ED7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Con un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R² ajustado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= 0.8141: El modelo explica aproximadamente el 81% de la variabilidad en </w:t>
      </w:r>
      <w:proofErr w:type="spellStart"/>
      <w:r w:rsidRPr="00A92BEE">
        <w:rPr>
          <w:rFonts w:ascii="Arial" w:hAnsi="Arial" w:cs="Arial"/>
          <w:i/>
          <w:iCs/>
          <w:color w:val="1F1F1F"/>
          <w:shd w:val="clear" w:color="auto" w:fill="FFFFFF"/>
        </w:rPr>
        <w:t>log_prestadores</w:t>
      </w:r>
      <w:proofErr w:type="spellEnd"/>
      <w:r w:rsidRPr="00A92BEE">
        <w:rPr>
          <w:rFonts w:ascii="Arial" w:hAnsi="Arial" w:cs="Arial"/>
          <w:color w:val="1F1F1F"/>
          <w:shd w:val="clear" w:color="auto" w:fill="FFFFFF"/>
        </w:rPr>
        <w:t>, lo cual indica un ajuste muy bueno.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Con una estadística </w:t>
      </w:r>
      <w:r w:rsidRPr="00A92BEE">
        <w:rPr>
          <w:rFonts w:ascii="Arial" w:hAnsi="Arial" w:cs="Arial"/>
          <w:color w:val="1F1F1F"/>
          <w:shd w:val="clear" w:color="auto" w:fill="FFFFFF"/>
        </w:rPr>
        <w:t>F = 120.2, p &lt; 2.2e-16: El conjunto de variables independientes es estadísticamente significativo.</w:t>
      </w:r>
    </w:p>
    <w:p w:rsidR="00F20627" w:rsidRPr="00A92BEE" w:rsidRDefault="00F20627" w:rsidP="00F83ED7">
      <w:pPr>
        <w:rPr>
          <w:rFonts w:ascii="Arial" w:hAnsi="Arial" w:cs="Arial"/>
          <w:color w:val="1F1F1F"/>
          <w:shd w:val="clear" w:color="auto" w:fill="FFFFFF"/>
        </w:rPr>
      </w:pPr>
    </w:p>
    <w:p w:rsidR="00521A7F" w:rsidRPr="00A92BEE" w:rsidRDefault="00521A7F" w:rsidP="00521A7F">
      <w:pPr>
        <w:rPr>
          <w:rFonts w:ascii="Arial" w:hAnsi="Arial" w:cs="Arial"/>
          <w:b/>
          <w:bCs/>
          <w:color w:val="1F1F1F"/>
          <w:shd w:val="clear" w:color="auto" w:fill="FFFFFF"/>
        </w:rPr>
      </w:pP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Análisis de Determinantes en la Distribución de Prestadores de Salud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Los resultados del modelo econométrico </w:t>
      </w:r>
      <w:r w:rsidRPr="00A92BEE">
        <w:rPr>
          <w:rFonts w:ascii="Arial" w:hAnsi="Arial" w:cs="Arial"/>
          <w:color w:val="1F1F1F"/>
          <w:shd w:val="clear" w:color="auto" w:fill="FFFFFF"/>
        </w:rPr>
        <w:t>nos muestran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que la distribución de prestadores de salud en los municipios colombianos está significativamente influenciada por factores demográficos, geográficos y administrativos. En concreto: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1.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Efecto de la población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: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   - La elasticidad estimada del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1.039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para el logaritmo de la población indica una relación casi proporcional: un incremento del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1% en la población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se asocia, en promedio, con un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1.039% más de prestadores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 w:rsidRPr="00A92BEE">
        <w:rPr>
          <w:rFonts w:ascii="Arial" w:hAnsi="Arial" w:cs="Arial"/>
          <w:i/>
          <w:iCs/>
          <w:color w:val="1F1F1F"/>
          <w:shd w:val="clear" w:color="auto" w:fill="FFFFFF"/>
        </w:rPr>
        <w:t>ceteris</w:t>
      </w:r>
      <w:proofErr w:type="spellEnd"/>
      <w:r w:rsidRPr="00A92BEE">
        <w:rPr>
          <w:rFonts w:ascii="Arial" w:hAnsi="Arial" w:cs="Arial"/>
          <w:i/>
          <w:iCs/>
          <w:color w:val="1F1F1F"/>
          <w:shd w:val="clear" w:color="auto" w:fill="FFFFFF"/>
        </w:rPr>
        <w:t xml:space="preserve"> </w:t>
      </w:r>
      <w:proofErr w:type="spellStart"/>
      <w:r w:rsidRPr="00A92BEE">
        <w:rPr>
          <w:rFonts w:ascii="Arial" w:hAnsi="Arial" w:cs="Arial"/>
          <w:i/>
          <w:iCs/>
          <w:color w:val="1F1F1F"/>
          <w:shd w:val="clear" w:color="auto" w:fill="FFFFFF"/>
        </w:rPr>
        <w:t>paribus</w:t>
      </w:r>
      <w:proofErr w:type="spellEnd"/>
      <w:r w:rsidRPr="00A92BEE">
        <w:rPr>
          <w:rStyle w:val="Refdenotaalpie"/>
          <w:rFonts w:ascii="Arial" w:hAnsi="Arial" w:cs="Arial"/>
          <w:color w:val="1F1F1F"/>
          <w:shd w:val="clear" w:color="auto" w:fill="FFFFFF"/>
        </w:rPr>
        <w:footnoteReference w:id="1"/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.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   - </w:t>
      </w:r>
      <w:r w:rsidR="00990DC0" w:rsidRPr="00A92BEE">
        <w:rPr>
          <w:rFonts w:ascii="Arial" w:hAnsi="Arial" w:cs="Arial"/>
          <w:b/>
          <w:bCs/>
          <w:color w:val="1F1F1F"/>
          <w:shd w:val="clear" w:color="auto" w:fill="FFFFFF"/>
        </w:rPr>
        <w:t>Ejemplo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 xml:space="preserve"> práctic</w:t>
      </w:r>
      <w:r w:rsidR="00990DC0" w:rsidRPr="00A92BEE">
        <w:rPr>
          <w:rFonts w:ascii="Arial" w:hAnsi="Arial" w:cs="Arial"/>
          <w:b/>
          <w:bCs/>
          <w:color w:val="1F1F1F"/>
          <w:shd w:val="clear" w:color="auto" w:fill="FFFFFF"/>
        </w:rPr>
        <w:t>o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: Un municipio que pasa de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50,000 a 50,500 habitantes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(1% de crecimiento) tendería a aumentar ligeramente su número de prestadores en una proporción similar. Esto sugiere que, en general, el sistema responde a las necesidades de cobertura en función del tamaño poblacional.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2.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Efecto de la ruralidad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: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   - El coeficiente negativo de la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población rural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refleja una menor disponibilidad de prestadores en zonas con mayor proporción de habitantes rurales.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   -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 xml:space="preserve">Interpretación </w:t>
      </w:r>
      <w:r w:rsidR="00990DC0" w:rsidRPr="00A92BEE">
        <w:rPr>
          <w:rFonts w:ascii="Arial" w:hAnsi="Arial" w:cs="Arial"/>
          <w:b/>
          <w:bCs/>
          <w:color w:val="1F1F1F"/>
          <w:shd w:val="clear" w:color="auto" w:fill="FFFFFF"/>
        </w:rPr>
        <w:t>sobre el contexto de Colombia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: Esto podría deberse a desafíos como la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dispersión geográfica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, menores economías de escala para la operación de servicios o brechas históricas en la asignación de recursos.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3.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Variables geográficas y administrativas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: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   - La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superficie municipal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muestra un efecto significativo, posiblemente vinculado a costos de operación y accesibilidad.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   - Los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efectos por departamento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capturan heterogeneidad institucional, como diferencias en capacidades de gestión o políticas regionales.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</w:p>
    <w:p w:rsidR="00521A7F" w:rsidRPr="00A92BEE" w:rsidRDefault="00521A7F" w:rsidP="00521A7F">
      <w:pPr>
        <w:rPr>
          <w:rFonts w:ascii="Arial" w:hAnsi="Arial" w:cs="Arial"/>
          <w:b/>
          <w:bCs/>
          <w:color w:val="1F1F1F"/>
          <w:shd w:val="clear" w:color="auto" w:fill="FFFFFF"/>
        </w:rPr>
      </w:pP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 xml:space="preserve">Aplicaciones para Política Pública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Este modelo no solo explica patrones existentes, sino que </w:t>
      </w:r>
      <w:r w:rsidR="00990DC0" w:rsidRPr="00A92BEE">
        <w:rPr>
          <w:rFonts w:ascii="Arial" w:hAnsi="Arial" w:cs="Arial"/>
          <w:color w:val="1F1F1F"/>
          <w:shd w:val="clear" w:color="auto" w:fill="FFFFFF"/>
        </w:rPr>
        <w:t xml:space="preserve">podría </w:t>
      </w:r>
      <w:r w:rsidRPr="00A92BEE">
        <w:rPr>
          <w:rFonts w:ascii="Arial" w:hAnsi="Arial" w:cs="Arial"/>
          <w:color w:val="1F1F1F"/>
          <w:shd w:val="clear" w:color="auto" w:fill="FFFFFF"/>
        </w:rPr>
        <w:t>identifica</w:t>
      </w:r>
      <w:r w:rsidR="00990DC0" w:rsidRPr="00A92BEE">
        <w:rPr>
          <w:rFonts w:ascii="Arial" w:hAnsi="Arial" w:cs="Arial"/>
          <w:color w:val="1F1F1F"/>
          <w:shd w:val="clear" w:color="auto" w:fill="FFFFFF"/>
        </w:rPr>
        <w:t>r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municipios con brechas de cobertura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: aquellos donde el número de prestadores es significativamente menor al esperado dado su tamaño poblacional y grado de ruralidad. Por ejemplo: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-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Municipios urbanos con baja oferta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: Podrían requerir incentivos para atraer más prestadores.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color w:val="1F1F1F"/>
          <w:shd w:val="clear" w:color="auto" w:fill="FFFFFF"/>
        </w:rPr>
        <w:t xml:space="preserve">- </w:t>
      </w: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Zonas rurales con acceso crítico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: Priorizar estrategias como telemedicina o unidades móviles.  </w:t>
      </w:r>
    </w:p>
    <w:p w:rsidR="00521A7F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</w:p>
    <w:p w:rsidR="00F20627" w:rsidRPr="00A92BEE" w:rsidRDefault="00521A7F" w:rsidP="00521A7F">
      <w:pPr>
        <w:rPr>
          <w:rFonts w:ascii="Arial" w:hAnsi="Arial" w:cs="Arial"/>
          <w:color w:val="1F1F1F"/>
          <w:shd w:val="clear" w:color="auto" w:fill="FFFFFF"/>
        </w:rPr>
      </w:pPr>
      <w:r w:rsidRPr="00A92BEE">
        <w:rPr>
          <w:rFonts w:ascii="Arial" w:hAnsi="Arial" w:cs="Arial"/>
          <w:b/>
          <w:bCs/>
          <w:color w:val="1F1F1F"/>
          <w:shd w:val="clear" w:color="auto" w:fill="FFFFFF"/>
        </w:rPr>
        <w:t>En síntesis</w:t>
      </w:r>
      <w:r w:rsidRPr="00A92BEE">
        <w:rPr>
          <w:rFonts w:ascii="Arial" w:hAnsi="Arial" w:cs="Arial"/>
          <w:color w:val="1F1F1F"/>
          <w:shd w:val="clear" w:color="auto" w:fill="FFFFFF"/>
        </w:rPr>
        <w:t xml:space="preserve">, los resultados subrayan la necesidad de políticas diferenciadas que consideren no solo el tamaño poblacional, sino también las barreras geográficas y las dinámicas territoriales. La evidencia cuantitativa respalda intervenciones focalizadas para reducir desigualdades en el acceso a la salud.  </w:t>
      </w:r>
    </w:p>
    <w:sectPr w:rsidR="00F20627" w:rsidRPr="00A92BEE" w:rsidSect="009F355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3492" w:rsidRDefault="006F3492" w:rsidP="00521A7F">
      <w:r>
        <w:separator/>
      </w:r>
    </w:p>
  </w:endnote>
  <w:endnote w:type="continuationSeparator" w:id="0">
    <w:p w:rsidR="006F3492" w:rsidRDefault="006F3492" w:rsidP="0052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3492" w:rsidRDefault="006F3492" w:rsidP="00521A7F">
      <w:r>
        <w:separator/>
      </w:r>
    </w:p>
  </w:footnote>
  <w:footnote w:type="continuationSeparator" w:id="0">
    <w:p w:rsidR="006F3492" w:rsidRDefault="006F3492" w:rsidP="00521A7F">
      <w:r>
        <w:continuationSeparator/>
      </w:r>
    </w:p>
  </w:footnote>
  <w:footnote w:id="1">
    <w:p w:rsidR="00521A7F" w:rsidRPr="00521A7F" w:rsidRDefault="00521A7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990DC0">
        <w:t>M</w:t>
      </w:r>
      <w:r w:rsidR="00990DC0">
        <w:t>anteniendo las demás variables sin cambios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43D"/>
    <w:multiLevelType w:val="multilevel"/>
    <w:tmpl w:val="2CD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80233"/>
    <w:multiLevelType w:val="multilevel"/>
    <w:tmpl w:val="3F9A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A5B8D"/>
    <w:multiLevelType w:val="hybridMultilevel"/>
    <w:tmpl w:val="6B30A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618540">
    <w:abstractNumId w:val="1"/>
  </w:num>
  <w:num w:numId="2" w16cid:durableId="654451835">
    <w:abstractNumId w:val="0"/>
  </w:num>
  <w:num w:numId="3" w16cid:durableId="141240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51"/>
    <w:rsid w:val="00124C66"/>
    <w:rsid w:val="00157E6B"/>
    <w:rsid w:val="00334525"/>
    <w:rsid w:val="00367243"/>
    <w:rsid w:val="004827F4"/>
    <w:rsid w:val="00521A7F"/>
    <w:rsid w:val="006F3492"/>
    <w:rsid w:val="00701DF0"/>
    <w:rsid w:val="00990DC0"/>
    <w:rsid w:val="009F3551"/>
    <w:rsid w:val="00A92BEE"/>
    <w:rsid w:val="00B003CF"/>
    <w:rsid w:val="00C54771"/>
    <w:rsid w:val="00CA0DDA"/>
    <w:rsid w:val="00CF7ECF"/>
    <w:rsid w:val="00DF7101"/>
    <w:rsid w:val="00E605C9"/>
    <w:rsid w:val="00EF55E9"/>
    <w:rsid w:val="00F20627"/>
    <w:rsid w:val="00F672DD"/>
    <w:rsid w:val="00F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1F8E"/>
  <w15:docId w15:val="{9A2B5334-46EA-2E43-8737-A8B33E88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124C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24C66"/>
    <w:rPr>
      <w:b/>
      <w:bCs/>
    </w:rPr>
  </w:style>
  <w:style w:type="character" w:styleId="nfasis">
    <w:name w:val="Emphasis"/>
    <w:basedOn w:val="Fuentedeprrafopredeter"/>
    <w:uiPriority w:val="20"/>
    <w:qFormat/>
    <w:rsid w:val="00124C66"/>
    <w:rPr>
      <w:i/>
      <w:iCs/>
    </w:rPr>
  </w:style>
  <w:style w:type="paragraph" w:styleId="Prrafodelista">
    <w:name w:val="List Paragraph"/>
    <w:basedOn w:val="Normal"/>
    <w:uiPriority w:val="34"/>
    <w:qFormat/>
    <w:rsid w:val="00124C6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3ED7"/>
    <w:rPr>
      <w:color w:val="66666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21A7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1A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21A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89DA62-7F84-5046-A0DB-8898D85FC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Sabogal</dc:creator>
  <cp:keywords/>
  <dc:description/>
  <cp:lastModifiedBy>Jeison Sabogal</cp:lastModifiedBy>
  <cp:revision>3</cp:revision>
  <dcterms:created xsi:type="dcterms:W3CDTF">2025-05-13T14:35:00Z</dcterms:created>
  <dcterms:modified xsi:type="dcterms:W3CDTF">2025-05-19T22:17:00Z</dcterms:modified>
</cp:coreProperties>
</file>