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etg8kyunrcva0a-_3emcb">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spacing w:after="160"/>
      </w:pPr>
      <w:r>
        <w:t xml:space="preserve">A direct spot-check of 25 August 2026 (requested during supervisor review) found a mixed picture, not a uniform cold-edge signal: Aqua pre-dawn showed the expected pattern (gap-adjacent pixels −1.44°C versus the rest of the lake, n=116 vs. n=29); Terra morning showed no meaningful effect (+0.19°C, but at only ~12% coverage); and Aqua afternoon showed the opposite direction (gap-adjacent pixels +1.83°C warmer, n=177 vs. n=120, at a more usable ~62% coverage). That reversed result on the afternoon pass does not fit the cloud-edge-contamination mechanism and is more likely a sign of the separate partial-cloud-cover effect described in Section 5.4 — which part of the lake happens to be cloud-free is not random, and on that date the clear patches may simply have been concentrated in a warmer part of the lake.</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headline daily/monthly figures still compute the lake-wide mean temperature for a pass first, then compare that single number to the lake-wide historical baseline — this has not changed.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The per-pixel historical baseline this would require has now been built, for the map view only (Section 5.8); using it to also replace the lake-wide scalar computation itself is a separate, not-yet-made decision,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2"/>
        <w:spacing w:after="120" w:before="240"/>
      </w:pPr>
      <w:r>
        <w:t xml:space="preserve">5.8 Per-pixel anomaly map</w:t>
      </w:r>
    </w:p>
    <w:p>
      <w:pPr>
        <w:spacing w:after="160"/>
      </w:pPr>
      <w:r>
        <w:t xml:space="preserve">A new map mode shows, for each pixel, that day’s reading minus that same pixel’s own 2003–2022 historical normal (the same ±5-day window and quality rule as the approved method, Section 3.1–3.2) — rather than every pixel being compared to one single lake-wide normal. This was motivated by a direct check: the lake’s historical “normal” temperature varies by roughly 6–8°C across its area for the same day-of-year (a test for late August found a range of 21.96°C to 29.86°C), almost certainly reflecting depth — the shallow end of the lake runs warmer than the deep end as a matter of ordinary geography, not anomaly. A single lake-wide reference would misread that geography as a false anomaly in naturally warmer or cooler spots; the per-pixel version avoids this.</w:t>
      </w:r>
    </w:p>
    <w:p>
      <w:pPr>
        <w:spacing w:after="160"/>
      </w:pPr>
      <w:r>
        <w:t xml:space="preserve">A pixel is only drawn when it has both an accepted reading that day and at least 10 historical observations behind it at that location (reusing the existing minimum-sample rule from Section 3.3) — otherwise it is left blank, with no guessing. The map reports three separate coverage figures so a reader can tell apart the two different reasons a pixel can be blank: today’s own cloud cover, versus that location simply lacking enough historical data. Checked directly for a thin stream (Aqua pre-dawn, summer): applying the 10-observation minimum removes only a modest 3–6% of the lake’s pixels, not a majority of them, so the threshold is usable in practice. The underlying window-selection logic (handling the 2003–2022 leap-year calendar correctly) and the three-coverage-number calculation were both checked against real Earth Engine data before release; one real bug was found and fixed in the process (an early version averaged a true/false mask directly, which produced a mathematically impossible result — Earth Engine’s adaptive tile resolution had interpolated the mask rather than sampling it; fixed by counting pixels on properly masked numeric bands instead).</w:t>
      </w:r>
    </w:p>
    <w:p>
      <w:pPr>
        <w:spacing w:after="160"/>
      </w:pPr>
      <w:r>
        <w:t xml:space="preserve">This feature is new and additive — it changes no existing number elsewhere in the product — and has not yet been independently reviewed the way the rest of the methodology has. The coverage percentages it reports are approximate, for the same reason every other live map statistic in this app is approximate — Earth Engine’s best-effort tile resolution can vary slightly between queries.</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Decide whether to extend the pixel-first approach (Section 5.8) from the map view into the headline lake-wide anomaly computation itself, as described in 5.4.</w:t>
      </w:r>
    </w:p>
    <w:p>
      <w:pPr>
        <w:pStyle w:val="ListParagraph"/>
        <w:numPr>
          <w:ilvl w:val="0"/>
          <w:numId w:val="1"/>
        </w:numPr>
        <w:spacing w:after="80"/>
      </w:pPr>
      <w:r>
        <w:t xml:space="preserve">Extend the anomaly map (5.8) to the monthly view; it currently exists for the single-day view only.</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tg8kyunrcva0a-_3emcb"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2026-10-02T16:52:30.560Z</dcterms:created>
  <dcterms:modified xsi:type="dcterms:W3CDTF">2026-10-02T16:52:30.561Z</dcterms:modified>
</cp:coreProperties>
</file>

<file path=docProps/custom.xml><?xml version="1.0" encoding="utf-8"?>
<Properties xmlns="http://schemas.openxmlformats.org/officeDocument/2006/custom-properties" xmlns:vt="http://schemas.openxmlformats.org/officeDocument/2006/docPropsVTypes"/>
</file>