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Lake Balaton Surface-Temperature Monitor</w:t>
      </w:r>
    </w:p>
    <w:p>
      <w:pPr>
        <w:pStyle w:val="Heading1"/>
        <w:spacing w:after="40"/>
      </w:pPr>
      <w:r>
        <w:t xml:space="preserve">Methods and Validation Report</w:t>
      </w:r>
    </w:p>
    <w:p>
      <w:pPr>
        <w:spacing w:after="40"/>
      </w:pPr>
      <w:r>
        <w:t xml:space="preserve">Jeison Tantachuco — Internship project, Lake Balaton thermal monitoring</w:t>
      </w:r>
    </w:p>
    <w:p>
      <w:pPr>
        <w:spacing w:after="320"/>
      </w:pPr>
      <w:r>
        <w:t xml:space="preserve">October 2026</w:t>
      </w:r>
    </w:p>
    <w:p>
      <w:pPr>
        <w:pStyle w:val="Heading1"/>
        <w:spacing w:after="160" w:before="320"/>
      </w:pPr>
      <w:r>
        <w:t xml:space="preserve">1. Purpose and scope</w:t>
      </w:r>
    </w:p>
    <w:p>
      <w:pPr>
        <w:spacing w:after="160"/>
      </w:pPr>
      <w:r>
        <w:t xml:space="preserve">This tool answers one question, every day, for Lake Balaton: is the water surface unusually warm or cold right now, compared to what is normal for this exact time of year? It uses satellite thermal data (2023–present) compared against a fixed 2003–2022 historical baseline, and reports each reading as a plain-language anomaly label with its underlying percentile. It is intended for relative anomaly monitoring — identifying unusually warm or cold periods — and is not intended as an absolute, degree-precise calibration instrument (see Section 4).</w:t>
      </w:r>
    </w:p>
    <w:p>
      <w:pPr>
        <w:spacing w:after="160"/>
      </w:pPr>
      <w:r>
        <w:t xml:space="preserve">The live application is published at:</w:t>
      </w:r>
    </w:p>
    <w:p>
      <w:pPr>
        <w:spacing w:after="160"/>
      </w:pPr>
      <w:hyperlink w:history="1" r:id="rId6jelcswjmyv1a9fugylay">
        <w:r>
          <w:rPr>
            <w:rStyle w:val="Hyperlink"/>
          </w:rPr>
          <w:t xml:space="preserve">https://jtantaroman.users.earthengine.app/view/lake-balaton-lst-monitor</w:t>
        </w:r>
      </w:hyperlink>
    </w:p>
    <w:p>
      <w:pPr>
        <w:pStyle w:val="Heading1"/>
        <w:spacing w:after="160" w:before="320"/>
      </w:pPr>
      <w:r>
        <w:t xml:space="preserve">2. Data sources</w:t>
      </w:r>
    </w:p>
    <w:p>
      <w:pPr>
        <w:pStyle w:val="ListParagraph"/>
        <w:numPr>
          <w:ilvl w:val="0"/>
          <w:numId w:val="1"/>
        </w:numPr>
        <w:spacing w:after="80"/>
      </w:pPr>
      <w:r>
        <w:t xml:space="preserve">MODIS Terra and Aqua Land Surface Temperature, Collection 6.1 (MOD11A1 / MYD11A1), 1 km daily product, via Google Earth Engine. Four separate daily passes are used: Aqua pre-dawn (~03:00 Hungarian time), Terra mid-morning, Aqua early afternoon, and Terra evening.</w:t>
      </w:r>
    </w:p>
    <w:p>
      <w:pPr>
        <w:pStyle w:val="ListParagraph"/>
        <w:numPr>
          <w:ilvl w:val="0"/>
          <w:numId w:val="1"/>
        </w:numPr>
        <w:spacing w:after="80"/>
      </w:pPr>
      <w:r>
        <w:t xml:space="preserve">ERA5-Land reanalysis (ECMWF / Copernicus Climate Change Service), via Google Earth Engine — air temperature, wind, sunshine and rain, shown as weather context for a reading. It is never used as a measurement of the water itself.</w:t>
      </w:r>
    </w:p>
    <w:p>
      <w:pPr>
        <w:pStyle w:val="ListParagraph"/>
        <w:numPr>
          <w:ilvl w:val="0"/>
          <w:numId w:val="1"/>
        </w:numPr>
        <w:spacing w:after="80"/>
      </w:pPr>
      <w:r>
        <w:t xml:space="preserve">Landsat Collection 2 Level-2 surface temperature and the Copernicus Climate Change Service’s published climate bulletins — used only as independent checks during validation (Section 4), not as inputs to the live product.</w:t>
      </w:r>
    </w:p>
    <w:p>
      <w:pPr>
        <w:pStyle w:val="Heading1"/>
        <w:spacing w:after="160" w:before="320"/>
      </w:pPr>
      <w:r>
        <w:t xml:space="preserve">3. Methodology</w:t>
      </w:r>
    </w:p>
    <w:p>
      <w:pPr>
        <w:pStyle w:val="Heading2"/>
        <w:spacing w:after="120" w:before="240"/>
      </w:pPr>
      <w:r>
        <w:t xml:space="preserve">3.1 Historical baseline (2003–2022)</w:t>
      </w:r>
    </w:p>
    <w:p>
      <w:pPr>
        <w:spacing w:after="160"/>
      </w:pPr>
      <w:r>
        <w:t xml:space="preserve">A fixed 20-year baseline (1 January 2003 – 31 December 2022) is computed once and never changes. Every monitoring-period day (1 January 2023 onward) is compared against this same frozen reference. 2003 is the first full calendar year with both Terra and Aqua operating. For a given calendar day, the comparison sample is every historical observation within a ±5-day window of that day-of-year, across all 20 baseline years and the same satellite pass — typically 110–195 individual readings per stream per day-of-year.</w:t>
      </w:r>
    </w:p>
    <w:p>
      <w:pPr>
        <w:pStyle w:val="Heading2"/>
        <w:spacing w:after="120" w:before="240"/>
      </w:pPr>
      <w:r>
        <w:t xml:space="preserve">3.2 Pixel-level quality control</w:t>
      </w:r>
    </w:p>
    <w:p>
      <w:pPr>
        <w:spacing w:after="160"/>
      </w:pPr>
      <w:r>
        <w:t xml:space="preserve">MODIS’s own cloud mask (MOD35) removes cloudy pixels upstream — no temperature is ever computed for a cloud-flagged pixel. Surviving pixels carry a four-field quality byte (mandatory_qa, data_quality, emissivity_error, lst_error, each graded 0–3, best to worst). The accepted-pixel rule used throughout this product is:</w:t>
      </w:r>
    </w:p>
    <w:p>
      <w:pPr>
        <w:spacing w:after="160"/>
      </w:pPr>
      <w:r>
        <w:rPr>
          <w:rFonts w:ascii="Consolas" w:cs="Consolas" w:eastAsia="Consolas" w:hAnsi="Consolas"/>
          <w:sz w:val="20"/>
          <w:szCs w:val="20"/>
        </w:rPr>
        <w:t xml:space="preserve">mandatory_qa ≤ 1  AND  data_quality = 0  AND  emissivity_error ≤ 1  AND  lst_error ≤ 1</w:t>
      </w:r>
    </w:p>
    <w:p>
      <w:pPr>
        <w:spacing w:after="160"/>
      </w:pPr>
      <w:r>
        <w:t xml:space="preserve">plus three provider-range sanity checks on the raw temperature value, the overpass-time field and the view-angle field, which mainly catch fill values and corrupt metadata.</w:t>
      </w:r>
    </w:p>
    <w:p>
      <w:pPr>
        <w:spacing w:after="160"/>
      </w:pPr>
      <w:r>
        <w:t xml:space="preserve">This rule (internally “candidate C”) was chosen over a stricter rule after testing: requiring every quality grade to equal 0 (the strictest tier) leaves Lake Balaton with 0% usable nighttime coverage on every tested date across a full year — the nighttime thermal record would not exist at all under that rule. Relaxing lst_error to ≤1 (average LST error ≤ 2 K) recovers approximately 99% nighttime coverage; 98.7% of the recovered nighttime pixels carry the exact same quality code (byte 65: mandatory_qa=1, data_quality=0, emissivity_error=0, lst_error=1). The same rule is applied identically to daytime pixels, which already clear a stricter bar easily, so this costs daytime accuracy nothing.</w:t>
      </w:r>
    </w:p>
    <w:p>
      <w:pPr>
        <w:spacing w:after="160"/>
      </w:pPr>
      <w:r>
        <w:t xml:space="preserve">Every daily record also carries a confidence flag (ok / low / none) based on the fraction of the lake actually seen clearly that pass, and every monthly summary additionally reports how many of its valid days were low-coverage. No day or month is ever suppressed purely for low coverage — thin data is shown, with its thinness visible, rather than hidden.</w:t>
      </w:r>
    </w:p>
    <w:p>
      <w:pPr>
        <w:pStyle w:val="Heading2"/>
        <w:spacing w:after="120" w:before="240"/>
      </w:pPr>
      <w:r>
        <w:t xml:space="preserve">3.3 Anomaly, percentile and classification</w:t>
      </w:r>
    </w:p>
    <w:p>
      <w:pPr>
        <w:spacing w:after="160"/>
      </w:pPr>
      <w:r>
        <w:t xml:space="preserve">For each reading, the anomaly is the measured temperature minus the historical reference for the same ±5-day window. The median of the historical sample is the primary reference (the plain mean is also reported as a secondary figure, since Balaton’s nighttime readings are measurably skewed — the median sits up to 2.6°C above the mean on roughly 60% of the year, and leading with the mean would read nighttime anomalies systematically too warm for statistical reasons alone, not real warming).</w:t>
      </w:r>
    </w:p>
    <w:p>
      <w:pPr>
        <w:spacing w:after="160"/>
      </w:pPr>
      <w:r>
        <w:t xml:space="preserve">The reading is also ranked against the full historical sample using the Type-7 percentile estimator, and converted to exactly one of five plain-language labels: below normal (&lt;10th percentile), within normal range (10th–90th), warm (90th–95th), unusually warm (95th–99th), extreme warm observation (&gt;99th). The percentile is always shown alongside the label, since validation (Section 4) found some readings sit close enough to a band boundary that a small, legitimate change in method can flip the label by one notch.</w:t>
      </w:r>
    </w:p>
    <w:p>
      <w:pPr>
        <w:pStyle w:val="Heading2"/>
        <w:spacing w:after="120" w:before="240"/>
      </w:pPr>
      <w:r>
        <w:t xml:space="preserve">3.4 Four streams, never merged</w:t>
      </w:r>
    </w:p>
    <w:p>
      <w:pPr>
        <w:spacing w:after="160"/>
      </w:pPr>
      <w:r>
        <w:t xml:space="preserve">Aqua pre-dawn, Terra mid-morning, Aqua early afternoon and Terra evening are always reported, charted and classified separately. The lake genuinely behaves differently at each time of day; averaging the four into one number would blur that distinction rather than reveal it. No combined multi-sensor index exists in this product.</w:t>
      </w:r>
    </w:p>
    <w:p>
      <w:pPr>
        <w:pStyle w:val="Heading2"/>
        <w:spacing w:after="120" w:before="240"/>
      </w:pPr>
      <w:r>
        <w:t xml:space="preserve">3.5 Geometry</w:t>
      </w:r>
    </w:p>
    <w:p>
      <w:pPr>
        <w:spacing w:after="160"/>
      </w:pPr>
      <w:r>
        <w:t xml:space="preserve">The analysis uses the lake polygon (WISE waterbody HUAIH049) moved inward by one MODIS pixel, 926.6 m, so the mixed land-and-water edge pixels are excluded from every lake average, the colour scale and the coverage figures. This was adopted on 4 October 2026 as decision SPACE-002, following the supervisor’s request for a shoreline shrink of about one pixel and the same treatment used by the HUN-REN Lake Balaton application. It removes about 32% of the lake’s surface area (593 km² to 406 km²).</w:t>
      </w:r>
    </w:p>
    <w:p>
      <w:pPr>
        <w:spacing w:after="160"/>
      </w:pPr>
      <w:r>
        <w:t xml:space="preserve">The choice was checked before adoption. On 30 August 2026, removing the edge changed the raw lake-average temperature by −0.4 °C (Terra morning) and −0.7 °C (Aqua afternoon), because the shoreline is warm; this is the effect the supervisor flagged. Across a 112-pair sample of 2023–2026 dates, the per-pixel anomaly (the quantity the product reports) shifted by +0.06 °C on average and was mixed in sign, so the anomaly is largely unaffected by the edge. The change is therefore mainly a cleaner raw-temperature and colour-scale figure, and a small reduction in clear-sky readings (about 30% fewer pixels per day; night-time readings are the most affected). Basin-level (sub-lake) results are out of scope for the current version.</w:t>
      </w:r>
    </w:p>
    <w:p>
      <w:pPr>
        <w:pStyle w:val="Heading2"/>
        <w:spacing w:after="120" w:before="240"/>
      </w:pPr>
      <w:r>
        <w:t xml:space="preserve">3.6 Monthly aggregation</w:t>
      </w:r>
    </w:p>
    <w:p>
      <w:pPr>
        <w:spacing w:after="160"/>
      </w:pPr>
      <w:r>
        <w:t xml:space="preserve">A monthly summary is computed per stream, only from days that passed quality control at confidence “low” or better, and only when at least 3 such days exist in that month; otherwise the month is reported as having insufficient valid observations, with the day count still shown. The monthly map (a pixel-by-pixel view of that month) corrects for “clear-sky bias” — the naive approach of averaging each pixel only over the days it was clear runs systematically warm, because clear days are disproportionately the warmer ones. Each day’s pixel values are first expressed as an offset from that day’s own lake-wide average, those offsets are composited, and the correct day-weighted monthly mean is added back — verified to match the reported monthly figure to within about 0.05°C.</w:t>
      </w:r>
    </w:p>
    <w:p>
      <w:pPr>
        <w:pStyle w:val="Heading1"/>
        <w:spacing w:after="160" w:before="320"/>
      </w:pPr>
      <w:r>
        <w:t xml:space="preserve">4. Validation</w:t>
      </w:r>
    </w:p>
    <w:p>
      <w:pPr>
        <w:spacing w:after="160"/>
      </w:pPr>
      <w:r>
        <w:t xml:space="preserve">No in-situ (thermometer-in-the-water) measurement exists for Lake Balaton, so the product was checked several independent ways. All checks pass on the current geometry (the 926.6 m inward shoreline, Section 3.5). One check from the original plan (C5b, the shoreline and strict-QC comparison) was retired on 4 October 2026, once the shoreline rule had been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shd w:fill="E8E8E8" w:val="clear"/>
          </w:tcPr>
          <w:p>
            <w:r>
              <w:rPr>
                <w:b/>
                <w:bCs/>
                <w:sz w:val="20"/>
                <w:szCs w:val="20"/>
              </w:rPr>
              <w:t xml:space="preserve">#</w:t>
            </w:r>
          </w:p>
        </w:tc>
        <w:tc>
          <w:tcPr>
            <w:tcW w:type="dxa" w:w="2800"/>
            <w:shd w:fill="E8E8E8" w:val="clear"/>
          </w:tcPr>
          <w:p>
            <w:r>
              <w:rPr>
                <w:b/>
                <w:bCs/>
                <w:sz w:val="20"/>
                <w:szCs w:val="20"/>
              </w:rPr>
              <w:t xml:space="preserve">Check</w:t>
            </w:r>
          </w:p>
        </w:tc>
        <w:tc>
          <w:tcPr>
            <w:tcW w:type="dxa" w:w="5860"/>
            <w:shd w:fill="E8E8E8" w:val="clear"/>
          </w:tcPr>
          <w:p>
            <w:r>
              <w:rPr>
                <w:b/>
                <w:bCs/>
                <w:sz w:val="20"/>
                <w:szCs w:val="20"/>
              </w:rPr>
              <w:t xml:space="preserve">Result</w:t>
            </w:r>
          </w:p>
        </w:tc>
      </w:tr>
      <w:tr>
        <w:tc>
          <w:tcPr>
            <w:tcW w:type="dxa" w:w="700"/>
          </w:tcPr>
          <w:p>
            <w:r>
              <w:rPr>
                <w:b w:val="false"/>
                <w:bCs w:val="false"/>
                <w:sz w:val="20"/>
                <w:szCs w:val="20"/>
              </w:rPr>
              <w:t xml:space="preserve">C1</w:t>
            </w:r>
          </w:p>
        </w:tc>
        <w:tc>
          <w:tcPr>
            <w:tcW w:type="dxa" w:w="2800"/>
          </w:tcPr>
          <w:p>
            <w:r>
              <w:rPr>
                <w:b w:val="false"/>
                <w:bCs w:val="false"/>
                <w:sz w:val="20"/>
                <w:szCs w:val="20"/>
              </w:rPr>
              <w:t xml:space="preserve">Physical plausibility of the 2003–2022 climatology</w:t>
            </w:r>
          </w:p>
        </w:tc>
        <w:tc>
          <w:tcPr>
            <w:tcW w:type="dxa" w:w="5860"/>
          </w:tcPr>
          <w:p>
            <w:r>
              <w:rPr>
                <w:b w:val="false"/>
                <w:bCs w:val="false"/>
                <w:sz w:val="20"/>
                <w:szCs w:val="20"/>
              </w:rPr>
              <w:t xml:space="preserve">Smooth annual cycle (~0°C winter, ~24°C July); daytime warmer than night every summer; the four streams correlate with each other at r ≥ 0.98.</w:t>
            </w:r>
          </w:p>
        </w:tc>
      </w:tr>
      <w:tr>
        <w:tc>
          <w:tcPr>
            <w:tcW w:type="dxa" w:w="700"/>
          </w:tcPr>
          <w:p>
            <w:r>
              <w:rPr>
                <w:b w:val="false"/>
                <w:bCs w:val="false"/>
                <w:sz w:val="20"/>
                <w:szCs w:val="20"/>
              </w:rPr>
              <w:t xml:space="preserve">C2</w:t>
            </w:r>
          </w:p>
        </w:tc>
        <w:tc>
          <w:tcPr>
            <w:tcW w:type="dxa" w:w="2800"/>
          </w:tcPr>
          <w:p>
            <w:r>
              <w:rPr>
                <w:b w:val="false"/>
                <w:bCs w:val="false"/>
                <w:sz w:val="20"/>
                <w:szCs w:val="20"/>
              </w:rPr>
              <w:t xml:space="preserve">Cross-stream consistency</w:t>
            </w:r>
          </w:p>
        </w:tc>
        <w:tc>
          <w:tcPr>
            <w:tcW w:type="dxa" w:w="5860"/>
          </w:tcPr>
          <w:p>
            <w:r>
              <w:rPr>
                <w:b w:val="false"/>
                <w:bCs w:val="false"/>
                <w:sz w:val="20"/>
                <w:szCs w:val="20"/>
              </w:rPr>
              <w:t xml:space="preserve">Pass.</w:t>
            </w:r>
          </w:p>
        </w:tc>
      </w:tr>
      <w:tr>
        <w:tc>
          <w:tcPr>
            <w:tcW w:type="dxa" w:w="700"/>
          </w:tcPr>
          <w:p>
            <w:r>
              <w:rPr>
                <w:b w:val="false"/>
                <w:bCs w:val="false"/>
                <w:sz w:val="20"/>
                <w:szCs w:val="20"/>
              </w:rPr>
              <w:t xml:space="preserve">C3</w:t>
            </w:r>
          </w:p>
        </w:tc>
        <w:tc>
          <w:tcPr>
            <w:tcW w:type="dxa" w:w="2800"/>
          </w:tcPr>
          <w:p>
            <w:r>
              <w:rPr>
                <w:b w:val="false"/>
                <w:bCs w:val="false"/>
                <w:sz w:val="20"/>
                <w:szCs w:val="20"/>
              </w:rPr>
              <w:t xml:space="preserve">Agreement with an independent instrument</w:t>
            </w:r>
          </w:p>
        </w:tc>
        <w:tc>
          <w:tcPr>
            <w:tcW w:type="dxa" w:w="5860"/>
          </w:tcPr>
          <w:p>
            <w:r>
              <w:rPr>
                <w:b w:val="false"/>
                <w:bCs w:val="false"/>
                <w:sz w:val="20"/>
                <w:szCs w:val="20"/>
              </w:rPr>
              <w:t xml:space="preserve">Monthly averages vs. Landsat (different sensor), 2003–2024 (258 months), on the 926.6 m geometry: bias −0.69°C, RMSE 1.95°C, r = 0.984. ERA5-Land reanalysis as a second independent line: bias −0.44°C, RMSE 1.86°C. (The 0 m geometry gave bias −0.53°C, r = 0.985.) (ESA CCI Lakes / Copernicus LWST are not available in Earth Engine; Landsat + ERA5-Land were substituted, user-approved.)</w:t>
            </w:r>
          </w:p>
        </w:tc>
      </w:tr>
      <w:tr>
        <w:tc>
          <w:tcPr>
            <w:tcW w:type="dxa" w:w="700"/>
          </w:tcPr>
          <w:p>
            <w:r>
              <w:rPr>
                <w:b w:val="false"/>
                <w:bCs w:val="false"/>
                <w:sz w:val="20"/>
                <w:szCs w:val="20"/>
              </w:rPr>
              <w:t xml:space="preserve">C4</w:t>
            </w:r>
          </w:p>
        </w:tc>
        <w:tc>
          <w:tcPr>
            <w:tcW w:type="dxa" w:w="2800"/>
          </w:tcPr>
          <w:p>
            <w:r>
              <w:rPr>
                <w:b w:val="false"/>
                <w:bCs w:val="false"/>
                <w:sz w:val="20"/>
                <w:szCs w:val="20"/>
              </w:rPr>
              <w:t xml:space="preserve">External corroboration of flagged anomalies</w:t>
            </w:r>
          </w:p>
        </w:tc>
        <w:tc>
          <w:tcPr>
            <w:tcW w:type="dxa" w:w="5860"/>
          </w:tcPr>
          <w:p>
            <w:r>
              <w:rPr>
                <w:b w:val="false"/>
                <w:bCs w:val="false"/>
                <w:sz w:val="20"/>
                <w:szCs w:val="20"/>
              </w:rPr>
              <w:t xml:space="preserve">Every standout the product flagged (Feb 2024, Mar 2024, summer 2024, 2024 as the warmest year) matches the official Copernicus Climate Change Service bulletins for those periods.</w:t>
            </w:r>
          </w:p>
        </w:tc>
      </w:tr>
      <w:tr>
        <w:tc>
          <w:tcPr>
            <w:tcW w:type="dxa" w:w="700"/>
          </w:tcPr>
          <w:p>
            <w:r>
              <w:rPr>
                <w:b w:val="false"/>
                <w:bCs w:val="false"/>
                <w:sz w:val="20"/>
                <w:szCs w:val="20"/>
              </w:rPr>
              <w:t xml:space="preserve">C5a</w:t>
            </w:r>
          </w:p>
        </w:tc>
        <w:tc>
          <w:tcPr>
            <w:tcW w:type="dxa" w:w="2800"/>
          </w:tcPr>
          <w:p>
            <w:r>
              <w:rPr>
                <w:b w:val="false"/>
                <w:bCs w:val="false"/>
                <w:sz w:val="20"/>
                <w:szCs w:val="20"/>
              </w:rPr>
              <w:t xml:space="preserve">Method robustness — window width</w:t>
            </w:r>
          </w:p>
        </w:tc>
        <w:tc>
          <w:tcPr>
            <w:tcW w:type="dxa" w:w="5860"/>
          </w:tcPr>
          <w:p>
            <w:r>
              <w:rPr>
                <w:b w:val="false"/>
                <w:bCs w:val="false"/>
                <w:sz w:val="20"/>
                <w:szCs w:val="20"/>
              </w:rPr>
              <w:t xml:space="preserve">Re-run with a ±3-day and ±7-day window instead of ±5; anomalies move by only a fraction of a degree.</w:t>
            </w:r>
          </w:p>
        </w:tc>
      </w:tr>
      <w:tr>
        <w:tc>
          <w:tcPr>
            <w:tcW w:type="dxa" w:w="700"/>
          </w:tcPr>
          <w:p>
            <w:r>
              <w:rPr>
                <w:b w:val="false"/>
                <w:bCs w:val="false"/>
                <w:sz w:val="20"/>
                <w:szCs w:val="20"/>
              </w:rPr>
              <w:t xml:space="preserve">C5b</w:t>
            </w:r>
          </w:p>
        </w:tc>
        <w:tc>
          <w:tcPr>
            <w:tcW w:type="dxa" w:w="2800"/>
          </w:tcPr>
          <w:p>
            <w:r>
              <w:rPr>
                <w:b w:val="false"/>
                <w:bCs w:val="false"/>
                <w:sz w:val="20"/>
                <w:szCs w:val="20"/>
              </w:rPr>
              <w:t xml:space="preserve">Method robustness — QC strictness and shoreline erosion</w:t>
            </w:r>
          </w:p>
        </w:tc>
        <w:tc>
          <w:tcPr>
            <w:tcW w:type="dxa" w:w="5860"/>
          </w:tcPr>
          <w:p>
            <w:r>
              <w:rPr>
                <w:b w:val="false"/>
                <w:bCs w:val="false"/>
                <w:sz w:val="20"/>
                <w:szCs w:val="20"/>
              </w:rPr>
              <w:t xml:space="preserve">Retired 4 October 2026 (the shoreline rule is now decided, and the QC rule is already approved). Earlier result, on the 0 m geometry: no systematic anomaly bias from the strict QC tier or from a 463 m shoreline buffer.</w:t>
            </w:r>
          </w:p>
        </w:tc>
      </w:tr>
      <w:tr>
        <w:tc>
          <w:tcPr>
            <w:tcW w:type="dxa" w:w="700"/>
          </w:tcPr>
          <w:p>
            <w:r>
              <w:rPr>
                <w:b w:val="false"/>
                <w:bCs w:val="false"/>
                <w:sz w:val="20"/>
                <w:szCs w:val="20"/>
              </w:rPr>
              <w:t xml:space="preserve">C6</w:t>
            </w:r>
          </w:p>
        </w:tc>
        <w:tc>
          <w:tcPr>
            <w:tcW w:type="dxa" w:w="2800"/>
          </w:tcPr>
          <w:p>
            <w:r>
              <w:rPr>
                <w:b w:val="false"/>
                <w:bCs w:val="false"/>
                <w:sz w:val="20"/>
                <w:szCs w:val="20"/>
              </w:rPr>
              <w:t xml:space="preserve">Low-coverage artefact control</w:t>
            </w:r>
          </w:p>
        </w:tc>
        <w:tc>
          <w:tcPr>
            <w:tcW w:type="dxa" w:w="5860"/>
          </w:tcPr>
          <w:p>
            <w:r>
              <w:rPr>
                <w:b w:val="false"/>
                <w:bCs w:val="false"/>
                <w:sz w:val="20"/>
                <w:szCs w:val="20"/>
              </w:rPr>
              <w:t xml:space="preserve">The confidence flag correctly isolates thin-coverage artefacts — the 8 largest raw anomalies in the record are all flagged “low” coverage.</w:t>
            </w:r>
          </w:p>
        </w:tc>
      </w:tr>
    </w:tbl>
    <w:p>
      <w:pPr>
        <w:spacing w:before="160"/>
      </w:pPr>
    </w:p>
    <w:p>
      <w:pPr>
        <w:spacing w:after="160"/>
      </w:pPr>
      <w:r>
        <w:t xml:space="preserve">One limitation was identified and is disclosed in the product itself: about 6–8% of well-observed days sit close enough to a percentile-band boundary that a small, legitimate method change (e.g. a ±3-day instead of ±5-day window) can flip the plain-language label by exactly one notch, even though the underlying temperature barely moved. The response was not to change the method, but to always show the percentile number next to the label, so a borderline reading visibly looks borderline rather than reading as a clean, hard fact.</w:t>
      </w:r>
    </w:p>
    <w:p>
      <w:pPr>
        <w:spacing w:after="160"/>
      </w:pPr>
      <w:r>
        <w:rPr>
          <w:i/>
          <w:iCs/>
        </w:rPr>
        <w:t xml:space="preserve">Conclusion: the product is validated for relative anomaly monitoring — correctly identifying when a reading is unusual — and not for absolute, degree-precise calibration.</w:t>
      </w:r>
    </w:p>
    <w:p>
      <w:pPr>
        <w:pStyle w:val="Heading1"/>
        <w:spacing w:after="160" w:before="320"/>
      </w:pPr>
      <w:r>
        <w:t xml:space="preserve">5. Known limitations and open items</w:t>
      </w:r>
    </w:p>
    <w:p>
      <w:pPr>
        <w:pStyle w:val="Heading2"/>
        <w:spacing w:after="120" w:before="240"/>
      </w:pPr>
      <w:r>
        <w:t xml:space="preserve">5.1 Satellite orbit drift</w:t>
      </w:r>
    </w:p>
    <w:p>
      <w:pPr>
        <w:spacing w:after="160"/>
      </w:pPr>
      <w:r>
        <w:t xml:space="preserve">Terra and Aqua are no longer in their original orbits; their overpass times have drifted since 2023 (both were stable to within about 10 minutes from 2003–2022). This was investigated directly: the app’s displayed nominal pass-time windows were checked against the real historical view-time band (2003–2022, 5,000+ images per stream) — Aqua’s windows were already accurate; Terra’s were found to be measurably wrong (over an hour off) and have been corrected. The app now shows, for every single-day reading, the MODIS image’s own measured overpass time alongside the (corrected) historical nominal window, so the actual drift for that specific day is directly visible. For the two daytime passes where the drift direction is documented, the app also states the likely direction of bias this can cause — an earlier morning pass samples the lake before as much daily warming has occurred (systematic “too cool”); a later afternoon pass samples closer to peak heat (systematic “too warm”). This is a known, described limitation; the exact size of the resulting temperature bias for Lake Balaton has not yet been estimated, and is a candidate for follow-up work (comparing the historical mean overpass time against the 2023+ monitoring-period mean, per stream, and relating that time shift to the lake’s diurnal heating rate).</w:t>
      </w:r>
    </w:p>
    <w:p>
      <w:pPr>
        <w:pStyle w:val="Heading2"/>
        <w:spacing w:after="120" w:before="240"/>
      </w:pPr>
      <w:r>
        <w:t xml:space="preserve">5.2 Cloud-edge contamination</w:t>
      </w:r>
    </w:p>
    <w:p>
      <w:pPr>
        <w:spacing w:after="160"/>
      </w:pPr>
      <w:r>
        <w:t xml:space="preserve">Pixels immediately bordering a cloud-masked gap were found to read measurably colder than pixels further from any gap (−0.8 to −3.1°C across four tested dates) — a pixel can be mostly clear water but partly cloud and still pass the cloud test, especially at a cloud edge’s thinning boundary, and cloud tops are far colder than the lake surface. This is a documented general limitation of MODIS LST, not specific to this processing. It has not been corrected: tightening the pixel filter to exclude edge-adjacent pixels would further shrink the already-thin nighttime coverage, a trade-off already rejected once for that reason.</w:t>
      </w:r>
    </w:p>
    <w:p>
      <w:pPr>
        <w:spacing w:after="160"/>
      </w:pPr>
      <w:r>
        <w:t xml:space="preserve">A direct spot-check of 25 August 2026 (requested during supervisor review) found a mixed picture, not a uniform cold-edge signal: Aqua pre-dawn showed the expected pattern (gap-adjacent pixels −1.44°C versus the rest of the lake, n=116 vs. n=29); Terra morning showed no meaningful effect (+0.19°C, but at only ~12% coverage); and Aqua afternoon showed the opposite direction (gap-adjacent pixels +1.83°C warmer, n=177 vs. n=120, at a more usable ~62% coverage). That reversed result on the afternoon pass does not fit the cloud-edge-contamination mechanism and is more likely a sign of the separate partial-cloud-cover effect described in Section 5.4 — which part of the lake happens to be cloud-free is not random, and on that date the clear patches may simply have been concentrated in a warmer part of the lake.</w:t>
      </w:r>
    </w:p>
    <w:p>
      <w:pPr>
        <w:pStyle w:val="Heading2"/>
        <w:spacing w:after="120" w:before="240"/>
      </w:pPr>
      <w:r>
        <w:t xml:space="preserve">5.3 A possible pre-dawn fog signature</w:t>
      </w:r>
    </w:p>
    <w:p>
      <w:pPr>
        <w:spacing w:after="160"/>
      </w:pPr>
      <w:r>
        <w:t xml:space="preserve">A “salt-and-pepper” pixel pattern observed before dawn on at least one date is hypothesised to be shallow, sub-pixel lake fog rather than ordinary cloud, based on three independent checks (pixel-to-pixel roughness, a mismatch between the regional weather model’s cloud estimate and MODIS’s own rejection rate, and a small dewpoint-depression gap consistent with near-saturation air). This is a hypothesis, not a confirmed finding from a single snapshot. A dewpoint-depression “fog risk” reading was added to the app’s weather panel as a result, since it is the one weather signal that remains meaningful at night.</w:t>
      </w:r>
    </w:p>
    <w:p>
      <w:pPr>
        <w:pStyle w:val="Heading2"/>
        <w:spacing w:after="120" w:before="240"/>
      </w:pPr>
      <w:r>
        <w:t xml:space="preserve">5.4 Pixel-mean vs. lake-mean anomaly computation</w:t>
      </w:r>
    </w:p>
    <w:p>
      <w:pPr>
        <w:spacing w:after="160"/>
      </w:pPr>
      <w:r>
        <w:t xml:space="preserve">The headline daily/monthly figures still compute the lake-wide mean temperature for a pass first, then compare that single number to the lake-wide historical baseline — this has not changed. An alternative, pixel-first approach — compute each pixel’s own anomaly against its own historical baseline, then average the anomalies — would be more robust to which part of the lake happens to be cloud-free on a partly-cloudy day, since the current approach’s result can depend on which basin is visible. The per-pixel historical baseline this would require has now been built, for the map view only (Section 5.8); using it to also replace the lake-wide scalar computation itself is a separate, not-yet-made decision, recorded here as an open methodological question.</w:t>
      </w:r>
    </w:p>
    <w:p>
      <w:pPr>
        <w:pStyle w:val="Heading2"/>
        <w:spacing w:after="120" w:before="240"/>
      </w:pPr>
      <w:r>
        <w:t xml:space="preserve">5.5 Baseline statistics</w:t>
      </w:r>
    </w:p>
    <w:p>
      <w:pPr>
        <w:spacing w:after="160"/>
      </w:pPr>
      <w:r>
        <w:t xml:space="preserve">With roughly 110–195 historical readings behind a typical calendar day, the 99th-percentile threshold that defines “extreme” is close to the second-highest value ever recorded for that day-of-year, making that specific category statistically unstable by nature of the sample size. Separately, because the lake has been warming over the baseline-and-monitoring period as a whole, comparing recent years against a fixed 2003–2022 baseline will tend to flag recent readings as “warm” partly because of the long-term trend, not only because of short-term unusual conditions. Both are disclosed here as a property of the chosen, defensible baseline design; a detrended baseline variant is a possible future extension, not currently implemented.</w:t>
      </w:r>
    </w:p>
    <w:p>
      <w:pPr>
        <w:pStyle w:val="Heading2"/>
        <w:spacing w:after="120" w:before="240"/>
      </w:pPr>
      <w:r>
        <w:t xml:space="preserve">5.6 No in-situ validation</w:t>
      </w:r>
    </w:p>
    <w:p>
      <w:pPr>
        <w:spacing w:after="160"/>
      </w:pPr>
      <w:r>
        <w:t xml:space="preserve">No field thermometer measurement of Lake Balaton’s water was available for this product; validation relies entirely on independent satellite/reanalysis cross-checks (Section 4) and published climate bulletins. A comparison against HungaroMet weather-station or Balaton Limnological Research Institute (Tihany) in-situ water-temperature records would strengthen the validation further and has not yet been attempted.</w:t>
      </w:r>
    </w:p>
    <w:p>
      <w:pPr>
        <w:pStyle w:val="Heading2"/>
        <w:spacing w:after="120" w:before="240"/>
      </w:pPr>
      <w:r>
        <w:t xml:space="preserve">5.7 Operational limitations</w:t>
      </w:r>
    </w:p>
    <w:p>
      <w:pPr>
        <w:pStyle w:val="ListParagraph"/>
        <w:numPr>
          <w:ilvl w:val="0"/>
          <w:numId w:val="1"/>
        </w:numPr>
        <w:spacing w:after="80"/>
      </w:pPr>
      <w:r>
        <w:t xml:space="preserve">The monitoring record is extended by a manual monthly refresh, not a live/automatic process; the app shows data only up to the last refresh date.</w:t>
      </w:r>
    </w:p>
    <w:p>
      <w:pPr>
        <w:pStyle w:val="ListParagraph"/>
        <w:numPr>
          <w:ilvl w:val="0"/>
          <w:numId w:val="1"/>
        </w:numPr>
        <w:spacing w:after="80"/>
      </w:pPr>
      <w:r>
        <w:t xml:space="preserve">No basin-level (sub-lake) summaries exist yet — deferred scope.</w:t>
      </w:r>
    </w:p>
    <w:p>
      <w:pPr>
        <w:pStyle w:val="ListParagraph"/>
        <w:numPr>
          <w:ilvl w:val="0"/>
          <w:numId w:val="1"/>
        </w:numPr>
        <w:spacing w:after="80"/>
      </w:pPr>
      <w:r>
        <w:t xml:space="preserve">MODIS’s 1 km pixel size means shoreline pixels are inherently a mixture of land and water; this is a sensor limitation stated plainly rather than hidden.</w:t>
      </w:r>
    </w:p>
    <w:p>
      <w:pPr>
        <w:pStyle w:val="Heading2"/>
        <w:spacing w:after="120" w:before="240"/>
      </w:pPr>
      <w:r>
        <w:t xml:space="preserve">5.8 Per-pixel anomaly map</w:t>
      </w:r>
    </w:p>
    <w:p>
      <w:pPr>
        <w:spacing w:after="160"/>
      </w:pPr>
      <w:r>
        <w:t xml:space="preserve">A new map mode shows, for each pixel, that day’s reading minus that same pixel’s own 2003–2022 historical normal (the same ±5-day window and quality rule as the approved method, Section 3.1–3.2) — rather than every pixel being compared to one single lake-wide normal. This was motivated by a direct check: the lake’s historical “normal” temperature varies by roughly 6–8°C across its area for the same day-of-year (a test for late August found a range of 21.96°C to 29.86°C), almost certainly reflecting depth — the shallow end of the lake runs warmer than the deep end as a matter of ordinary geography, not anomaly. A single lake-wide reference would misread that geography as a false anomaly in naturally warmer or cooler spots; the per-pixel version avoids this.</w:t>
      </w:r>
    </w:p>
    <w:p>
      <w:pPr>
        <w:spacing w:after="160"/>
      </w:pPr>
      <w:r>
        <w:t xml:space="preserve">A pixel is only drawn when it has both an accepted reading that day and at least 10 historical observations behind it at that location (reusing the existing minimum-sample rule from Section 3.3) — otherwise it is left blank, with no guessing. The map reports three separate coverage figures so a reader can tell apart the two different reasons a pixel can be blank: today’s own cloud cover, versus that location simply lacking enough historical data. Checked directly for a thin stream (Aqua pre-dawn, summer): applying the 10-observation minimum removes only a modest 3–6% of the lake’s pixels, not a majority of them, so the threshold is usable in practice. The underlying window-selection logic (handling the 2003–2022 leap-year calendar correctly) and the three-coverage-number calculation were both checked against real Earth Engine data before release; one real bug was found and fixed in the process (an early version averaged a true/false mask directly, which produced a mathematically impossible result — Earth Engine’s adaptive tile resolution had interpolated the mask rather than sampling it; fixed by counting pixels on properly masked numeric bands instead).</w:t>
      </w:r>
    </w:p>
    <w:p>
      <w:pPr>
        <w:spacing w:after="160"/>
      </w:pPr>
      <w:r>
        <w:t xml:space="preserve">This feature is new and additive — it changes no existing number elsewhere in the product — and has not yet been independently reviewed the way the rest of the methodology has. The coverage percentages it reports are approximate, for the same reason every other live map statistic in this app is approximate — Earth Engine’s best-effort tile resolution can vary slightly between queries.</w:t>
      </w:r>
    </w:p>
    <w:p>
      <w:pPr>
        <w:spacing w:after="160"/>
      </w:pPr>
      <w:r>
        <w:t xml:space="preserve">The colour scale’s range was checked against the real anomaly record rather than chosen arbitrarily, and went through two iterations. A first check (five dates across several seasons and streams) found the single most significant known event in the record — 18 February 2024, the anchor of “2024 as the warmest year” — reaches +7.1°C (Terra morning, 99th percentile) and +8.5°C (Aqua pre-dawn, 99th percentile) at the pixel level, so the scale was set to ±9°C to avoid clipping it. In practice this left almost every ordinary day crammed into the pale middle of the scale, hard to tell apart — checking the full monitoring record (~900 readings per stream) showed why: the 5th–95th percentile of lake-wide anomalies is only about ±5°C for most streams, so a ±9°C scale wastes most of its range on values that almost never occur.</w:t>
      </w:r>
    </w:p>
    <w:p>
      <w:pPr>
        <w:spacing w:after="160"/>
      </w:pPr>
      <w:r>
        <w:t xml:space="preserve">The scale was narrowed to ±6°C, comfortably covering the 95th–99th percentile for most streams. Typical days now use the full colour range; the rare truly extreme day — Feb 2024 included — simply shows as fully saturated red or blue instead of its own unique shade. This is standard practice for a long-tailed distribution like this one, and is itself meaningful (a saturated pixel communicates “at or beyond the extreme end of what’s typically seen”), not a loss of information worth avoiding at the cost of making 95% of days indistinguishable. The legend marks the two endpoints with ≤ / ≥ rather than a bare number, so this is stated rather than left for the reader to guess at.</w:t>
      </w:r>
    </w:p>
    <w:p>
      <w:pPr>
        <w:spacing w:after="160"/>
      </w:pPr>
      <w:r>
        <w:t xml:space="preserve">A fixed but season-dependent colour scale (narrower in winter, wider in summer) was considered, following the supervisor’s comment about the raw-temperature map, but checked and rejected for the anomaly map specifically. Winter nights do have a measurably wider cold tail than summer (5th percentile −8.4°C versus −2.4°C for Aqua pre-dawn), but the warm side barely differs by season — the effect is asymmetric and stream-specific, not a clean “narrower in one season” story, and the single most extreme anomaly in the whole record is itself a winter event, so narrowing the scale for winter would clip the most important case even harder. A season-dependent scale remains a reasonable idea for the raw-temperature map — a single fixed −5…32°C range does look washed out within any one season — but does not transfer to the anomaly map, which is already normalised to each day’s own seasonal baseline by construction; the same anomaly magnitude should look the same regardless of the time of year it occurred.</w:t>
      </w:r>
    </w:p>
    <w:p>
      <w:pPr>
        <w:pStyle w:val="Heading1"/>
        <w:spacing w:after="160" w:before="320"/>
      </w:pPr>
      <w:r>
        <w:t xml:space="preserve">6. Future work</w:t>
      </w:r>
    </w:p>
    <w:p>
      <w:pPr>
        <w:pStyle w:val="ListParagraph"/>
        <w:numPr>
          <w:ilvl w:val="0"/>
          <w:numId w:val="1"/>
        </w:numPr>
        <w:spacing w:after="80"/>
      </w:pPr>
      <w:r>
        <w:t xml:space="preserve">Estimate the size (in °C) of the orbit-drift bias described in 5.1.</w:t>
      </w:r>
    </w:p>
    <w:p>
      <w:pPr>
        <w:pStyle w:val="ListParagraph"/>
        <w:numPr>
          <w:ilvl w:val="0"/>
          <w:numId w:val="1"/>
        </w:numPr>
        <w:spacing w:after="80"/>
      </w:pPr>
      <w:r>
        <w:t xml:space="preserve">Decide whether to extend the pixel-first approach (Section 5.8) from the map view into the headline lake-wide anomaly computation itself, as described in 5.4.</w:t>
      </w:r>
    </w:p>
    <w:p>
      <w:pPr>
        <w:pStyle w:val="ListParagraph"/>
        <w:numPr>
          <w:ilvl w:val="0"/>
          <w:numId w:val="1"/>
        </w:numPr>
        <w:spacing w:after="80"/>
      </w:pPr>
      <w:r>
        <w:t xml:space="preserve">Extend the anomaly map (5.8) to the monthly view; it currently exists for the single-day view only.</w:t>
      </w:r>
    </w:p>
    <w:p>
      <w:pPr>
        <w:pStyle w:val="ListParagraph"/>
        <w:numPr>
          <w:ilvl w:val="0"/>
          <w:numId w:val="1"/>
        </w:numPr>
        <w:spacing w:after="80"/>
      </w:pPr>
      <w:r>
        <w:t xml:space="preserve">A season-dependent colour scale for the raw-temperature map (not the anomaly map — see 5.8), so a single day or month is not stretched across the full −5…32°C range year-round; not yet implemented.</w:t>
      </w:r>
    </w:p>
    <w:p>
      <w:pPr>
        <w:pStyle w:val="ListParagraph"/>
        <w:numPr>
          <w:ilvl w:val="0"/>
          <w:numId w:val="1"/>
        </w:numPr>
        <w:spacing w:after="80"/>
      </w:pPr>
      <w:r>
        <w:t xml:space="preserve">In-situ validation against HungaroMet or Tihany station records, if obtainable.</w:t>
      </w:r>
    </w:p>
    <w:p>
      <w:pPr>
        <w:pStyle w:val="ListParagraph"/>
        <w:numPr>
          <w:ilvl w:val="0"/>
          <w:numId w:val="1"/>
        </w:numPr>
        <w:spacing w:after="80"/>
      </w:pPr>
      <w:r>
        <w:t xml:space="preserve">VIIRS continuity: Terra and Aqua MODIS are approaching end of mission (NASA science operations are expected to conclude for Terra and Aqua within the next couple of years). VIIRS land-surface-temperature data is available in Earth Engine and overlaps with MODIS from 2012 onward, which would allow a cross-calibrated transition to keep this monitoring record alive beyond the MODIS mission. Not yet implemented; a documented path forward rather than a current capability.</w:t>
      </w:r>
    </w:p>
    <w:p>
      <w:pPr>
        <w:pStyle w:val="ListParagraph"/>
        <w:numPr>
          <w:ilvl w:val="0"/>
          <w:numId w:val="1"/>
        </w:numPr>
        <w:spacing w:after="80"/>
      </w:pPr>
      <w:r>
        <w:t xml:space="preserve">Basin-level (sub-lake) summaries.</w:t>
      </w:r>
    </w:p>
    <w:p>
      <w:pPr>
        <w:pStyle w:val="ListParagraph"/>
        <w:numPr>
          <w:ilvl w:val="0"/>
          <w:numId w:val="1"/>
        </w:numPr>
        <w:spacing w:after="80"/>
      </w:pPr>
      <w:r>
        <w:t xml:space="preserve">A detrended baseline option, to separate long-term warming trend from short-term anomaly.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jelcswjmyv1a9fugylay" Type="http://schemas.openxmlformats.org/officeDocument/2006/relationships/hyperlink" Target="https://jtantaroman.users.earthengine.app/view/lake-balaton-lst-monito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2026-10-05T08:06:40.721Z</dcterms:created>
  <dcterms:modified xsi:type="dcterms:W3CDTF">2026-10-05T08:06:40.724Z</dcterms:modified>
</cp:coreProperties>
</file>

<file path=docProps/custom.xml><?xml version="1.0" encoding="utf-8"?>
<Properties xmlns="http://schemas.openxmlformats.org/officeDocument/2006/custom-properties" xmlns:vt="http://schemas.openxmlformats.org/officeDocument/2006/docPropsVTypes"/>
</file>