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Lake Balaton Surface-Temperature Monitor</w:t>
      </w:r>
    </w:p>
    <w:p>
      <w:pPr>
        <w:pStyle w:val="Heading1"/>
        <w:spacing w:after="40"/>
      </w:pPr>
      <w:r>
        <w:t xml:space="preserve">User Guide</w:t>
      </w:r>
    </w:p>
    <w:p>
      <w:pPr>
        <w:spacing w:after="40"/>
      </w:pPr>
      <w:r>
        <w:t xml:space="preserve">Jeison Tantachuco — Internship project, Lake Balaton thermal monitoring</w:t>
      </w:r>
    </w:p>
    <w:p>
      <w:pPr>
        <w:spacing w:after="320"/>
      </w:pPr>
      <w:r>
        <w:t xml:space="preserve">October 2026</w:t>
      </w:r>
    </w:p>
    <w:p>
      <w:pPr>
        <w:pStyle w:val="Heading1"/>
        <w:spacing w:after="160" w:before="320"/>
      </w:pPr>
      <w:r>
        <w:t xml:space="preserve">1. What this tool does</w:t>
      </w:r>
    </w:p>
    <w:p>
      <w:pPr>
        <w:spacing w:after="160"/>
      </w:pPr>
      <w:r>
        <w:t xml:space="preserve">This is a free, public web app that answers one question for Lake Balaton, every day since 1 January 2023: is the water surface unusually warm or cold right now, compared to what is normal for this time of year? It reads satellite thermal measurements (not weather-station or in-water sensor data) and compares each reading against a fixed, 20-year historical record (2003–2022).</w:t>
      </w:r>
    </w:p>
    <w:p>
      <w:pPr>
        <w:spacing w:after="160"/>
      </w:pPr>
      <w:r>
        <w:t xml:space="preserve">Open the app at:</w:t>
      </w:r>
    </w:p>
    <w:p>
      <w:pPr>
        <w:spacing w:after="160"/>
      </w:pPr>
      <w:hyperlink w:history="1" r:id="rIdv8er-yygjgnxc4nnd3vxk">
        <w:r>
          <w:rPr>
            <w:rStyle w:val="Hyperlink"/>
          </w:rPr>
          <w:t xml:space="preserve">https://jtantaroman.users.earthengine.app/view/lake-balaton-lst-monitor</w:t>
        </w:r>
      </w:hyperlink>
    </w:p>
    <w:p>
      <w:pPr>
        <w:spacing w:after="160"/>
      </w:pPr>
      <w:r>
        <w:t xml:space="preserve">No login or installation is required — it opens directly in a web browser.</w:t>
      </w:r>
    </w:p>
    <w:p>
      <w:pPr>
        <w:pStyle w:val="Heading1"/>
        <w:spacing w:after="160" w:before="320"/>
      </w:pPr>
      <w:r>
        <w:t xml:space="preserve">2. Layout</w:t>
      </w:r>
    </w:p>
    <w:p>
      <w:pPr>
        <w:spacing w:after="160"/>
      </w:pPr>
      <w:r>
        <w:t xml:space="preserve">The screen is split in two: a control and information panel on the left, and a map of Lake Balaton on the right. Everything you choose in the left panel (which date, which satellite pass, single-day or whole-month view) updates both the text and the map together.</w:t>
      </w:r>
    </w:p>
    <w:p>
      <w:pPr>
        <w:pStyle w:val="Heading1"/>
        <w:spacing w:after="160" w:before="320"/>
      </w:pPr>
      <w:r>
        <w:t xml:space="preserve">3. Choosing what to look at</w:t>
      </w:r>
    </w:p>
    <w:p>
      <w:pPr>
        <w:pStyle w:val="Heading2"/>
        <w:spacing w:after="120" w:before="240"/>
      </w:pPr>
      <w:r>
        <w:t xml:space="preserve">3.1 View: Single day or Whole month</w:t>
      </w:r>
    </w:p>
    <w:p>
      <w:pPr>
        <w:spacing w:after="160"/>
      </w:pPr>
      <w:r>
        <w:t xml:space="preserve">The first control switches the entire panel between two modes: a single calendar day, or a whole calendar month summarised.</w:t>
      </w:r>
    </w:p>
    <w:p>
      <w:pPr>
        <w:pStyle w:val="Heading2"/>
        <w:spacing w:after="120" w:before="240"/>
      </w:pPr>
      <w:r>
        <w:t xml:space="preserve">3.2 Satellite pass</w:t>
      </w:r>
    </w:p>
    <w:p>
      <w:pPr>
        <w:spacing w:after="160"/>
      </w:pPr>
      <w:r>
        <w:t xml:space="preserve">Lake Balaton is observed by two NASA satellites, Terra and Aqua, each passing overhead twice a day — four separate readings per date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shd w:fill="E8E8E8" w:val="clear"/>
          </w:tcPr>
          <w:p>
            <w:r>
              <w:rPr>
                <w:b/>
                <w:bCs/>
                <w:sz w:val="20"/>
                <w:szCs w:val="20"/>
              </w:rPr>
              <w:t xml:space="preserve">Pass</w:t>
            </w:r>
          </w:p>
        </w:tc>
        <w:tc>
          <w:tcPr>
            <w:tcW w:type="dxa" w:w="4860"/>
            <w:shd w:fill="E8E8E8" w:val="clear"/>
          </w:tcPr>
          <w:p>
            <w:r>
              <w:rPr>
                <w:b/>
                <w:bCs/>
                <w:sz w:val="20"/>
                <w:szCs w:val="20"/>
              </w:rPr>
              <w:t xml:space="preserve">Roughly when (Hungarian time)</w:t>
            </w:r>
          </w:p>
        </w:tc>
      </w:tr>
      <w:tr>
        <w:tc>
          <w:tcPr>
            <w:tcW w:type="dxa" w:w="4500"/>
          </w:tcPr>
          <w:p>
            <w:r>
              <w:rPr>
                <w:b w:val="false"/>
                <w:bCs w:val="false"/>
                <w:sz w:val="20"/>
                <w:szCs w:val="20"/>
              </w:rPr>
              <w:t xml:space="preserve">Aqua — pre-dawn</w:t>
            </w:r>
          </w:p>
        </w:tc>
        <w:tc>
          <w:tcPr>
            <w:tcW w:type="dxa" w:w="4860"/>
          </w:tcPr>
          <w:p>
            <w:r>
              <w:rPr>
                <w:b w:val="false"/>
                <w:bCs w:val="false"/>
                <w:sz w:val="20"/>
                <w:szCs w:val="20"/>
              </w:rPr>
              <w:t xml:space="preserve">~03:00 (the first reading of the date, not the last)</w:t>
            </w:r>
          </w:p>
        </w:tc>
      </w:tr>
      <w:tr>
        <w:tc>
          <w:tcPr>
            <w:tcW w:type="dxa" w:w="4500"/>
          </w:tcPr>
          <w:p>
            <w:r>
              <w:rPr>
                <w:b w:val="false"/>
                <w:bCs w:val="false"/>
                <w:sz w:val="20"/>
                <w:szCs w:val="20"/>
              </w:rPr>
              <w:t xml:space="preserve">Terra — mid-morning</w:t>
            </w:r>
          </w:p>
        </w:tc>
        <w:tc>
          <w:tcPr>
            <w:tcW w:type="dxa" w:w="4860"/>
          </w:tcPr>
          <w:p>
            <w:r>
              <w:rPr>
                <w:b w:val="false"/>
                <w:bCs w:val="false"/>
                <w:sz w:val="20"/>
                <w:szCs w:val="20"/>
              </w:rPr>
              <w:t xml:space="preserve">~11:30</w:t>
            </w:r>
          </w:p>
        </w:tc>
      </w:tr>
      <w:tr>
        <w:tc>
          <w:tcPr>
            <w:tcW w:type="dxa" w:w="4500"/>
          </w:tcPr>
          <w:p>
            <w:r>
              <w:rPr>
                <w:b w:val="false"/>
                <w:bCs w:val="false"/>
                <w:sz w:val="20"/>
                <w:szCs w:val="20"/>
              </w:rPr>
              <w:t xml:space="preserve">Aqua — early afternoon</w:t>
            </w:r>
          </w:p>
        </w:tc>
        <w:tc>
          <w:tcPr>
            <w:tcW w:type="dxa" w:w="4860"/>
          </w:tcPr>
          <w:p>
            <w:r>
              <w:rPr>
                <w:b w:val="false"/>
                <w:bCs w:val="false"/>
                <w:sz w:val="20"/>
                <w:szCs w:val="20"/>
              </w:rPr>
              <w:t xml:space="preserve">~14:00, usually the warmest reading</w:t>
            </w:r>
          </w:p>
        </w:tc>
      </w:tr>
      <w:tr>
        <w:tc>
          <w:tcPr>
            <w:tcW w:type="dxa" w:w="4500"/>
          </w:tcPr>
          <w:p>
            <w:r>
              <w:rPr>
                <w:b w:val="false"/>
                <w:bCs w:val="false"/>
                <w:sz w:val="20"/>
                <w:szCs w:val="20"/>
              </w:rPr>
              <w:t xml:space="preserve">Terra — evening</w:t>
            </w:r>
          </w:p>
        </w:tc>
        <w:tc>
          <w:tcPr>
            <w:tcW w:type="dxa" w:w="4860"/>
          </w:tcPr>
          <w:p>
            <w:r>
              <w:rPr>
                <w:b w:val="false"/>
                <w:bCs w:val="false"/>
                <w:sz w:val="20"/>
                <w:szCs w:val="20"/>
              </w:rPr>
              <w:t xml:space="preserve">~22:00</w:t>
            </w:r>
          </w:p>
        </w:tc>
      </w:tr>
    </w:tbl>
    <w:p>
      <w:pPr>
        <w:spacing w:before="120"/>
      </w:pPr>
    </w:p>
    <w:p>
      <w:pPr>
        <w:spacing w:after="160"/>
      </w:pPr>
      <w:r>
        <w:t xml:space="preserve">These four passes are deliberately never averaged together — the lake is a different temperature at 3 a.m. than at 2 p.m., so blending them would hide real information rather than reveal it. The dropdown lets you pick which one to look at; it also shows the exact Hungarian-time window for whichever season the selected date falls in (winter clocks run an hour behind summer clocks).</w:t>
      </w:r>
    </w:p>
    <w:p>
      <w:pPr>
        <w:pStyle w:val="Heading2"/>
        <w:spacing w:after="120" w:before="240"/>
      </w:pPr>
      <w:r>
        <w:t xml:space="preserve">3.3 Picking a date</w:t>
      </w:r>
    </w:p>
    <w:p>
      <w:pPr>
        <w:spacing w:after="160"/>
      </w:pPr>
      <w:r>
        <w:t xml:space="preserve">In the single-day view, click the date field to open a calendar, or drag the slider underneath it to step day by day. A “Jump to a month” dropdown next to it jumps straight to the first day of any month, which is faster than dragging across three-plus years of individual days. In the whole-month view, a separate Month dropdown is used instead, since every day inside one month gives the same monthly answer.</w:t>
      </w:r>
    </w:p>
    <w:p>
      <w:pPr>
        <w:pStyle w:val="Heading1"/>
        <w:spacing w:after="160" w:before="320"/>
      </w:pPr>
      <w:r>
        <w:t xml:space="preserve">4. Reading a single day</w:t>
      </w:r>
    </w:p>
    <w:p>
      <w:pPr>
        <w:spacing w:after="160"/>
      </w:pPr>
      <w:r>
        <w:t xml:space="preserve">For the selected date and satellite pass, the panel shows:</w:t>
      </w:r>
    </w:p>
    <w:p>
      <w:pPr>
        <w:pStyle w:val="ListParagraph"/>
        <w:numPr>
          <w:ilvl w:val="0"/>
          <w:numId w:val="1"/>
        </w:numPr>
        <w:spacing w:after="80"/>
      </w:pPr>
      <w:r>
        <w:t xml:space="preserve">A plain-language verdict — one of: below normal, within normal range, warm, unusually warm, or extreme warm reading — with its percentile shown right beside it (e.g. “95th percentile · unusually warm”), so a borderline reading is visibly borderline rather than a flat statement.</w:t>
      </w:r>
    </w:p>
    <w:p>
      <w:pPr>
        <w:pStyle w:val="ListParagraph"/>
        <w:numPr>
          <w:ilvl w:val="0"/>
          <w:numId w:val="1"/>
        </w:numPr>
        <w:spacing w:after="80"/>
      </w:pPr>
      <w:r>
        <w:t xml:space="preserve">Lake surface temperature for that pass, in °C.</w:t>
      </w:r>
    </w:p>
    <w:p>
      <w:pPr>
        <w:pStyle w:val="ListParagraph"/>
        <w:numPr>
          <w:ilvl w:val="0"/>
          <w:numId w:val="1"/>
        </w:numPr>
        <w:spacing w:after="80"/>
      </w:pPr>
      <w:r>
        <w:t xml:space="preserve">The anomaly vs. normal — each clear pixel is compared with its own 2003–2022 median for that calendar day, and those differences are averaged over the lake; not one single lake-wide reading compared with one single lake-wide normal.</w:t>
      </w:r>
    </w:p>
    <w:p>
      <w:pPr>
        <w:pStyle w:val="ListParagraph"/>
        <w:numPr>
          <w:ilvl w:val="0"/>
          <w:numId w:val="1"/>
        </w:numPr>
        <w:spacing w:after="80"/>
      </w:pPr>
      <w:r>
        <w:t xml:space="preserve">Clear-sky coverage — what percentage of the lake was actually seen clearly on that pass (cloud cover varies day to day); a low-coverage reading is flagged in orange rather than presented as equivalent to a full-lake view.</w:t>
      </w:r>
    </w:p>
    <w:p>
      <w:pPr>
        <w:pStyle w:val="ListParagraph"/>
        <w:numPr>
          <w:ilvl w:val="0"/>
          <w:numId w:val="1"/>
        </w:numPr>
        <w:spacing w:after="80"/>
      </w:pPr>
      <w:r>
        <w:t xml:space="preserve">The satellite’s own measured overpass time for that exact image, next to the long-run historical average for that pass and season — both satellites have drifted somewhat in their orbits since 2023, so these two numbers can differ; comparing them shows how much for that specific day.</w:t>
      </w:r>
    </w:p>
    <w:p>
      <w:pPr>
        <w:pStyle w:val="ListParagraph"/>
        <w:numPr>
          <w:ilvl w:val="0"/>
          <w:numId w:val="1"/>
        </w:numPr>
        <w:spacing w:after="80"/>
      </w:pPr>
      <w:r>
        <w:t xml:space="preserve">A table showing all four passes for the same date side by side, each judged entirely on its own.</w:t>
      </w:r>
    </w:p>
    <w:p>
      <w:pPr>
        <w:pStyle w:val="ListParagraph"/>
        <w:numPr>
          <w:ilvl w:val="0"/>
          <w:numId w:val="1"/>
        </w:numPr>
        <w:spacing w:after="80"/>
      </w:pPr>
      <w:r>
        <w:t xml:space="preserve">A weather panel (ERA5-Land reanalysis) giving air temperature, wind, sunshine (shown as “% of a clear day” so it compares fairly across seasons), rainfall, and a fog-risk indicator for night passes. This is background context for why a reading might be unusual — it is never a measurement of the water itself.</w:t>
      </w:r>
    </w:p>
    <w:p>
      <w:pPr>
        <w:pStyle w:val="ListParagraph"/>
        <w:numPr>
          <w:ilvl w:val="0"/>
          <w:numId w:val="1"/>
        </w:numPr>
        <w:spacing w:after="80"/>
      </w:pPr>
      <w:r>
        <w:t xml:space="preserve">A chart of that month’s daily readings for the selected pass, with the day you are viewing highlighted; click any point on the chart to jump to that day.</w:t>
      </w:r>
    </w:p>
    <w:p>
      <w:pPr>
        <w:spacing w:after="160"/>
      </w:pPr>
      <w:r>
        <w:t xml:space="preserve">If a pass was too cloudy that day for a reliable reading, the panel says so plainly (“No reading for this day”) instead of showing a number built from almost no data.</w:t>
      </w:r>
    </w:p>
    <w:p>
      <w:pPr>
        <w:pStyle w:val="Heading1"/>
        <w:spacing w:after="160" w:before="320"/>
      </w:pPr>
      <w:r>
        <w:t xml:space="preserve">5. Reading a whole month</w:t>
      </w:r>
    </w:p>
    <w:p>
      <w:pPr>
        <w:spacing w:after="160"/>
      </w:pPr>
      <w:r>
        <w:t xml:space="preserve">The whole-month view reports, per satellite pass: the month’s mean temperature and mean anomaly, the warmest single day, the number of valid observation days (and how many of those were low-coverage), and the number of “warm or above” days. If fewer than 3 valid days exist that month, it says so rather than computing a number from too little data.</w:t>
      </w:r>
    </w:p>
    <w:p>
      <w:pPr>
        <w:spacing w:after="160"/>
      </w:pPr>
      <w:r>
        <w:t xml:space="preserve">The map shows a pixel-by-pixel view of that month, corrected so its overall level matches the headline number above it (a naive pixel average would run about 0.5°C too warm, because clear days are disproportionately the warmer ones — see the Methods and Validation Report for the full explanation). A chart of the year’s monthly figures for the selected pass sits alongside it, with the selected month highlighted and clickable.</w:t>
      </w:r>
    </w:p>
    <w:p>
      <w:pPr>
        <w:pStyle w:val="Heading1"/>
        <w:spacing w:after="160" w:before="320"/>
      </w:pPr>
      <w:r>
        <w:t xml:space="preserve">6. Reading the map</w:t>
      </w:r>
    </w:p>
    <w:p>
      <w:pPr>
        <w:spacing w:after="160"/>
      </w:pPr>
      <w:r>
        <w:t xml:space="preserve">The map’s colour scale is fixed at −5°C to 32°C across every date and month, so the same colour always means the same temperature — a mild day is never stretched to look as extreme as a genuinely hot one. The small legend in the corner shows, as a cropped slice of that fixed scale, where the temperatures on screen right now actually fall. Blank (uncoloured) areas of the lake were not seen clearly enough that pass or month to include.</w:t>
      </w:r>
    </w:p>
    <w:p>
      <w:pPr>
        <w:pStyle w:val="Heading1"/>
        <w:spacing w:after="160" w:before="320"/>
      </w:pPr>
      <w:r>
        <w:t xml:space="preserve">7. Known limitations, in brief</w:t>
      </w:r>
    </w:p>
    <w:p>
      <w:pPr>
        <w:spacing w:after="160"/>
      </w:pPr>
      <w:r>
        <w:t xml:space="preserve">This tool is validated for spotting unusual readings (relative anomaly monitoring), not for absolute, degree-precise calibration. In particular:</w:t>
      </w:r>
    </w:p>
    <w:p>
      <w:pPr>
        <w:pStyle w:val="ListParagraph"/>
        <w:numPr>
          <w:ilvl w:val="0"/>
          <w:numId w:val="1"/>
        </w:numPr>
        <w:spacing w:after="80"/>
      </w:pPr>
      <w:r>
        <w:t xml:space="preserve">Both satellites have drifted in their orbits since 2023, which can introduce a small, direction-known bias (Terra morning readings trending slightly cool, Aqua afternoon readings trending slightly warm) — described in the app, not yet corrected or sized exactly.</w:t>
      </w:r>
    </w:p>
    <w:p>
      <w:pPr>
        <w:pStyle w:val="ListParagraph"/>
        <w:numPr>
          <w:ilvl w:val="0"/>
          <w:numId w:val="1"/>
        </w:numPr>
        <w:spacing w:after="80"/>
      </w:pPr>
      <w:r>
        <w:t xml:space="preserve">Pixels right next to a cloud gap can read a little too cold (cloud-edge contamination), a known general limitation of this type of satellite measurement.</w:t>
      </w:r>
    </w:p>
    <w:p>
      <w:pPr>
        <w:pStyle w:val="ListParagraph"/>
        <w:numPr>
          <w:ilvl w:val="0"/>
          <w:numId w:val="1"/>
        </w:numPr>
        <w:spacing w:after="80"/>
      </w:pPr>
      <w:r>
        <w:t xml:space="preserve">The lake outline is moved inward by one satellite pixel (about 926 m), so the mixed land-and-water edge pixels are not used. This removes about a third of the lake’s surface area from every figure and map; all percentages refer to the inner area.</w:t>
      </w:r>
    </w:p>
    <w:p>
      <w:pPr>
        <w:pStyle w:val="ListParagraph"/>
        <w:numPr>
          <w:ilvl w:val="0"/>
          <w:numId w:val="1"/>
        </w:numPr>
        <w:spacing w:after="80"/>
      </w:pPr>
      <w:r>
        <w:t xml:space="preserve">No field (in-water thermometer) measurement was available to validate against directly.</w:t>
      </w:r>
    </w:p>
    <w:p>
      <w:pPr>
        <w:spacing w:after="160"/>
      </w:pPr>
      <w:r>
        <w:t xml:space="preserve">The full reasoning behind every design choice, and the complete validation results, are in the accompanying Methods and Validation Report.</w:t>
      </w:r>
    </w:p>
    <w:p>
      <w:pPr>
        <w:pStyle w:val="Heading1"/>
        <w:spacing w:after="160" w:before="320"/>
      </w:pPr>
      <w:r>
        <w:t xml:space="preserve">8. Where to go for more detail</w:t>
      </w:r>
    </w:p>
    <w:p>
      <w:pPr>
        <w:pStyle w:val="ListParagraph"/>
        <w:numPr>
          <w:ilvl w:val="0"/>
          <w:numId w:val="1"/>
        </w:numPr>
        <w:spacing w:after="80"/>
      </w:pPr>
      <w:r>
        <w:t xml:space="preserve">Methods and Validation Report — the complete scientific methodology and validation results.</w:t>
      </w:r>
    </w:p>
    <w:p>
      <w:pPr>
        <w:pStyle w:val="ListParagraph"/>
        <w:numPr>
          <w:ilvl w:val="0"/>
          <w:numId w:val="1"/>
        </w:numPr>
        <w:spacing w:after="80"/>
      </w:pPr>
      <w:r>
        <w:t xml:space="preserve">The project’s plain-language explainer document, covering every design decision in detail.</w:t>
      </w:r>
    </w:p>
    <w:p>
      <w:pPr>
        <w:pStyle w:val="ListParagraph"/>
        <w:numPr>
          <w:ilvl w:val="0"/>
          <w:numId w:val="1"/>
        </w:numPr>
        <w:spacing w:after="80"/>
      </w:pPr>
      <w:r>
        <w:t xml:space="preserve">The source code and data pipeline, in the project’s GitHub repository.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v8er-yygjgnxc4nnd3vxk" Type="http://schemas.openxmlformats.org/officeDocument/2006/relationships/hyperlink" Target="https://jtantaroman.users.earthengine.app/view/lake-balaton-lst-monito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2026-10-09T11:33:21.418Z</dcterms:created>
  <dcterms:modified xsi:type="dcterms:W3CDTF">2026-10-09T11:33:21.419Z</dcterms:modified>
</cp:coreProperties>
</file>

<file path=docProps/custom.xml><?xml version="1.0" encoding="utf-8"?>
<Properties xmlns="http://schemas.openxmlformats.org/officeDocument/2006/custom-properties" xmlns:vt="http://schemas.openxmlformats.org/officeDocument/2006/docPropsVTypes"/>
</file>