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caps/>
          <w:color w:val="0A6357"/>
          <w:sz w:val="18"/>
        </w:rPr>
        <w:t xml:space="preserve">DESARROLLOS AP</w:t>
      </w:r>
    </w:p>
    <w:p>
      <w:pPr>
        <w:spacing w:after="200"/>
      </w:pPr>
      <w:r>
        <w:rPr>
          <w:color w:val="5A6B7A"/>
          <w:sz w:val="16"/>
        </w:rPr>
        <w:t xml:space="preserve">Diseño y producción de cursos universitarios virtuales   ·   </w:t>
      </w:r>
      <w:r>
        <w:rPr>
          <w:b/>
          <w:color w:val="5A6B7A"/>
          <w:sz w:val="16"/>
        </w:rPr>
        <w:t xml:space="preserve">AP-2026-006</w:t>
      </w:r>
      <w:r>
        <w:rPr>
          <w:color w:val="5A6B7A"/>
          <w:sz w:val="16"/>
        </w:rPr>
        <w:t xml:space="preserve">   ·   19 de septiembre de 2026</w:t>
      </w:r>
    </w:p>
    <w:p>
      <w:pPr>
        <w:pStyle w:val="Titulo"/>
      </w:pPr>
      <w:r>
        <w:rPr>
          <w:b/>
          <w:color w:val="16222E"/>
          <w:sz w:val="52"/>
        </w:rPr>
        <w:t xml:space="preserve">Propuesta económica</w:t>
      </w:r>
    </w:p>
    <w:p>
      <w:pPr>
        <w:spacing w:after="40"/>
      </w:pPr>
      <w:r>
        <w:rPr>
          <w:b/>
          <w:color w:val="0A6357"/>
          <w:sz w:val="26"/>
        </w:rPr>
        <w:t xml:space="preserve">Tres parciales · propuesta ajustada a presupuesto</w:t>
      </w:r>
    </w:p>
    <w:p>
      <w:pPr>
        <w:pBdr>
          <w:bottom w:val="single" w:sz="12" w:space="4" w:color="0A6357"/>
        </w:pBdr>
        <w:spacing w:after="200"/>
      </w:pPr>
      <w:r>
        <w:rPr>
          <w:color w:val="5A6B7A"/>
          <w:sz w:val="20"/>
        </w:rPr>
        <w:t xml:space="preserve">Universidad Santiago de Cali</w:t>
      </w:r>
    </w:p>
    <w:p>
      <w:pPr>
        <w:spacing w:after="160"/>
      </w:pPr>
      <w:r>
        <w:rPr>
          <w:color w:val="5A6B7A"/>
          <w:sz w:val="20"/>
        </w:rPr>
        <w:t xml:space="preserve">Material completo para trabajar los tres parciales dentro de un techo de $ 12.000.000. Cada parcial lleva su guía de aprendizaje, su actividad H5P de refuerzo, su cuestionario en Moodle y su taller práctico de alta demanda con rúbrica y solucionario. A eso se suma un recurso propio de cada etapa: el primer parcial abre con un diagnóstico SCORM que mide los prerrequisitos reales del grupo y un foro guiado; el segundo suma un foro y tarjetas de repaso interactivas para consolidar antes del examen; el tercero cierra con un workshop de coevaluación entre pares como proyecto integrador. 17 componentes en total.</w:t>
      </w:r>
    </w:p>
    <w:tbl>
      <w:tblPr>
        <w:tblW w:w="5000" w:type="pct"/>
        <w:tblBorders>
          <w:top w:val="single" w:sz="6" w:space="0" w:color="A6D0C7"/>
          <w:left w:val="single" w:sz="6" w:space="0" w:color="A6D0C7"/>
          <w:bottom w:val="single" w:sz="6" w:space="0" w:color="A6D0C7"/>
          <w:right w:val="single" w:sz="6" w:space="0" w:color="A6D0C7"/>
          <w:insideH w:val="single" w:sz="6" w:space="0" w:color="A6D0C7"/>
          <w:insideV w:val="single" w:sz="6" w:space="0" w:color="A6D0C7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0198"/>
      </w:tblGrid>
      <w:tr>
        <w:tc>
          <w:tcPr>
            <w:shd w:val="clear" w:fill="EEF4F2"/>
            <w:vAlign w:val="center"/>
          </w:tcPr>
          <w:p>
            <w:pPr>
              <w:jc w:val="center"/>
            </w:pPr>
            <w:r>
              <w:rPr>
                <w:b/>
                <w:color w:val="16222E"/>
                <w:sz w:val="20"/>
              </w:rPr>
              <w:t xml:space="preserve">17 componentes   ·   85 horas de producción   ·   72 % de revisión profesional humana</w:t>
            </w:r>
          </w:p>
        </w:tc>
      </w:tr>
    </w:tbl>
    <w:p>
      <w:pPr>
        <w:spacing w:after="60"/>
      </w:pPr>
    </w:p>
    <w:p>
      <w:pPr>
        <w:spacing w:before="260" w:after="100"/>
      </w:pPr>
      <w:r>
        <w:rPr>
          <w:b/>
          <w:caps/>
          <w:color w:val="0A6357"/>
          <w:sz w:val="26"/>
        </w:rPr>
        <w:t xml:space="preserve">Componentes</w:t>
      </w:r>
    </w:p>
    <w:tbl>
      <w:tblPr>
        <w:tblW w:w="5000" w:type="pct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D6DEE5"/>
          <w:insideV w:val="single" w:sz="4" w:space="0" w:color="D6DEE5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5303"/>
        <w:gridCol w:w="1020"/>
        <w:gridCol w:w="1938"/>
        <w:gridCol w:w="1938"/>
      </w:tblGrid>
      <w:tr>
        <w:trPr>
          <w:tblHeader/>
        </w:trPr>
        <w:tc>
          <w:tcPr>
            <w:tcW w:w="2600" w:type="pct"/>
            <w:shd w:val="clear" w:fill="EEF4F2"/>
            <w:vAlign w:val="center"/>
          </w:tcPr>
          <w:p>
            <w:r>
              <w:rPr>
                <w:b/>
                <w:caps/>
                <w:sz w:val="18"/>
              </w:rPr>
              <w:t xml:space="preserve">Componente</w:t>
            </w:r>
          </w:p>
        </w:tc>
        <w:tc>
          <w:tcPr>
            <w:tcW w:w="500" w:type="pct"/>
            <w:shd w:val="clear" w:fill="EEF4F2"/>
            <w:vAlign w:val="center"/>
          </w:tcPr>
          <w:p>
            <w:pPr>
              <w:jc w:val="right"/>
            </w:pPr>
            <w:r>
              <w:rPr>
                <w:b/>
                <w:caps/>
                <w:sz w:val="18"/>
              </w:rPr>
              <w:t xml:space="preserve">Cant.</w:t>
            </w:r>
          </w:p>
        </w:tc>
        <w:tc>
          <w:tcPr>
            <w:tcW w:w="950" w:type="pct"/>
            <w:shd w:val="clear" w:fill="EEF4F2"/>
            <w:vAlign w:val="center"/>
          </w:tcPr>
          <w:p>
            <w:pPr>
              <w:jc w:val="right"/>
            </w:pPr>
            <w:r>
              <w:rPr>
                <w:b/>
                <w:caps/>
                <w:sz w:val="18"/>
              </w:rPr>
              <w:t xml:space="preserve">Valor unitario</w:t>
            </w:r>
          </w:p>
        </w:tc>
        <w:tc>
          <w:tcPr>
            <w:tcW w:w="950" w:type="pct"/>
            <w:shd w:val="clear" w:fill="EEF4F2"/>
            <w:vAlign w:val="center"/>
          </w:tcPr>
          <w:p>
            <w:pPr>
              <w:jc w:val="right"/>
            </w:pPr>
            <w:r>
              <w:rPr>
                <w:b/>
                <w:caps/>
                <w:sz w:val="18"/>
              </w:rPr>
              <w:t xml:space="preserve">Subtotal</w:t>
            </w:r>
          </w:p>
        </w:tc>
      </w:tr>
      <w:tr>
        <w:tc>
          <w:tcPr>
            <w:tcW w:w="2600" w:type="pct"/>
            <w:vAlign w:val="center"/>
          </w:tcPr>
          <w:p>
            <w:r>
              <w:rPr>
                <w:sz w:val="18"/>
              </w:rPr>
              <w:t xml:space="preserve">Actividad H5P de refuerzo</w:t>
            </w:r>
          </w:p>
        </w:tc>
        <w:tc>
          <w:tcPr>
            <w:tcW w:w="50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95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$ 434.390</w:t>
            </w:r>
          </w:p>
        </w:tc>
        <w:tc>
          <w:tcPr>
            <w:tcW w:w="95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$ 1.303.170</w:t>
            </w:r>
          </w:p>
        </w:tc>
      </w:tr>
      <w:tr>
        <w:tc>
          <w:tcPr>
            <w:tcW w:w="2600" w:type="pct"/>
            <w:vAlign w:val="center"/>
          </w:tcPr>
          <w:p>
            <w:r>
              <w:rPr>
                <w:sz w:val="18"/>
              </w:rPr>
              <w:t xml:space="preserve">Tarjetas de repaso (H5P Course Presentation)</w:t>
            </w:r>
          </w:p>
        </w:tc>
        <w:tc>
          <w:tcPr>
            <w:tcW w:w="50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95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$ 279.510</w:t>
            </w:r>
          </w:p>
        </w:tc>
        <w:tc>
          <w:tcPr>
            <w:tcW w:w="95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$ 279.510</w:t>
            </w:r>
          </w:p>
        </w:tc>
      </w:tr>
      <w:tr>
        <w:tc>
          <w:tcPr>
            <w:tcW w:w="2600" w:type="pct"/>
            <w:vAlign w:val="center"/>
          </w:tcPr>
          <w:p>
            <w:r>
              <w:rPr>
                <w:sz w:val="18"/>
              </w:rPr>
              <w:t xml:space="preserve">Quiz evaluativo Moodle (GIFT)</w:t>
            </w:r>
          </w:p>
        </w:tc>
        <w:tc>
          <w:tcPr>
            <w:tcW w:w="50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95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$ 707.850</w:t>
            </w:r>
          </w:p>
        </w:tc>
        <w:tc>
          <w:tcPr>
            <w:tcW w:w="95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$ 2.123.550</w:t>
            </w:r>
          </w:p>
        </w:tc>
      </w:tr>
      <w:tr>
        <w:tc>
          <w:tcPr>
            <w:tcW w:w="2600" w:type="pct"/>
            <w:vAlign w:val="center"/>
          </w:tcPr>
          <w:p>
            <w:r>
              <w:rPr>
                <w:sz w:val="18"/>
              </w:rPr>
              <w:t xml:space="preserve">Taller práctico de alta demanda con rúbrica</w:t>
            </w:r>
          </w:p>
        </w:tc>
        <w:tc>
          <w:tcPr>
            <w:tcW w:w="50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95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$ 695.750</w:t>
            </w:r>
          </w:p>
        </w:tc>
        <w:tc>
          <w:tcPr>
            <w:tcW w:w="95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$ 2.087.250</w:t>
            </w:r>
          </w:p>
        </w:tc>
      </w:tr>
      <w:tr>
        <w:tc>
          <w:tcPr>
            <w:tcW w:w="2600" w:type="pct"/>
            <w:vAlign w:val="center"/>
          </w:tcPr>
          <w:p>
            <w:r>
              <w:rPr>
                <w:sz w:val="18"/>
              </w:rPr>
              <w:t xml:space="preserve">Workshop con coevaluación (proyecto integrador)</w:t>
            </w:r>
          </w:p>
        </w:tc>
        <w:tc>
          <w:tcPr>
            <w:tcW w:w="50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95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$ 665.500</w:t>
            </w:r>
          </w:p>
        </w:tc>
        <w:tc>
          <w:tcPr>
            <w:tcW w:w="95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$ 665.500</w:t>
            </w:r>
          </w:p>
        </w:tc>
      </w:tr>
      <w:tr>
        <w:tc>
          <w:tcPr>
            <w:tcW w:w="2600" w:type="pct"/>
            <w:vAlign w:val="center"/>
          </w:tcPr>
          <w:p>
            <w:r>
              <w:rPr>
                <w:sz w:val="18"/>
              </w:rPr>
              <w:t xml:space="preserve">Foro guiado</w:t>
            </w:r>
          </w:p>
        </w:tc>
        <w:tc>
          <w:tcPr>
            <w:tcW w:w="50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95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$ 205.700</w:t>
            </w:r>
          </w:p>
        </w:tc>
        <w:tc>
          <w:tcPr>
            <w:tcW w:w="95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$ 411.400</w:t>
            </w:r>
          </w:p>
        </w:tc>
      </w:tr>
      <w:tr>
        <w:tc>
          <w:tcPr>
            <w:tcW w:w="2600" w:type="pct"/>
            <w:vAlign w:val="center"/>
          </w:tcPr>
          <w:p>
            <w:r>
              <w:rPr>
                <w:sz w:val="18"/>
              </w:rPr>
              <w:t xml:space="preserve">Paquete SCORM diagnóstico</w:t>
            </w:r>
          </w:p>
        </w:tc>
        <w:tc>
          <w:tcPr>
            <w:tcW w:w="50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95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$ 871.200</w:t>
            </w:r>
          </w:p>
        </w:tc>
        <w:tc>
          <w:tcPr>
            <w:tcW w:w="95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$ 871.200</w:t>
            </w:r>
          </w:p>
        </w:tc>
      </w:tr>
      <w:tr>
        <w:tc>
          <w:tcPr>
            <w:tcW w:w="2600" w:type="pct"/>
            <w:vAlign w:val="center"/>
          </w:tcPr>
          <w:p>
            <w:r>
              <w:rPr>
                <w:sz w:val="18"/>
              </w:rPr>
              <w:t xml:space="preserve">Guía de aprendizaje de parcial (HTML)</w:t>
            </w:r>
          </w:p>
        </w:tc>
        <w:tc>
          <w:tcPr>
            <w:tcW w:w="50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95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$ 2.511.960</w:t>
            </w:r>
          </w:p>
        </w:tc>
        <w:tc>
          <w:tcPr>
            <w:tcW w:w="95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$ 7.535.880</w:t>
            </w:r>
          </w:p>
        </w:tc>
      </w:tr>
    </w:tbl>
    <w:p>
      <w:pPr>
        <w:spacing w:after="60"/>
      </w:pPr>
    </w:p>
    <w:tbl>
      <w:tblPr>
        <w:tblW w:w="5000" w:type="pct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7139"/>
        <w:gridCol w:w="3059"/>
      </w:tblGrid>
      <w:tr>
        <w:tc>
          <w:tcPr>
            <w:tcW w:w="3500" w:type="pct"/>
            <w:vAlign w:val="center"/>
          </w:tcPr>
          <w:p>
            <w:pPr>
              <w:jc w:val="right"/>
            </w:pPr>
            <w:r>
              <w:rPr>
                <w:sz w:val="20"/>
              </w:rPr>
              <w:t xml:space="preserve">Subtotal</w:t>
            </w:r>
          </w:p>
        </w:tc>
        <w:tc>
          <w:tcPr>
            <w:tcW w:w="1500" w:type="pct"/>
            <w:vAlign w:val="center"/>
          </w:tcPr>
          <w:p>
            <w:pPr>
              <w:jc w:val="right"/>
            </w:pPr>
            <w:r>
              <w:rPr>
                <w:sz w:val="20"/>
              </w:rPr>
              <w:t xml:space="preserve">$ 15.277.460</w:t>
            </w:r>
          </w:p>
        </w:tc>
      </w:tr>
      <w:tr>
        <w:tc>
          <w:tcPr>
            <w:tcW w:w="3500" w:type="pct"/>
            <w:vAlign w:val="center"/>
          </w:tcPr>
          <w:p>
            <w:pPr>
              <w:jc w:val="right"/>
            </w:pPr>
            <w:r>
              <w:rPr>
                <w:color w:val="0A6357"/>
                <w:sz w:val="20"/>
              </w:rPr>
              <w:t xml:space="preserve">Descuento · Ajuste a presupuesto (34,5 %)</w:t>
            </w:r>
          </w:p>
        </w:tc>
        <w:tc>
          <w:tcPr>
            <w:tcW w:w="1500" w:type="pct"/>
            <w:vAlign w:val="center"/>
          </w:tcPr>
          <w:p>
            <w:pPr>
              <w:jc w:val="right"/>
            </w:pPr>
            <w:r>
              <w:rPr>
                <w:color w:val="0A6357"/>
                <w:sz w:val="20"/>
              </w:rPr>
              <w:t xml:space="preserve">- $ 5.270.724</w:t>
            </w:r>
          </w:p>
        </w:tc>
      </w:tr>
      <w:tr>
        <w:tc>
          <w:tcPr>
            <w:tcW w:w="3500" w:type="pct"/>
            <w:vAlign w:val="center"/>
          </w:tcPr>
          <w:p>
            <w:pPr>
              <w:jc w:val="right"/>
            </w:pPr>
            <w:r>
              <w:rPr>
                <w:b/>
                <w:sz w:val="22"/>
              </w:rPr>
              <w:t xml:space="preserve">Total sin IVA</w:t>
            </w:r>
          </w:p>
        </w:tc>
        <w:tc>
          <w:tcPr>
            <w:tcW w:w="1500" w:type="pct"/>
            <w:vAlign w:val="center"/>
          </w:tcPr>
          <w:p>
            <w:pPr>
              <w:jc w:val="right"/>
            </w:pPr>
            <w:r>
              <w:rPr>
                <w:b/>
                <w:sz w:val="22"/>
              </w:rPr>
              <w:t xml:space="preserve">$ 10.006.736</w:t>
            </w:r>
          </w:p>
        </w:tc>
      </w:tr>
      <w:tr>
        <w:tc>
          <w:tcPr>
            <w:tcW w:w="3500" w:type="pct"/>
            <w:vAlign w:val="center"/>
          </w:tcPr>
          <w:p>
            <w:pPr>
              <w:jc w:val="right"/>
            </w:pPr>
            <w:r>
              <w:rPr>
                <w:color w:val="5A6B7A"/>
                <w:sz w:val="20"/>
              </w:rPr>
              <w:t xml:space="preserve">IVA 19 % (sujeto a régimen)</w:t>
            </w:r>
          </w:p>
        </w:tc>
        <w:tc>
          <w:tcPr>
            <w:tcW w:w="1500" w:type="pct"/>
            <w:vAlign w:val="center"/>
          </w:tcPr>
          <w:p>
            <w:pPr>
              <w:jc w:val="right"/>
            </w:pPr>
            <w:r>
              <w:rPr>
                <w:color w:val="5A6B7A"/>
                <w:sz w:val="20"/>
              </w:rPr>
              <w:t xml:space="preserve">$ 1.901.280</w:t>
            </w:r>
          </w:p>
        </w:tc>
      </w:tr>
      <w:tr>
        <w:tc>
          <w:tcPr>
            <w:tcW w:w="3500" w:type="pct"/>
            <w:shd w:val="clear" w:fill="EEF4F2"/>
            <w:vAlign w:val="center"/>
          </w:tcPr>
          <w:p>
            <w:pPr>
              <w:jc w:val="right"/>
            </w:pPr>
            <w:r>
              <w:rPr>
                <w:b/>
                <w:color w:val="0A6357"/>
                <w:sz w:val="24"/>
              </w:rPr>
              <w:t xml:space="preserve">TOTAL CON IVA</w:t>
            </w:r>
          </w:p>
        </w:tc>
        <w:tc>
          <w:tcPr>
            <w:tcW w:w="1500" w:type="pct"/>
            <w:shd w:val="clear" w:fill="EEF4F2"/>
            <w:vAlign w:val="center"/>
          </w:tcPr>
          <w:p>
            <w:pPr>
              <w:jc w:val="right"/>
            </w:pPr>
            <w:r>
              <w:rPr>
                <w:b/>
                <w:color w:val="0A6357"/>
                <w:sz w:val="24"/>
              </w:rPr>
              <w:t xml:space="preserve">$ 11.908.016</w:t>
            </w:r>
          </w:p>
        </w:tc>
      </w:tr>
    </w:tbl>
    <w:p>
      <w:pPr>
        <w:spacing w:after="60"/>
      </w:pPr>
    </w:p>
    <w:p>
      <w:pPr>
        <w:spacing w:before="260" w:after="100"/>
      </w:pPr>
      <w:r>
        <w:rPr>
          <w:b/>
          <w:caps/>
          <w:color w:val="0A6357"/>
          <w:sz w:val="26"/>
        </w:rPr>
        <w:t xml:space="preserve">Servicios complementarios</w:t>
      </w:r>
    </w:p>
    <w:p>
      <w:pPr>
        <w:spacing w:after="120"/>
      </w:pPr>
      <w:r>
        <w:rPr>
          <w:color w:val="5A6B7A"/>
          <w:sz w:val="18"/>
        </w:rPr>
        <w:t xml:space="preserve">No están incluidos en el total anterior. Son el trabajo que sostiene la coherencia y la calidad de los componentes cotizados; se presentan por separado para que la institución decida sobre ellos.</w:t>
      </w:r>
    </w:p>
    <w:tbl>
      <w:tblPr>
        <w:tblW w:w="5000" w:type="pct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D6DEE5"/>
          <w:insideV w:val="single" w:sz="4" w:space="0" w:color="D6DEE5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7750"/>
        <w:gridCol w:w="2448"/>
      </w:tblGrid>
      <w:tr>
        <w:trPr>
          <w:tblHeader/>
        </w:trPr>
        <w:tc>
          <w:tcPr>
            <w:tcW w:w="3800" w:type="pct"/>
            <w:shd w:val="clear" w:fill="EEF4F2"/>
            <w:vAlign w:val="center"/>
          </w:tcPr>
          <w:p>
            <w:r>
              <w:rPr>
                <w:b/>
                <w:caps/>
                <w:sz w:val="18"/>
              </w:rPr>
              <w:t xml:space="preserve">Servicio</w:t>
            </w:r>
          </w:p>
        </w:tc>
        <w:tc>
          <w:tcPr>
            <w:tcW w:w="1200" w:type="pct"/>
            <w:shd w:val="clear" w:fill="EEF4F2"/>
            <w:vAlign w:val="center"/>
          </w:tcPr>
          <w:p>
            <w:pPr>
              <w:jc w:val="right"/>
            </w:pPr>
            <w:r>
              <w:rPr>
                <w:b/>
                <w:caps/>
                <w:sz w:val="18"/>
              </w:rPr>
              <w:t xml:space="preserve">Valor</w:t>
            </w:r>
          </w:p>
        </w:tc>
      </w:tr>
      <w:tr>
        <w:tc>
          <w:tcPr>
            <w:tcW w:w="3800" w:type="pct"/>
            <w:vAlign w:val="center"/>
          </w:tcPr>
          <w:p>
            <w:r>
              <w:rPr>
                <w:b/>
                <w:sz w:val="18"/>
              </w:rPr>
              <w:t xml:space="preserve">Diseño curricular y arquitectura del curso</w:t>
            </w:r>
          </w:p>
        </w:tc>
        <w:tc>
          <w:tcPr>
            <w:tcW w:w="120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$ 1.371.112</w:t>
            </w:r>
          </w:p>
        </w:tc>
      </w:tr>
      <w:tr>
        <w:tc>
          <w:tcPr>
            <w:tcW w:w="3800" w:type="pct"/>
            <w:vAlign w:val="center"/>
          </w:tcPr>
          <w:p>
            <w:r>
              <w:rPr>
                <w:color w:val="5A6B7A"/>
                <w:sz w:val="16"/>
              </w:rPr>
              <w:t xml:space="preserve">Documento maestro en Word horizontal con la tabla semana por semana (eje, subtemas, objetivo, competencias, recursos, evidencia), bandas por parcial y recomendaciones de implementación.</w:t>
            </w:r>
          </w:p>
        </w:tc>
        <w:tc>
          <w:tcPr>
            <w:tcW w:w="1200" w:type="pct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800" w:type="pct"/>
            <w:vAlign w:val="center"/>
          </w:tcPr>
          <w:p>
            <w:r>
              <w:rPr>
                <w:b/>
                <w:sz w:val="18"/>
              </w:rPr>
              <w:t xml:space="preserve">Arquitectura y configuración del curso en Moodle</w:t>
            </w:r>
          </w:p>
        </w:tc>
        <w:tc>
          <w:tcPr>
            <w:tcW w:w="120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$ 427.977</w:t>
            </w:r>
          </w:p>
        </w:tc>
      </w:tr>
      <w:tr>
        <w:tc>
          <w:tcPr>
            <w:tcW w:w="3800" w:type="pct"/>
            <w:vAlign w:val="center"/>
          </w:tcPr>
          <w:p>
            <w:r>
              <w:rPr>
                <w:color w:val="5A6B7A"/>
                <w:sz w:val="16"/>
              </w:rPr>
              <w:t xml:space="preserve">Aula en Moodle estructurada, con libro de calificaciones configurado y probado con usuarios de prueba.</w:t>
            </w:r>
          </w:p>
        </w:tc>
        <w:tc>
          <w:tcPr>
            <w:tcW w:w="1200" w:type="pct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800" w:type="pct"/>
            <w:vAlign w:val="center"/>
          </w:tcPr>
          <w:p>
            <w:r>
              <w:rPr>
                <w:b/>
                <w:sz w:val="18"/>
              </w:rPr>
              <w:t xml:space="preserve">Auditoría de calidad final (5 niveles)</w:t>
            </w:r>
          </w:p>
        </w:tc>
        <w:tc>
          <w:tcPr>
            <w:tcW w:w="1200" w:type="pct"/>
            <w:vAlign w:val="center"/>
          </w:tcPr>
          <w:p>
            <w:pPr>
              <w:jc w:val="right"/>
            </w:pPr>
            <w:r>
              <w:rPr>
                <w:sz w:val="18"/>
              </w:rPr>
              <w:t xml:space="preserve">$ 586.487</w:t>
            </w:r>
          </w:p>
        </w:tc>
      </w:tr>
      <w:tr>
        <w:tc>
          <w:tcPr>
            <w:tcW w:w="3800" w:type="pct"/>
            <w:vAlign w:val="center"/>
          </w:tcPr>
          <w:p>
            <w:r>
              <w:rPr>
                <w:color w:val="5A6B7A"/>
                <w:sz w:val="16"/>
              </w:rPr>
              <w:t xml:space="preserve">Reporte de auditoría con checklist de los 5 niveles, hallazgos críticos, hallazgos menores y recomendaciones priorizadas.</w:t>
            </w:r>
          </w:p>
        </w:tc>
        <w:tc>
          <w:tcPr>
            <w:tcW w:w="1200" w:type="pct"/>
            <w:vAlign w:val="center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3800" w:type="pct"/>
            <w:vAlign w:val="center"/>
          </w:tcPr>
          <w:p>
            <w:pPr>
              <w:jc w:val="right"/>
            </w:pPr>
            <w:r>
              <w:rPr>
                <w:b/>
                <w:sz w:val="18"/>
              </w:rPr>
              <w:t xml:space="preserve">Subtotal servicios complementarios</w:t>
            </w:r>
          </w:p>
        </w:tc>
        <w:tc>
          <w:tcPr>
            <w:tcW w:w="1200" w:type="pct"/>
            <w:vAlign w:val="center"/>
          </w:tcPr>
          <w:p>
            <w:pPr>
              <w:jc w:val="right"/>
            </w:pPr>
            <w:r>
              <w:rPr>
                <w:b/>
                <w:color w:val="0A6357"/>
                <w:sz w:val="18"/>
              </w:rPr>
              <w:t xml:space="preserve">$ 2.385.576</w:t>
            </w:r>
          </w:p>
        </w:tc>
      </w:tr>
    </w:tbl>
    <w:p>
      <w:pPr>
        <w:spacing w:after="60"/>
      </w:pPr>
    </w:p>
    <w:p>
      <w:pPr>
        <w:spacing w:before="260" w:after="100"/>
      </w:pPr>
      <w:r>
        <w:rPr>
          <w:b/>
          <w:caps/>
          <w:color w:val="0A6357"/>
          <w:sz w:val="26"/>
        </w:rPr>
        <w:t xml:space="preserve">Cómo producimos</w:t>
      </w:r>
    </w:p>
    <w:p>
      <w:r>
        <w:rPr>
          <w:color w:val="5A6B7A"/>
          <w:sz w:val="20"/>
        </w:rPr>
        <w:t xml:space="preserve">Usamos inteligencia artificial para el borrador de las guías, el código HTML base y la estructura de los bancos de preguntas. Nada generado por IA llega a un estudiante sin revisión profesional: cada ejemplo de cada guía se resuelve a mano, cada ítem de cada quiz se responde verificando que tenga una única respuesta correcta y distractores plausibles, y cada paquete H5P y SCORM se prueba en Moodle comprobando que registre la nota en el libro de calificaciones.</w:t>
      </w:r>
    </w:p>
    <w:p>
      <w:pPr>
        <w:spacing w:after="160"/>
      </w:pPr>
      <w:r>
        <w:rPr>
          <w:color w:val="16222E"/>
          <w:sz w:val="20"/>
        </w:rPr>
        <w:t xml:space="preserve">En esta propuesta, 61,2 de las 85 horas (72 %) son criterio profesional humano. La proporción está desglosada recurso por recurso y la institución puede auditarla en cualquier momento.</w:t>
      </w:r>
    </w:p>
    <w:p>
      <w:pPr>
        <w:spacing w:before="260" w:after="100"/>
      </w:pPr>
      <w:r>
        <w:rPr>
          <w:b/>
          <w:caps/>
          <w:color w:val="0A6357"/>
          <w:sz w:val="26"/>
        </w:rPr>
        <w:t xml:space="preserve">Qué garantizamos</w:t>
      </w:r>
    </w:p>
    <w:p>
      <w:pPr>
        <w:spacing w:after="80"/>
        <w:ind w:left="220"/>
      </w:pPr>
      <w:r>
        <w:rPr>
          <w:b/>
          <w:color w:val="0A6357"/>
          <w:sz w:val="20"/>
        </w:rPr>
        <w:t xml:space="preserve">1.  </w:t>
      </w:r>
      <w:r>
        <w:rPr>
          <w:color w:val="5A6B7A"/>
          <w:sz w:val="20"/>
        </w:rPr>
        <w:t xml:space="preserve">Todo recurso se prueba en Moodle antes de entregarse: ningún H5P, SCORM, GIFT o HTML se entrega sin verificar que importa, funciona y registra calificación.</w:t>
      </w:r>
    </w:p>
    <w:p>
      <w:pPr>
        <w:spacing w:after="80"/>
        <w:ind w:left="220"/>
      </w:pPr>
      <w:r>
        <w:rPr>
          <w:b/>
          <w:color w:val="0A6357"/>
          <w:sz w:val="20"/>
        </w:rPr>
        <w:t xml:space="preserve">2.  </w:t>
      </w:r>
      <w:r>
        <w:rPr>
          <w:color w:val="5A6B7A"/>
          <w:sz w:val="20"/>
        </w:rPr>
        <w:t xml:space="preserve">Toda guía y todo taller están resueltos. Existe solucionario para el docente.</w:t>
      </w:r>
    </w:p>
    <w:p>
      <w:pPr>
        <w:spacing w:after="80"/>
        <w:ind w:left="220"/>
      </w:pPr>
      <w:r>
        <w:rPr>
          <w:b/>
          <w:color w:val="0A6357"/>
          <w:sz w:val="20"/>
        </w:rPr>
        <w:t xml:space="preserve">3.  </w:t>
      </w:r>
      <w:r>
        <w:rPr>
          <w:color w:val="5A6B7A"/>
          <w:sz w:val="20"/>
        </w:rPr>
        <w:t xml:space="preserve">Toda rúbrica es visible para el estudiante antes de la entrega.</w:t>
      </w:r>
    </w:p>
    <w:p>
      <w:pPr>
        <w:spacing w:after="80"/>
        <w:ind w:left="220"/>
      </w:pPr>
      <w:r>
        <w:rPr>
          <w:b/>
          <w:color w:val="0A6357"/>
          <w:sz w:val="20"/>
        </w:rPr>
        <w:t xml:space="preserve">4.  </w:t>
      </w:r>
      <w:r>
        <w:rPr>
          <w:color w:val="5A6B7A"/>
          <w:sz w:val="20"/>
        </w:rPr>
        <w:t xml:space="preserve">Auditoría de calidad de cinco niveles antes de publicar. Un hallazgo crítico bloquea la publicación.</w:t>
      </w:r>
    </w:p>
    <w:p>
      <w:pPr>
        <w:spacing w:after="80"/>
        <w:ind w:left="220"/>
      </w:pPr>
      <w:r>
        <w:rPr>
          <w:b/>
          <w:color w:val="0A6357"/>
          <w:sz w:val="20"/>
        </w:rPr>
        <w:t xml:space="preserve">5.  </w:t>
      </w:r>
      <w:r>
        <w:rPr>
          <w:color w:val="5A6B7A"/>
          <w:sz w:val="20"/>
        </w:rPr>
        <w:t xml:space="preserve">Corrección sin costo de cualquier error de contenido detectado durante los meses de soporte contratados.</w:t>
      </w:r>
    </w:p>
    <w:p>
      <w:pPr>
        <w:spacing w:after="80"/>
        <w:ind w:left="220"/>
      </w:pPr>
      <w:r>
        <w:rPr>
          <w:b/>
          <w:color w:val="0A6357"/>
          <w:sz w:val="20"/>
        </w:rPr>
        <w:t xml:space="preserve">6.  </w:t>
      </w:r>
      <w:r>
        <w:rPr>
          <w:color w:val="5A6B7A"/>
          <w:sz w:val="20"/>
        </w:rPr>
        <w:t xml:space="preserve">La propiedad intelectual de todo el material producido es de la institución contratante.</w:t>
      </w:r>
    </w:p>
    <w:p>
      <w:pPr>
        <w:spacing w:before="260" w:after="100"/>
      </w:pPr>
      <w:r>
        <w:rPr>
          <w:b/>
          <w:caps/>
          <w:color w:val="0A6357"/>
          <w:sz w:val="26"/>
        </w:rPr>
        <w:t xml:space="preserve">Condiciones</w:t>
      </w:r>
    </w:p>
    <w:p>
      <w:pPr>
        <w:spacing w:after="60"/>
        <w:ind w:left="220"/>
      </w:pPr>
      <w:r>
        <w:rPr>
          <w:color w:val="5A6B7A"/>
          <w:sz w:val="20"/>
        </w:rPr>
        <w:t xml:space="preserve">•  Valores en pesos colombianos. El régimen de IVA se confirma con la oficina financiera de la institución; los servicios de educación pueden estar excluidos según el artículo 476 del Estatuto Tributario.</w:t>
      </w:r>
    </w:p>
    <w:p>
      <w:pPr>
        <w:spacing w:after="60"/>
        <w:ind w:left="220"/>
      </w:pPr>
      <w:r>
        <w:rPr>
          <w:color w:val="5A6B7A"/>
          <w:sz w:val="20"/>
        </w:rPr>
        <w:t xml:space="preserve">•  Validez de esta propuesta: hasta el 19 de octubre de 2026.</w:t>
      </w:r>
    </w:p>
    <w:p>
      <w:pPr>
        <w:spacing w:after="60"/>
        <w:ind w:left="220"/>
      </w:pPr>
      <w:r>
        <w:rPr>
          <w:color w:val="5A6B7A"/>
          <w:sz w:val="20"/>
        </w:rPr>
        <w:t xml:space="preserve">•  No incluye hosting, licencias de Moodle ni honorarios docentes.</w:t>
      </w:r>
    </w:p>
    <w:p>
      <w:pPr>
        <w:spacing w:after="60"/>
        <w:ind w:left="220"/>
      </w:pPr>
      <w:r>
        <w:rPr>
          <w:color w:val="5A6B7A"/>
          <w:sz w:val="20"/>
        </w:rPr>
        <w:t xml:space="preserve">•  Forma de pago sugerida: 40 % al inicio, 30 % contra entrega del segundo parcial, 30 % contra reporte de auditoría final.</w:t>
      </w:r>
    </w:p>
    <w:p>
      <w:pPr>
        <w:spacing w:after="60"/>
        <w:ind w:left="220"/>
      </w:pPr>
      <w:r>
        <w:rPr>
          <w:color w:val="5A6B7A"/>
          <w:sz w:val="20"/>
        </w:rPr>
        <w:t xml:space="preserve">•  El diseño curricular se aprueba como hito independiente antes de iniciar la producción.</w:t>
      </w:r>
    </w:p>
    <w:p>
      <w:pPr>
        <w:spacing w:after="240"/>
      </w:pPr>
    </w:p>
    <w:p>
      <w:pPr>
        <w:jc w:val="center"/>
      </w:pPr>
      <w:r>
        <w:rPr>
          <w:color w:val="5A6B7A"/>
          <w:sz w:val="16"/>
        </w:rPr>
        <w:t xml:space="preserve">Desarrollos AP · Diseño y producción de cursos universitarios virtuales</w:t>
      </w:r>
    </w:p>
    <w:sectPr>
      <w:pgSz w:w="12240" w:h="15840"/>
      <w:pgMar w:top="1134" w:right="1021" w:bottom="1134" w:left="1021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CO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ulo">
    <w:name w:val="Title"/>
    <w:basedOn w:val="Normal"/>
    <w:qFormat/>
    <w:pPr>
      <w:spacing w:after="80"/>
    </w:pPr>
    <w:rPr>
      <w:b/>
      <w:sz w:val="5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Propuesta AP-2026-006</dc:title>
  <dc:creator>Desarrollos AP</dc:creator>
  <cp:lastModifiedBy>Desarrollos AP</cp:lastModifiedBy>
  <dcterms:created xsi:type="dcterms:W3CDTF">2026-09-19T00:58:44Z</dcterms:created>
  <dcterms:modified xsi:type="dcterms:W3CDTF">2026-09-19T00:58:44Z</dcterms:modified>
</cp:coreProperties>
</file>