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200"/>
      </w:tblGrid>
      <w:tr>
        <w:tc>
          <w:tcPr>
            <w:tcW w:type="dxa" w:w="10200"/>
            <w:shd w:val="clear" w:color="auto" w:fill="0B2545"/>
            <w:tcMar>
              <w:top w:w="240" w:type="dxa"/>
              <w:bottom w:w="240" w:type="dxa"/>
              <w:start w:w="260" w:type="dxa"/>
              <w:end w:w="260" w:type="dxa"/>
            </w:tcMar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C9A24B"/>
                <w:sz w:val="20"/>
              </w:rPr>
              <w:t>OFFICIALLY · INVESTED — ANYA MEHRA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Strategy Reset v2</w:t>
            </w:r>
          </w:p>
          <w:p>
            <w:pPr>
              <w:spacing w:after="160"/>
            </w:pPr>
            <w:r>
              <w:rPr>
                <w:rFonts w:ascii="Calibri" w:hAnsi="Calibri"/>
                <w:b/>
                <w:i w:val="0"/>
                <w:color w:val="C9A24B"/>
                <w:sz w:val="26"/>
              </w:rPr>
              <w:t>New direction, the investment to run it, and the milestone close-out</w:t>
            </w:r>
          </w:p>
          <w:p>
            <w:r>
              <w:rPr>
                <w:rFonts w:ascii="Calibri" w:hAnsi="Calibri"/>
                <w:b w:val="0"/>
                <w:i w:val="0"/>
                <w:color w:val="CDD8E6"/>
                <w:sz w:val="18"/>
              </w:rPr>
              <w:t>Prepared for the client call  ·  17 June 2026  ·  Covers: Milestone 1 release · the new content engine · production &amp; ad budget · restructured performance bonus · payment options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 w:val="0"/>
          <w:i w:val="0"/>
          <w:color w:val="33455F"/>
          <w:sz w:val="23"/>
        </w:rPr>
        <w:t>The first 15 days are delivered and the system is built. They didn't break through on reach — so this document does two things: it closes out the completed milestone, and lays out a sharper, evidence-led engine for the next cycle, with a clear, fixed investment so we both know exactly what we're putting in before we set off.</w:t>
      </w:r>
    </w:p>
    <w:p>
      <w:pPr>
        <w:spacing w:before="320" w:after="80"/>
        <w:pBdr>
          <w:bottom w:val="single" w:sz="12" w:space="3" w:color="C9A24B"/>
        </w:pBdr>
      </w:pPr>
      <w:r>
        <w:rPr>
          <w:rFonts w:ascii="Calibri" w:hAnsi="Calibri"/>
          <w:b/>
          <w:i w:val="0"/>
          <w:color w:val="0B2545"/>
          <w:sz w:val="34"/>
        </w:rPr>
        <w:t>1 · MILESTONE 1 — FIRST 15 DAYS (DELIVERED)</w:t>
      </w:r>
    </w:p>
    <w:p>
      <w:pPr>
        <w:spacing w:after="120"/>
      </w:pPr>
      <w:r>
        <w:rPr>
          <w:rFonts w:ascii="Calibri" w:hAnsi="Calibri"/>
          <w:b w:val="0"/>
          <w:i w:val="0"/>
          <w:color w:val="11223A"/>
          <w:sz w:val="22"/>
        </w:rPr>
        <w:t>The first 15-day content block — scripts, AI avatar production, platform-ready edits and scheduling across Instagram, TikTok and YouTube — is complete and delivered. This is contracted, finished work and is independent of the new direction below.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00"/>
        <w:gridCol w:w="5100"/>
      </w:tblGrid>
      <w:tr>
        <w:tc>
          <w:tcPr>
            <w:tcW w:type="dxa" w:w="806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0B254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Deliverable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0B2545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Amount</w:t>
            </w:r>
          </w:p>
        </w:tc>
      </w:tr>
      <w:tr>
        <w:tc>
          <w:tcPr>
            <w:tcW w:type="dxa" w:w="806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First 15 days — full content block, produced &amp; published (completed)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$750.00</w:t>
            </w:r>
          </w:p>
        </w:tc>
      </w:tr>
      <w:tr>
        <w:tc>
          <w:tcPr>
            <w:tcW w:type="dxa" w:w="806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C9A24B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Release to close Milestone 1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C9A24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$750.00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/>
          <w:color w:val="6B7990"/>
          <w:sz w:val="17"/>
        </w:rPr>
        <w:t>Recommended action: release Milestone 1 today. The new cycle starts on a clean slate once this is settled.</w:t>
      </w:r>
    </w:p>
    <w:p>
      <w:pPr>
        <w:spacing w:before="320" w:after="80"/>
        <w:pBdr>
          <w:bottom w:val="single" w:sz="12" w:space="3" w:color="C9A24B"/>
        </w:pBdr>
      </w:pPr>
      <w:r>
        <w:rPr>
          <w:rFonts w:ascii="Calibri" w:hAnsi="Calibri"/>
          <w:b/>
          <w:i w:val="0"/>
          <w:color w:val="0B2545"/>
          <w:sz w:val="34"/>
        </w:rPr>
        <w:t>2 · WHY MONTH ONE DIDN'T BREAK THROUGH</w:t>
      </w:r>
    </w:p>
    <w:p>
      <w:pPr>
        <w:spacing w:after="120"/>
      </w:pPr>
      <w:r>
        <w:rPr>
          <w:rFonts w:ascii="Calibri" w:hAnsi="Calibri"/>
          <w:b w:val="0"/>
          <w:i w:val="0"/>
          <w:color w:val="11223A"/>
          <w:sz w:val="22"/>
        </w:rPr>
        <w:t>An honest read — so the fix is targeted, not guesswork: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1223A"/>
          <w:sz w:val="22"/>
        </w:rPr>
        <w:t xml:space="preserve">The hook lost the first 3 seconds. </w:t>
      </w:r>
      <w:r>
        <w:rPr>
          <w:rFonts w:ascii="Calibri" w:hAnsi="Calibri"/>
          <w:b w:val="0"/>
          <w:i w:val="0"/>
          <w:color w:val="11223A"/>
          <w:sz w:val="22"/>
        </w:rPr>
        <w:t>Static opens get scrolled past before the message lands.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1223A"/>
          <w:sz w:val="22"/>
        </w:rPr>
        <w:t xml:space="preserve">We led with polish, not friction. </w:t>
      </w:r>
      <w:r>
        <w:rPr>
          <w:rFonts w:ascii="Calibri" w:hAnsi="Calibri"/>
          <w:b w:val="0"/>
          <w:i w:val="0"/>
          <w:color w:val="11223A"/>
          <w:sz w:val="22"/>
        </w:rPr>
        <w:t>The feed rewards a sharp, contrarian opening line, not a calm intro.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1223A"/>
          <w:sz w:val="22"/>
        </w:rPr>
        <w:t xml:space="preserve">No proven structure underneath the posts. </w:t>
      </w:r>
      <w:r>
        <w:rPr>
          <w:rFonts w:ascii="Calibri" w:hAnsi="Calibri"/>
          <w:b w:val="0"/>
          <w:i w:val="0"/>
          <w:color w:val="11223A"/>
          <w:sz w:val="22"/>
        </w:rPr>
        <w:t>Good content, but not shaped like what already wins in this niche.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1223A"/>
          <w:sz w:val="22"/>
        </w:rPr>
        <w:t xml:space="preserve">No paid reach. </w:t>
      </w:r>
      <w:r>
        <w:rPr>
          <w:rFonts w:ascii="Calibri" w:hAnsi="Calibri"/>
          <w:b w:val="0"/>
          <w:i w:val="0"/>
          <w:color w:val="11223A"/>
          <w:sz w:val="22"/>
        </w:rPr>
        <w:t>Organic-only on cold accounts barely distributes. Nothing was filling the funnel.</w:t>
      </w:r>
    </w:p>
    <w:p>
      <w:pPr>
        <w:spacing w:before="320" w:after="80"/>
        <w:pBdr>
          <w:bottom w:val="single" w:sz="12" w:space="3" w:color="C9A24B"/>
        </w:pBdr>
      </w:pPr>
      <w:r>
        <w:rPr>
          <w:rFonts w:ascii="Calibri" w:hAnsi="Calibri"/>
          <w:b/>
          <w:i w:val="0"/>
          <w:color w:val="0B2545"/>
          <w:sz w:val="34"/>
        </w:rPr>
        <w:t>3 · THE NEW DIRECTION — MODEL WHAT ALREADY WINS, THEN PUT SPEND BEHIND IT</w:t>
      </w:r>
    </w:p>
    <w:p>
      <w:pPr>
        <w:spacing w:before="160" w:after="40"/>
      </w:pPr>
      <w:r>
        <w:rPr>
          <w:rFonts w:ascii="Calibri" w:hAnsi="Calibri"/>
          <w:b/>
          <w:i w:val="0"/>
          <w:color w:val="1C3559"/>
          <w:sz w:val="24"/>
        </w:rPr>
        <w:t>Step 1 — Reverse-engineer proven winners</w:t>
      </w:r>
    </w:p>
    <w:p>
      <w:pPr>
        <w:spacing w:after="120"/>
      </w:pPr>
      <w:r>
        <w:rPr>
          <w:rFonts w:ascii="Calibri" w:hAnsi="Calibri"/>
          <w:b w:val="0"/>
          <w:i w:val="0"/>
          <w:color w:val="11223A"/>
          <w:sz w:val="22"/>
        </w:rPr>
        <w:t>We study posts in the business-acquisition / “boring wealth” niche that have already done millions of views, and break down the structure that made them work — hook, pacing, on-screen text, the emotional turn, the call to action. We model that proven structure, then write original Anya content into it. The framework is borrowed; the script, voice and brand stay 100% ours.</w:t>
      </w:r>
    </w:p>
    <w:p>
      <w:pPr>
        <w:spacing w:before="160" w:after="40"/>
      </w:pPr>
      <w:r>
        <w:rPr>
          <w:rFonts w:ascii="Calibri" w:hAnsi="Calibri"/>
          <w:b/>
          <w:i w:val="0"/>
          <w:color w:val="1C3559"/>
          <w:sz w:val="24"/>
        </w:rPr>
        <w:t>Step 2 — Build for all three platforms</w:t>
      </w:r>
    </w:p>
    <w:p>
      <w:pPr>
        <w:spacing w:after="120"/>
      </w:pPr>
      <w:r>
        <w:rPr>
          <w:rFonts w:ascii="Calibri" w:hAnsi="Calibri"/>
          <w:b w:val="0"/>
          <w:i w:val="0"/>
          <w:color w:val="11223A"/>
          <w:sz w:val="22"/>
        </w:rPr>
        <w:t>Each idea is produced as native content for YouTube, Instagram and TikTok — correct format, length and end-card per platform — using the AI avatar + motion stack. One proven structure becomes three platform-native assets: more surface area for the same production effort.</w:t>
      </w:r>
    </w:p>
    <w:p>
      <w:pPr>
        <w:spacing w:before="160" w:after="40"/>
      </w:pPr>
      <w:r>
        <w:rPr>
          <w:rFonts w:ascii="Calibri" w:hAnsi="Calibri"/>
          <w:b/>
          <w:i w:val="0"/>
          <w:color w:val="1C3559"/>
          <w:sz w:val="24"/>
        </w:rPr>
        <w:t>Step 3 — Paid boost: the reach lever (7-day push)</w:t>
      </w:r>
    </w:p>
    <w:p>
      <w:pPr>
        <w:spacing w:after="120"/>
      </w:pPr>
      <w:r>
        <w:rPr>
          <w:rFonts w:ascii="Calibri" w:hAnsi="Calibri"/>
          <w:b w:val="0"/>
          <w:i w:val="0"/>
          <w:color w:val="11223A"/>
          <w:sz w:val="22"/>
        </w:rPr>
        <w:t>Once a post is live and performing, we put paid spend behind the best ones for a full week across all three platforms. This is what gets Anya in front of large, cold audiences fast — the difference between a good post nobody sees and a good post that compounds followers and signups. Organic earns the right; paid pours fuel on it.</w:t>
      </w:r>
    </w:p>
    <w:p>
      <w:pPr>
        <w:spacing w:before="320" w:after="80"/>
        <w:pBdr>
          <w:bottom w:val="single" w:sz="12" w:space="3" w:color="C9A24B"/>
        </w:pBdr>
      </w:pPr>
      <w:r>
        <w:rPr>
          <w:rFonts w:ascii="Calibri" w:hAnsi="Calibri"/>
          <w:b/>
          <w:i w:val="0"/>
          <w:color w:val="0B2545"/>
          <w:sz w:val="34"/>
        </w:rPr>
        <w:t>4 · PRODUCTION &amp; AD BUDGET — EVERYTHING IT TAKES TO RUN ONE CYCLE</w:t>
      </w:r>
    </w:p>
    <w:p>
      <w:pPr>
        <w:spacing w:after="120"/>
      </w:pPr>
      <w:r>
        <w:rPr>
          <w:rFonts w:ascii="Calibri" w:hAnsi="Calibri"/>
          <w:b w:val="0"/>
          <w:i w:val="0"/>
          <w:color w:val="11223A"/>
          <w:sz w:val="22"/>
        </w:rPr>
        <w:t>Full transparency on what the engine costs before we start. Two parts: the monthly tool stack that produces the content, and the one-week paid push that distributes it.</w:t>
      </w:r>
    </w:p>
    <w:p>
      <w:pPr>
        <w:spacing w:before="160" w:after="40"/>
      </w:pPr>
      <w:r>
        <w:rPr>
          <w:rFonts w:ascii="Calibri" w:hAnsi="Calibri"/>
          <w:b/>
          <w:i w:val="0"/>
          <w:color w:val="1C3559"/>
          <w:sz w:val="24"/>
        </w:rPr>
        <w:t>A · Monthly tool stack (production)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0B254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Tool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0B254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does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0B254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Plan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0B2545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Monthly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HeyGen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AI avatar video + Seedance motion (the talking, moving Anya)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Pro / Scale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$99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Higgsfield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Cinematic B-roll &amp; motion shots for the first 3 seconds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Ultimate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$49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Claude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Scripts, contrarian hooks, captions, structure breakdowns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Pro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$20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Metricool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Scheduling + analytics across all 3 platforms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Advanced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$22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ElevenLabs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Voiceover / narration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Creator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$22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CapCut Pro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Editing, captions, end-cards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Pro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$10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Canva Pro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Carousels, covers, thumbnails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Pro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$13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C9A24B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Tool stack subtotal — per month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C9A24B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</w:r>
          </w:p>
        </w:tc>
        <w:tc>
          <w:tcPr>
            <w:tcW w:type="dxa" w:w="144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C9A24B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C9A24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$235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i w:val="0"/>
          <w:color w:val="1C3559"/>
          <w:sz w:val="24"/>
        </w:rPr>
        <w:t>B · Paid boost (7-day push across 3 platforms)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0B254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Platform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0B254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Format boosted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0B2545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 day</w:t>
            </w:r>
          </w:p>
        </w:tc>
        <w:tc>
          <w:tcPr>
            <w:tcW w:type="dxa" w:w="86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0B2545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Days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0B2545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Total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Instagram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Reels + carousels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$30</w:t>
            </w:r>
          </w:p>
        </w:tc>
        <w:tc>
          <w:tcPr>
            <w:tcW w:type="dxa" w:w="86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7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$210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TikTok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Spark Ads / Promote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$30</w:t>
            </w:r>
          </w:p>
        </w:tc>
        <w:tc>
          <w:tcPr>
            <w:tcW w:type="dxa" w:w="86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7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$210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YouTube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Shorts / in-feed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$25</w:t>
            </w:r>
          </w:p>
        </w:tc>
        <w:tc>
          <w:tcPr>
            <w:tcW w:type="dxa" w:w="86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7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$175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C9A24B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Paid boost subtotal — recommended (Standard) tier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C9A24B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</w:r>
          </w:p>
        </w:tc>
        <w:tc>
          <w:tcPr>
            <w:tcW w:type="dxa" w:w="115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C9A24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C9A24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C9A24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$595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/>
          <w:color w:val="6B7990"/>
          <w:sz w:val="17"/>
        </w:rPr>
        <w:t>Boost is adjustable:  Lean ≈ $315/week (~$15/day each)  ·  Standard (recommended) ≈ $595/week  ·  Aggressive ≈ $1,050/week (~$50/day each). Standard is the level that reliably moves follower and signup numbers in a 7-day window.</w:t>
      </w:r>
    </w:p>
    <w:p>
      <w:pPr>
        <w:spacing w:before="160" w:after="40"/>
      </w:pPr>
      <w:r>
        <w:rPr>
          <w:rFonts w:ascii="Calibri" w:hAnsi="Calibri"/>
          <w:b/>
          <w:i w:val="0"/>
          <w:color w:val="1C3559"/>
          <w:sz w:val="24"/>
        </w:rPr>
        <w:t>C · One-cycle total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00"/>
        <w:gridCol w:w="5100"/>
      </w:tblGrid>
      <w:tr>
        <w:tc>
          <w:tcPr>
            <w:tcW w:type="dxa" w:w="806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0B254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Component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0B2545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Amount</w:t>
            </w:r>
          </w:p>
        </w:tc>
      </w:tr>
      <w:tr>
        <w:tc>
          <w:tcPr>
            <w:tcW w:type="dxa" w:w="806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Monthly tool stack (production)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$235</w:t>
            </w:r>
          </w:p>
        </w:tc>
      </w:tr>
      <w:tr>
        <w:tc>
          <w:tcPr>
            <w:tcW w:type="dxa" w:w="806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Paid boost — 7-day push (Standard)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$595</w:t>
            </w:r>
          </w:p>
        </w:tc>
      </w:tr>
      <w:tr>
        <w:tc>
          <w:tcPr>
            <w:tcW w:type="dxa" w:w="806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Contingency buffer (~10% — failed renders, platform ad fees, re-exports)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$85</w:t>
            </w:r>
          </w:p>
        </w:tc>
      </w:tr>
      <w:tr>
        <w:tc>
          <w:tcPr>
            <w:tcW w:type="dxa" w:w="806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C9A24B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Production &amp; ad budget — one cycle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C9A24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$915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/>
          <w:color w:val="6B7990"/>
          <w:sz w:val="17"/>
        </w:rPr>
        <w:t>This is the project's running cost, separate from the Milestone 1 release. Any tools already owned can be deducted directly.</w:t>
      </w:r>
    </w:p>
    <w:p>
      <w:pPr>
        <w:spacing w:before="320" w:after="80"/>
        <w:pBdr>
          <w:bottom w:val="single" w:sz="12" w:space="3" w:color="C9A24B"/>
        </w:pBdr>
      </w:pPr>
      <w:r>
        <w:rPr>
          <w:rFonts w:ascii="Calibri" w:hAnsi="Calibri"/>
          <w:b/>
          <w:i w:val="0"/>
          <w:color w:val="0B2545"/>
          <w:sz w:val="34"/>
        </w:rPr>
        <w:t>5 · RESTRUCTURED PERFORMANCE BONUS — TIED TO WHAT WE CONTROL</w:t>
      </w:r>
    </w:p>
    <w:p>
      <w:pPr>
        <w:spacing w:after="120"/>
      </w:pPr>
      <w:r>
        <w:rPr>
          <w:rFonts w:ascii="Calibri" w:hAnsi="Calibri"/>
          <w:b w:val="0"/>
          <w:i w:val="0"/>
          <w:color w:val="11223A"/>
          <w:sz w:val="22"/>
        </w:rPr>
        <w:t>The original bonus — $500 for the first 40 paid signups — rewards an outcome that sits past our handoff. Whether a warm lead converts to a paid challenge depends on the sales page, the price and the follow-up — none of which we run. So we're proposing to re-tie the same reward to the metric we do own and drive directly:</w:t>
      </w:r>
    </w:p>
    <w:p>
      <w:pPr>
        <w:spacing w:before="160" w:after="40"/>
      </w:pPr>
      <w:r>
        <w:rPr>
          <w:rFonts w:ascii="Calibri" w:hAnsi="Calibri"/>
          <w:b/>
          <w:i w:val="0"/>
          <w:color w:val="1C3559"/>
          <w:sz w:val="24"/>
        </w:rPr>
        <w:t>New bonus: paid on free-community signups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489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0B254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Structure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0B254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Rate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0B2545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Target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0B2545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Bonus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Per verified member into the free community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$5 / signup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100 members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$500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C9A24B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Same budget as before — now tied to a number we can move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C9A24B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</w:r>
          </w:p>
        </w:tc>
        <w:tc>
          <w:tcPr>
            <w:tcW w:type="dxa" w:w="187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C9A24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</w:r>
          </w:p>
        </w:tc>
        <w:tc>
          <w:tcPr>
            <w:tcW w:type="dxa" w:w="129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C9A24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$500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color w:val="11223A"/>
          <w:sz w:val="22"/>
        </w:rPr>
        <w:t>Why this is better for you: getting people into the free community is exactly the job our content does — so the incentive lines up with the work, and it builds you an owned audience you keep marketing to for free. It's fully measurable, fully attributable, and scalable on your call: if you want more momentum, we lift the target (e.g. 250 members → $1,000) at the same per-signup rate.</w:t>
      </w:r>
    </w:p>
    <w:p>
      <w:pPr>
        <w:spacing w:before="320" w:after="80"/>
        <w:pBdr>
          <w:bottom w:val="single" w:sz="12" w:space="3" w:color="C9A24B"/>
        </w:pBdr>
      </w:pPr>
      <w:r>
        <w:rPr>
          <w:rFonts w:ascii="Calibri" w:hAnsi="Calibri"/>
          <w:b/>
          <w:i w:val="0"/>
          <w:color w:val="0B2545"/>
          <w:sz w:val="34"/>
        </w:rPr>
        <w:t>6 · THE 10-DAY TEST &amp; DECISION</w:t>
      </w:r>
    </w:p>
    <w:p>
      <w:pPr>
        <w:spacing w:after="120"/>
      </w:pPr>
      <w:r>
        <w:rPr>
          <w:rFonts w:ascii="Calibri" w:hAnsi="Calibri"/>
          <w:b w:val="0"/>
          <w:i w:val="0"/>
          <w:color w:val="11223A"/>
          <w:sz w:val="22"/>
        </w:rPr>
        <w:t>We run the new engine on 10 scripts over 10 days, with the 7-day paid push behind the best performers. At the end we read the numbers together — reach, follower growth, and free-community signups — and decide whether to scale, adjust, or stop. No open-ended commitment; a clear checkpoint.</w:t>
      </w:r>
    </w:p>
    <w:p>
      <w:pPr>
        <w:spacing w:before="320" w:after="80"/>
        <w:pBdr>
          <w:bottom w:val="single" w:sz="12" w:space="3" w:color="C9A24B"/>
        </w:pBdr>
      </w:pPr>
      <w:r>
        <w:rPr>
          <w:rFonts w:ascii="Calibri" w:hAnsi="Calibri"/>
          <w:b/>
          <w:i w:val="0"/>
          <w:color w:val="0B2545"/>
          <w:sz w:val="34"/>
        </w:rPr>
        <w:t>7 · WHAT WE’RE ASKING FOR TODAY &amp; HOW TO FUND 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400"/>
        <w:gridCol w:w="3400"/>
        <w:gridCol w:w="3400"/>
      </w:tblGrid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0B254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748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0B254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0B2545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Amount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1</w:t>
            </w:r>
          </w:p>
        </w:tc>
        <w:tc>
          <w:tcPr>
            <w:tcW w:type="dxa" w:w="748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Milestone 1 — first 15 days (delivered)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$750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2</w:t>
            </w:r>
          </w:p>
        </w:tc>
        <w:tc>
          <w:tcPr>
            <w:tcW w:type="dxa" w:w="748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Production &amp; ad budget — one cycle (tools + 7-day boost)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$915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3</w:t>
            </w:r>
          </w:p>
        </w:tc>
        <w:tc>
          <w:tcPr>
            <w:tcW w:type="dxa" w:w="748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Performance bonus — paid on free-community signups (on results)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$500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/>
          <w:color w:val="6B7990"/>
          <w:sz w:val="17"/>
        </w:rPr>
        <w:t>Item 3 is paid only on delivered signups. Items 1 &amp; 2 are what we need to close out and set off.</w:t>
      </w:r>
    </w:p>
    <w:p>
      <w:pPr>
        <w:spacing w:before="160" w:after="40"/>
      </w:pPr>
      <w:r>
        <w:rPr>
          <w:rFonts w:ascii="Calibri" w:hAnsi="Calibri"/>
          <w:b/>
          <w:i w:val="0"/>
          <w:color w:val="1C3559"/>
          <w:sz w:val="24"/>
        </w:rPr>
        <w:t>Two ways to pay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00"/>
        <w:gridCol w:w="5100"/>
      </w:tblGrid>
      <w:tr>
        <w:tc>
          <w:tcPr>
            <w:tcW w:type="dxa" w:w="504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Option A — Release via milestone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Option B — Direct transfer (fastest)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✓  Funds settle in ~7 days</w:t>
              <w:br/>
              <w:t>✓  Stays inside the platform’s protection for both sides</w:t>
              <w:br/>
              <w:br/>
              <w:t>Best if you’d rather keep everything on the existing milestone rails.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✓  Sent to my personal US account</w:t>
              <w:br/>
              <w:t>✓  Clears in ~2 days — we start almost immediately</w:t>
              <w:br/>
              <w:br/>
              <w:t>Best if you want the new cycle moving this week. Off-platform, so it’s a direct trust arrangement between us.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/>
          <w:color w:val="6B7990"/>
          <w:sz w:val="17"/>
        </w:rPr>
        <w:t>Either route works on my end — it's purely a question of how fast you want the next cycle to start.</w:t>
      </w:r>
    </w:p>
    <w:p>
      <w:pPr>
        <w:spacing w:before="280"/>
        <w:pBdr>
          <w:top w:val="single" w:sz="6" w:space="4" w:color="E2E8F1"/>
        </w:pBdr>
      </w:pPr>
      <w:r>
        <w:rPr>
          <w:rFonts w:ascii="Calibri" w:hAnsi="Calibri"/>
          <w:b w:val="0"/>
          <w:i/>
          <w:color w:val="6B7990"/>
          <w:sz w:val="16"/>
        </w:rPr>
        <w:t>Officially · Invested — Anya Mehra  |  Strategy Reset v2  |  Prepared 17 June 2026. All figures are estimates for one test cycle and adjustable on the call. No income or results are guaranteed; projections are honest planning numbers, not promises.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