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200"/>
      </w:tblGrid>
      <w:tr>
        <w:tc>
          <w:tcPr>
            <w:tcW w:type="dxa" w:w="10200"/>
            <w:shd w:val="clear" w:color="auto" w:fill="0B2545"/>
            <w:tcMar>
              <w:top w:w="240" w:type="dxa"/>
              <w:bottom w:w="240" w:type="dxa"/>
              <w:start w:w="260" w:type="dxa"/>
              <w:end w:w="260" w:type="dxa"/>
            </w:tcMar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C9A24B"/>
                <w:sz w:val="20"/>
              </w:rPr>
              <w:t>OFFICIALLY · INVESTED — ANYA MEHRA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FFFFFF"/>
                <w:sz w:val="60"/>
              </w:rPr>
              <w:t>Strategy Reset v2</w:t>
            </w:r>
          </w:p>
          <w:p>
            <w:pPr>
              <w:spacing w:after="160"/>
            </w:pPr>
            <w:r>
              <w:rPr>
                <w:rFonts w:ascii="Calibri" w:hAnsi="Calibri"/>
                <w:b/>
                <w:i w:val="0"/>
                <w:color w:val="C9A24B"/>
                <w:sz w:val="26"/>
              </w:rPr>
              <w:t>New direction, the investment to run it, and the milestone close-out</w:t>
            </w:r>
          </w:p>
          <w:p>
            <w:r>
              <w:rPr>
                <w:rFonts w:ascii="Calibri" w:hAnsi="Calibri"/>
                <w:b w:val="0"/>
                <w:i w:val="0"/>
                <w:color w:val="CDD8E6"/>
                <w:sz w:val="18"/>
              </w:rPr>
              <w:t>Prepared for the client call  ·  17 June 2026  ·  Covers: Milestone 1 release · the new content engine · production &amp; ad budget · restructured performance bonus · payment options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 w:val="0"/>
          <w:color w:val="33455F"/>
          <w:sz w:val="23"/>
        </w:rPr>
        <w:t>The first 15 days are delivered and the system is built. They didn't break through on reach — so this document does two things: it closes out the completed milestone, and lays out a sharper, evidence-led engine for the next cycle, with a clear, fixed investment so we both know exactly what we're putting in before we set off.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34"/>
        </w:rPr>
        <w:t>1 · MILESTONE 1 — FIRST 15 DAYS (DELIVERED)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The first 15-day content block — scripts, AI avatar production, platform-ready edits and scheduling across Instagram, TikTok and YouTube — is complete and delivered. This is contracted, finished work and is independent of the new direction below.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0"/>
        <w:gridCol w:w="5100"/>
      </w:tblGrid>
      <w:tr>
        <w:tc>
          <w:tcPr>
            <w:tcW w:type="dxa" w:w="80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Deliverable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80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First 15 days — full content block, produced &amp; published (completed)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$750.00</w:t>
            </w:r>
          </w:p>
        </w:tc>
      </w:tr>
      <w:tr>
        <w:tc>
          <w:tcPr>
            <w:tcW w:type="dxa" w:w="80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Release to close Milestone 1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$750.00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/>
          <w:color w:val="6B7990"/>
          <w:sz w:val="17"/>
        </w:rPr>
        <w:t>Recommended action: release Milestone 1 today. The new cycle starts on a clean slate once this is settled.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34"/>
        </w:rPr>
        <w:t>2 · WHY MONTH ONE DIDN'T BREAK THROUGH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An honest read — so the fix is targeted, not guesswork: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The hook lost the first 3 seconds. </w:t>
      </w:r>
      <w:r>
        <w:rPr>
          <w:rFonts w:ascii="Calibri" w:hAnsi="Calibri"/>
          <w:b w:val="0"/>
          <w:i w:val="0"/>
          <w:color w:val="11223A"/>
          <w:sz w:val="22"/>
        </w:rPr>
        <w:t>Static opens get scrolled past before the message lands.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We led with polish, not friction. </w:t>
      </w:r>
      <w:r>
        <w:rPr>
          <w:rFonts w:ascii="Calibri" w:hAnsi="Calibri"/>
          <w:b w:val="0"/>
          <w:i w:val="0"/>
          <w:color w:val="11223A"/>
          <w:sz w:val="22"/>
        </w:rPr>
        <w:t>The feed rewards a sharp, contrarian opening line, not a calm intro.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No proven structure underneath the posts. </w:t>
      </w:r>
      <w:r>
        <w:rPr>
          <w:rFonts w:ascii="Calibri" w:hAnsi="Calibri"/>
          <w:b w:val="0"/>
          <w:i w:val="0"/>
          <w:color w:val="11223A"/>
          <w:sz w:val="22"/>
        </w:rPr>
        <w:t>Good content, but not shaped like what already wins in this niche.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color w:val="11223A"/>
          <w:sz w:val="22"/>
        </w:rPr>
        <w:t xml:space="preserve">No paid reach. </w:t>
      </w:r>
      <w:r>
        <w:rPr>
          <w:rFonts w:ascii="Calibri" w:hAnsi="Calibri"/>
          <w:b w:val="0"/>
          <w:i w:val="0"/>
          <w:color w:val="11223A"/>
          <w:sz w:val="22"/>
        </w:rPr>
        <w:t>Organic-only on cold accounts barely distributes. Nothing was filling the funnel.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34"/>
        </w:rPr>
        <w:t>3 · THE NEW DIRECTION — MODEL WHAT ALREADY WINS, THEN PUT SPEND BEHIND IT</w:t>
      </w: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Step 1 — Reverse-engineer proven winners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We study posts in the business-acquisition / “boring wealth” niche that have already done millions of views, and break down the structure that made them work — hook, pacing, on-screen text, the emotional turn, the call to action. We model that proven structure, then write original Anya content into it. The framework is borrowed; the script, voice and brand stay 100% ours.</w:t>
      </w: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Step 2 — Build for all three platforms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Each idea is produced as native content for YouTube, Instagram and TikTok — correct format, length and end-card per platform — using the AI avatar + motion stack. One proven structure becomes three platform-native assets: more surface area for the same production effort.</w:t>
      </w: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Step 3 — Paid boost: the reach lever (7-day push)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Once a post is live and performing, we put paid spend behind the best ones for a full week across all three platforms. This is what gets Anya in front of large, cold audiences fast — the difference between a good post nobody sees and a good post that compounds followers and signups. Organic earns the right; paid pours fuel on it.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34"/>
        </w:rPr>
        <w:t>4 · PRODUCTION &amp; AD BUDGET — EVERYTHING IT TAKES TO RUN ONE CYCLE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Full transparency on what the engine costs before we start. Two parts: the monthly tool stack that produces the content, and the one-week paid push that distributes it.</w:t>
      </w: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A · Monthly tool stack (production)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Tool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What it does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Plan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Monthly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HeyGen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AI avatar video + Seedance motion (the talking, moving Anya)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Pro / Scale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$99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Higgsfield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Cinematic B-roll &amp; motion shots for the first 3 seconds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Ultimate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$49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Claude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Scripts, contrarian hooks, captions, structure breakdowns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Pro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$20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Metricool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Scheduling + analytics across all 3 platforms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Advanced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$22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ElevenLabs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Voiceover / narration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Creator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$22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CapCut Pro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Editing, captions, end-cards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Pro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$10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Canva Pro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Carousels, covers, thumbnails</w:t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Pro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$13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Tool stack subtotal — per month</w:t>
            </w:r>
          </w:p>
        </w:tc>
        <w:tc>
          <w:tcPr>
            <w:tcW w:type="dxa" w:w="475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</w:r>
          </w:p>
        </w:tc>
        <w:tc>
          <w:tcPr>
            <w:tcW w:type="dxa" w:w="14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$235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B · Paid boost (7-day push across 3 platforms)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Platform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Format boosted</w:t>
            </w:r>
          </w:p>
        </w:tc>
        <w:tc>
          <w:tcPr>
            <w:tcW w:type="dxa" w:w="115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Per day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Days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Total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Instagram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Reels + carousels</w:t>
            </w:r>
          </w:p>
        </w:tc>
        <w:tc>
          <w:tcPr>
            <w:tcW w:type="dxa" w:w="115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$30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7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$210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TikTok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Spark Ads / Promote</w:t>
            </w:r>
          </w:p>
        </w:tc>
        <w:tc>
          <w:tcPr>
            <w:tcW w:type="dxa" w:w="115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$30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7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$210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YouTube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Shorts / in-feed</w:t>
            </w:r>
          </w:p>
        </w:tc>
        <w:tc>
          <w:tcPr>
            <w:tcW w:type="dxa" w:w="115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$25</w:t>
            </w:r>
          </w:p>
        </w:tc>
        <w:tc>
          <w:tcPr>
            <w:tcW w:type="dxa" w:w="8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7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$175</w:t>
            </w:r>
          </w:p>
        </w:tc>
      </w:tr>
      <w:tr>
        <w:tc>
          <w:tcPr>
            <w:tcW w:type="dxa" w:w="158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Paid boost subtotal — recommended (Standard) tier</w:t>
            </w:r>
          </w:p>
        </w:tc>
        <w:tc>
          <w:tcPr>
            <w:tcW w:type="dxa" w:w="374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</w:r>
          </w:p>
        </w:tc>
        <w:tc>
          <w:tcPr>
            <w:tcW w:type="dxa" w:w="115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</w:r>
          </w:p>
        </w:tc>
        <w:tc>
          <w:tcPr>
            <w:tcW w:type="dxa" w:w="8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$595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/>
          <w:color w:val="6B7990"/>
          <w:sz w:val="17"/>
        </w:rPr>
        <w:t>Boost is adjustable:  Lean ≈ $315/week (~$15/day each)  ·  Standard (recommended) ≈ $595/week  ·  Aggressive ≈ $1,050/week (~$50/day each). Standard is the level that reliably moves follower and signup numbers in a 7-day window.</w:t>
      </w: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C · One-cycle total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0"/>
        <w:gridCol w:w="5100"/>
      </w:tblGrid>
      <w:tr>
        <w:tc>
          <w:tcPr>
            <w:tcW w:type="dxa" w:w="80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Component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80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Monthly tool stack (production)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$235</w:t>
            </w:r>
          </w:p>
        </w:tc>
      </w:tr>
      <w:tr>
        <w:tc>
          <w:tcPr>
            <w:tcW w:type="dxa" w:w="80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Paid boost — 7-day push (Standard)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$595</w:t>
            </w:r>
          </w:p>
        </w:tc>
      </w:tr>
      <w:tr>
        <w:tc>
          <w:tcPr>
            <w:tcW w:type="dxa" w:w="8064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Contingency buffer (~10% — failed renders, platform ad fees, re-exports)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$85</w:t>
            </w:r>
          </w:p>
        </w:tc>
      </w:tr>
      <w:tr>
        <w:tc>
          <w:tcPr>
            <w:tcW w:type="dxa" w:w="8064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Production &amp; ad budget — one cycle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$915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/>
          <w:color w:val="6B7990"/>
          <w:sz w:val="17"/>
        </w:rPr>
        <w:t>This is the project's running cost, separate from the Milestone 1 release. Any tools already owned can be deducted directly.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34"/>
        </w:rPr>
        <w:t>5 · RESTRUCTURED PERFORMANCE BONUS — TIED TO WHAT WE CONTROL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The original bonus — $500 for the first 40 paid signups — rewards an outcome that sits past our handoff. Whether a warm lead converts to a paid challenge depends on the sales page, the price and the follow-up — none of which we run. So we're proposing to re-tie the same reward to the metric we do own and drive directly:</w:t>
      </w: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New bonus: paid on free-community signups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Structure</w:t>
            </w:r>
          </w:p>
        </w:tc>
        <w:tc>
          <w:tcPr>
            <w:tcW w:type="dxa" w:w="18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Rate</w:t>
            </w:r>
          </w:p>
        </w:tc>
        <w:tc>
          <w:tcPr>
            <w:tcW w:type="dxa" w:w="18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Target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Bonus</w:t>
            </w:r>
          </w:p>
        </w:tc>
      </w:tr>
      <w:tr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Per verified member into the free community</w:t>
            </w:r>
          </w:p>
        </w:tc>
        <w:tc>
          <w:tcPr>
            <w:tcW w:type="dxa" w:w="187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$5 / signup</w:t>
            </w:r>
          </w:p>
        </w:tc>
        <w:tc>
          <w:tcPr>
            <w:tcW w:type="dxa" w:w="1872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100 members</w:t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$500</w:t>
            </w:r>
          </w:p>
        </w:tc>
      </w:tr>
      <w:tr>
        <w:tc>
          <w:tcPr>
            <w:tcW w:type="dxa" w:w="48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Same budget as before — now tied to a number we can move</w:t>
            </w:r>
          </w:p>
        </w:tc>
        <w:tc>
          <w:tcPr>
            <w:tcW w:type="dxa" w:w="18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</w:r>
          </w:p>
        </w:tc>
        <w:tc>
          <w:tcPr>
            <w:tcW w:type="dxa" w:w="1872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</w:r>
          </w:p>
        </w:tc>
        <w:tc>
          <w:tcPr>
            <w:tcW w:type="dxa" w:w="129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C9A24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0B2545"/>
                <w:sz w:val="20"/>
              </w:rPr>
              <w:t>$500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Why this is better for you: getting people into the free community is exactly the job our content does — so the incentive lines up with the work, and it builds you an owned audience you keep marketing to for free. It's fully measurable, fully attributable, and scalable on your call: if you want more momentum, we lift the target (e.g. 250 members → $1,000) at the same per-signup rate.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34"/>
        </w:rPr>
        <w:t>6 · THE 10-DAY TEST &amp; DECISION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We run the new engine on 10 scripts over 10 days, with the 7-day paid push behind the best performers. At the end we read the numbers together — reach, follower growth, and free-community signups — and decide whether to scale, adjust, or stop. No open-ended commitment; a clear checkpoint.</w:t>
      </w:r>
    </w:p>
    <w:p>
      <w:pPr>
        <w:spacing w:before="320" w:after="80"/>
        <w:pBdr>
          <w:bottom w:val="single" w:sz="12" w:space="3" w:color="C9A24B"/>
        </w:pBdr>
      </w:pPr>
      <w:r>
        <w:rPr>
          <w:rFonts w:ascii="Calibri" w:hAnsi="Calibri"/>
          <w:b/>
          <w:i w:val="0"/>
          <w:color w:val="0B2545"/>
          <w:sz w:val="34"/>
        </w:rPr>
        <w:t>7 · WHAT WE’RE ASKING FOR TODAY &amp; HOW TO FUND IT</w:t>
      </w: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Your fee for this phase</w:t>
      </w:r>
    </w:p>
    <w:p>
      <w:pPr>
        <w:spacing w:after="120"/>
      </w:pPr>
      <w:r>
        <w:rPr>
          <w:rFonts w:ascii="Calibri" w:hAnsi="Calibri"/>
          <w:b w:val="0"/>
          <w:i w:val="0"/>
          <w:color w:val="11223A"/>
          <w:sz w:val="22"/>
        </w:rPr>
        <w:t>The first 15 days were billed at the original content rate — $750, half of the $1,500/month engagement. This next 15-day phase is $1,000: the scope expands from producing content to running a managed campaign — viral-structure research and hands-on management of the paid boost across all three platforms — which the first block didn't include.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3400"/>
        <w:gridCol w:w="3400"/>
        <w:gridCol w:w="3400"/>
      </w:tblGrid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Item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0B2545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1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Milestone 1 — first 15 days, delivered (close-out)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$750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2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Management fee — next 15-day phase (research + managed paid campaign)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$1,000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3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Production &amp; ad budget — one cycle (tools + 7-day boost)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$915</w:t>
            </w:r>
          </w:p>
        </w:tc>
      </w:tr>
      <w:tr>
        <w:tc>
          <w:tcPr>
            <w:tcW w:type="dxa" w:w="57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4</w:t>
            </w:r>
          </w:p>
        </w:tc>
        <w:tc>
          <w:tcPr>
            <w:tcW w:type="dxa" w:w="7488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Performance bonus — paid on free-community signups (on results)</w:t>
            </w:r>
          </w:p>
        </w:tc>
        <w:tc>
          <w:tcPr>
            <w:tcW w:type="dxa" w:w="2016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  <w:jc w:val="right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$500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/>
          <w:color w:val="6B7990"/>
          <w:sz w:val="17"/>
        </w:rPr>
        <w:t>Item 4 is paid only on delivered signups. Items 1–3 are what we need to close out and set off.</w:t>
      </w:r>
    </w:p>
    <w:p>
      <w:pPr>
        <w:spacing w:before="160" w:after="40"/>
      </w:pPr>
      <w:r>
        <w:rPr>
          <w:rFonts w:ascii="Calibri" w:hAnsi="Calibri"/>
          <w:b/>
          <w:i w:val="0"/>
          <w:color w:val="1C3559"/>
          <w:sz w:val="24"/>
        </w:rPr>
        <w:t>Two ways to pay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00"/>
        <w:gridCol w:w="5100"/>
      </w:tblGrid>
      <w:tr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Option A — Release via milestone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  <w:shd w:val="clear" w:color="auto" w:fill="F6F8FB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Option B — Direct transfer (fastest)</w:t>
            </w:r>
          </w:p>
        </w:tc>
      </w:tr>
      <w:tr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✓  Funds settle in ~7 days</w:t>
              <w:br/>
              <w:t>✓  Stays inside the platform’s protection for both sides</w:t>
              <w:br/>
              <w:br/>
              <w:t>Best if you’d rather keep everything on the existing milestone rails.</w:t>
            </w:r>
          </w:p>
        </w:tc>
        <w:tc>
          <w:tcPr>
            <w:tcW w:type="dxa" w:w="5040"/>
            <w:tcMar>
              <w:top w:w="60" w:type="dxa"/>
              <w:bottom w:w="60" w:type="dxa"/>
              <w:start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11223A"/>
                <w:sz w:val="19"/>
              </w:rPr>
              <w:t>✓  Sent to my personal US account</w:t>
              <w:br/>
              <w:t>✓  Clears in ~2 days — we start almost immediately</w:t>
              <w:br/>
              <w:br/>
              <w:t>Best if you want the new cycle moving this week. Off-platform, so it’s a direct trust arrangement between us.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/>
          <w:b w:val="0"/>
          <w:i/>
          <w:color w:val="6B7990"/>
          <w:sz w:val="17"/>
        </w:rPr>
        <w:t>Either route works on my end — it's purely a question of how fast you want the next cycle to start.</w:t>
      </w:r>
    </w:p>
    <w:p>
      <w:pPr>
        <w:spacing w:before="280"/>
        <w:pBdr>
          <w:top w:val="single" w:sz="6" w:space="4" w:color="E2E8F1"/>
        </w:pBdr>
      </w:pPr>
      <w:r>
        <w:rPr>
          <w:rFonts w:ascii="Calibri" w:hAnsi="Calibri"/>
          <w:b w:val="0"/>
          <w:i/>
          <w:color w:val="6B7990"/>
          <w:sz w:val="16"/>
        </w:rPr>
        <w:t>Officially · Invested — Anya Mehra  |  Strategy Reset v2  |  Prepared 17 June 2026. All figures are estimates for one test cycle and adjustable on the call. No income or results are guaranteed; projections are honest planning numbers, not promises.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