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B2545"/>
          <w:sz w:val="44"/>
        </w:rPr>
        <w:t>Call Run-Sheet — Strategy Reset v2</w:t>
      </w:r>
    </w:p>
    <w:p>
      <w:r>
        <w:rPr>
          <w:rFonts w:ascii="Calibri" w:hAnsi="Calibri"/>
          <w:b/>
          <w:i w:val="0"/>
          <w:color w:val="C9A24B"/>
          <w:sz w:val="22"/>
        </w:rPr>
        <w:t>INTERNAL · for you only</w:t>
      </w:r>
    </w:p>
    <w:p>
      <w:pPr>
        <w:spacing w:after="200"/>
      </w:pPr>
      <w:r>
        <w:rPr>
          <w:rFonts w:ascii="Calibri" w:hAnsi="Calibri"/>
          <w:b w:val="0"/>
          <w:i w:val="0"/>
          <w:color w:val="11223A"/>
          <w:sz w:val="21"/>
        </w:rPr>
        <w:t>Goal of the call: (1) release the $750 milestone, (2) get sign-off on the new direction, (3) agree the $1,000 fee for the next phase, (4) lock the production budget, (5) swap the bonus to free-community signups, (6) agree how they pay. Keep the tone calm and confident — you delivered the work. This is a better plan, not an apology.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0 · OPEN (30 SECONDS)</w:t>
      </w:r>
    </w:p>
    <w:p>
      <w:pPr>
        <w:spacing w:after="120"/>
        <w:ind w:left="360"/>
        <w:pBdr>
          <w:left w:val="single" w:sz="18" w:space="8" w:color="C9A24B"/>
        </w:pBdr>
      </w:pPr>
      <w:r>
        <w:rPr>
          <w:rFonts w:ascii="Calibri" w:hAnsi="Calibri"/>
          <w:b w:val="0"/>
          <w:i/>
          <w:color w:val="1C3559"/>
          <w:sz w:val="21"/>
        </w:rPr>
        <w:t>“Thanks for making time. The first 15 days are built and delivered. They didn’t break through on reach — and I’ve got a clear, honest read on why, plus a sharper plan that fixes it. I’ll walk you through the new direction, exactly what it costs to run, and a cleaner way to structure the bonus.”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1"/>
        </w:rPr>
        <w:t>Share the proposal document.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1 · CLOSE OUT MILESTONE 1 — $750 (DO THIS FIRST)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>The first 15 days are complete, contracted work — independent of whatever we decide next.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 xml:space="preserve">Ask plainly: </w:t>
      </w:r>
      <w:r>
        <w:rPr>
          <w:rFonts w:ascii="Calibri" w:hAnsi="Calibri"/>
          <w:b/>
          <w:i w:val="0"/>
          <w:color w:val="11223A"/>
          <w:sz w:val="22"/>
        </w:rPr>
        <w:t>“Can we release the $750 for the first block today so we start the next cycle clean?”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>If they hesitate on results: that milestone is for production &amp; delivery, which is done. The reach problem is exactly what the new plan solves — and they’re not funding that blindly; the whole budget is laid out.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2 · WHY IT UNDERPERFORMED (60 SECONDS, MATTER-OF-FACT)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>Hook lost the first 3 seconds (static opens).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>Led with polish, not a contrarian opening line.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>No proven structure under the posts.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1223A"/>
          <w:sz w:val="22"/>
        </w:rPr>
        <w:t>No paid reach — organic-only on cold accounts barely distributes.</w:t>
      </w:r>
    </w:p>
    <w:p>
      <w:pPr>
        <w:spacing w:after="120"/>
        <w:ind w:left="360"/>
        <w:pBdr>
          <w:left w:val="single" w:sz="18" w:space="8" w:color="C9A24B"/>
        </w:pBdr>
      </w:pPr>
      <w:r>
        <w:rPr>
          <w:rFonts w:ascii="Calibri" w:hAnsi="Calibri"/>
          <w:b w:val="0"/>
          <w:i/>
          <w:color w:val="1C3559"/>
          <w:sz w:val="21"/>
        </w:rPr>
        <w:t>“None of these are fatal. They’re all fixable, and the fix is the new direction.”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3 · THE NEW DIRECTION (CORE PITCH)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Model what already wins: </w:t>
      </w:r>
      <w:r>
        <w:rPr>
          <w:rFonts w:ascii="Calibri" w:hAnsi="Calibri"/>
          <w:b w:val="0"/>
          <w:i w:val="0"/>
          <w:color w:val="11223A"/>
          <w:sz w:val="22"/>
        </w:rPr>
        <w:t>find niche posts doing millions of views, break down the structure, write original Anya content into that proven shape.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If he worries about copying: </w:t>
      </w:r>
      <w:r>
        <w:rPr>
          <w:rFonts w:ascii="Calibri" w:hAnsi="Calibri"/>
          <w:b w:val="0"/>
          <w:i w:val="0"/>
          <w:color w:val="11223A"/>
          <w:sz w:val="22"/>
        </w:rPr>
        <w:t>“We borrow the structure, not the content. Script, voice and brand stay 100% ours. Every top creator works this way — they reuse what the algorithm already rewards.”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Three platforms native: </w:t>
      </w:r>
      <w:r>
        <w:rPr>
          <w:rFonts w:ascii="Calibri" w:hAnsi="Calibri"/>
          <w:b w:val="0"/>
          <w:i w:val="0"/>
          <w:color w:val="11223A"/>
          <w:sz w:val="22"/>
        </w:rPr>
        <w:t>one structure → YouTube + Instagram + TikTok.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Paid boost, 7-day push: </w:t>
      </w:r>
      <w:r>
        <w:rPr>
          <w:rFonts w:ascii="Calibri" w:hAnsi="Calibri"/>
          <w:b w:val="0"/>
          <w:i w:val="0"/>
          <w:color w:val="11223A"/>
          <w:sz w:val="22"/>
        </w:rPr>
        <w:t>“This is the lever that was missing. The difference between a good post nobody sees and one that compounds followers and signups.”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4 · YOUR FEE FOR THIS PHASE — $1,000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Frame the jump from $750: </w:t>
      </w:r>
      <w:r>
        <w:rPr>
          <w:rFonts w:ascii="Calibri" w:hAnsi="Calibri"/>
          <w:b w:val="0"/>
          <w:i w:val="0"/>
          <w:color w:val="11223A"/>
          <w:sz w:val="22"/>
        </w:rPr>
        <w:t>“The first block was billed at the old content-only rate — $750, half of the $1,500/month. This phase is $1,000 because it’s no longer just content: it includes the viral research and running the paid campaign across all three platforms, which is extra hands-on work the first block didn’t have.”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Keep it separate from the ad/tool budget. </w:t>
      </w:r>
      <w:r>
        <w:rPr>
          <w:rFonts w:ascii="Calibri" w:hAnsi="Calibri"/>
          <w:b w:val="0"/>
          <w:i w:val="0"/>
          <w:color w:val="11223A"/>
          <w:sz w:val="22"/>
        </w:rPr>
        <w:t>The $1,000 is your labour; the $915 is the engine’s running cost (mostly his ad spend). Don’t let them blur.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4B · THE BUDGET (LEAD WITH THE TOTAL)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Tool stack: $235/mo </w:t>
      </w:r>
      <w:r>
        <w:rPr>
          <w:rFonts w:ascii="Calibri" w:hAnsi="Calibri"/>
          <w:b w:val="0"/>
          <w:i w:val="0"/>
          <w:color w:val="11223A"/>
          <w:sz w:val="22"/>
        </w:rPr>
        <w:t>— HeyGen, Higgsfield, Claude, Metricool, ElevenLabs, CapCut, Canva.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Paid boost: $595 </w:t>
      </w:r>
      <w:r>
        <w:rPr>
          <w:rFonts w:ascii="Calibri" w:hAnsi="Calibri"/>
          <w:b w:val="0"/>
          <w:i w:val="0"/>
          <w:color w:val="11223A"/>
          <w:sz w:val="22"/>
        </w:rPr>
        <w:t>for a 7-day push (recommend Standard; Lean ~$315 / Aggressive ~$1,050).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+10% buffer → one-cycle total ≈ $915. </w:t>
      </w:r>
      <w:r>
        <w:rPr>
          <w:rFonts w:ascii="Calibri" w:hAnsi="Calibri"/>
          <w:b w:val="0"/>
          <w:i w:val="0"/>
          <w:color w:val="11223A"/>
          <w:sz w:val="22"/>
        </w:rPr>
        <w:t>Anything he already pays for, we deduct.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5 · RESTRUCTURE THE BONUS (YOUR KEY ASK)</w:t>
      </w:r>
    </w:p>
    <w:p>
      <w:pPr>
        <w:spacing w:after="120"/>
        <w:ind w:left="360"/>
        <w:pBdr>
          <w:left w:val="single" w:sz="18" w:space="8" w:color="C9A24B"/>
        </w:pBdr>
      </w:pPr>
      <w:r>
        <w:rPr>
          <w:rFonts w:ascii="Calibri" w:hAnsi="Calibri"/>
          <w:b w:val="0"/>
          <w:i/>
          <w:color w:val="1C3559"/>
          <w:sz w:val="21"/>
        </w:rPr>
        <w:t>“The old bonus was $500 for the first 40 paid signups. Problem: whether a lead converts to paid depends on the sales page, price and follow-up — things I don’t control. So I’d be paid on something outside my hands, which isn’t fair to either of us.”</w:t>
      </w:r>
    </w:p>
    <w:p>
      <w:pPr>
        <w:spacing w:after="120"/>
        <w:ind w:left="360"/>
        <w:pBdr>
          <w:left w:val="single" w:sz="18" w:space="8" w:color="C9A24B"/>
        </w:pBdr>
      </w:pPr>
      <w:r>
        <w:rPr>
          <w:rFonts w:ascii="Calibri" w:hAnsi="Calibri"/>
          <w:b w:val="0"/>
          <w:i/>
          <w:color w:val="1C3559"/>
          <w:sz w:val="21"/>
        </w:rPr>
        <w:t>“What I do control is getting people into the free community. So I want to tie the same $500 to that — $5 per verified free-community member, target 100. Same budget, but now it’s tied to a number I can actually move — and it builds you an owned audience you keep marketing to for free.”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Scalable hook: </w:t>
      </w:r>
      <w:r>
        <w:rPr>
          <w:rFonts w:ascii="Calibri" w:hAnsi="Calibri"/>
          <w:b w:val="0"/>
          <w:i w:val="0"/>
          <w:color w:val="11223A"/>
          <w:sz w:val="22"/>
        </w:rPr>
        <w:t>“Want more momentum? We just raise the target at the same rate — 250 members for $1,000. You decide the dial.”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If he pushes on rate: </w:t>
      </w:r>
      <w:r>
        <w:rPr>
          <w:rFonts w:ascii="Calibri" w:hAnsi="Calibri"/>
          <w:b w:val="0"/>
          <w:i w:val="0"/>
          <w:color w:val="11223A"/>
          <w:sz w:val="22"/>
        </w:rPr>
        <w:t>$5/signup is the anchor. Flex the target up, not the rate down.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6 · THE TEST &amp; DECISION (LOWERS HIS RISK)</w:t>
      </w:r>
    </w:p>
    <w:p>
      <w:pPr>
        <w:spacing w:after="120"/>
        <w:ind w:left="360"/>
        <w:pBdr>
          <w:left w:val="single" w:sz="18" w:space="8" w:color="C9A24B"/>
        </w:pBdr>
      </w:pPr>
      <w:r>
        <w:rPr>
          <w:rFonts w:ascii="Calibri" w:hAnsi="Calibri"/>
          <w:b w:val="0"/>
          <w:i/>
          <w:color w:val="1C3559"/>
          <w:sz w:val="21"/>
        </w:rPr>
        <w:t>“We run 10 scripts over 10 days with the paid push behind the best ones, then read the numbers together — reach, followers, free signups — and decide to scale, adjust, or stop. No open-ended commitment.”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7 · PAYMENT — GIVE HIM THE CHOICE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Option A — milestone release: </w:t>
      </w:r>
      <w:r>
        <w:rPr>
          <w:rFonts w:ascii="Calibri" w:hAnsi="Calibri"/>
          <w:b w:val="0"/>
          <w:i w:val="0"/>
          <w:color w:val="11223A"/>
          <w:sz w:val="22"/>
        </w:rPr>
        <w:t>settles in ~7 days, stays on-platform.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1223A"/>
          <w:sz w:val="22"/>
        </w:rPr>
        <w:t xml:space="preserve">Option B — direct to your US account: </w:t>
      </w:r>
      <w:r>
        <w:rPr>
          <w:rFonts w:ascii="Calibri" w:hAnsi="Calibri"/>
          <w:b w:val="0"/>
          <w:i w:val="0"/>
          <w:color w:val="11223A"/>
          <w:sz w:val="22"/>
        </w:rPr>
        <w:t>clears in ~2 days, faster start.</w:t>
      </w:r>
    </w:p>
    <w:p>
      <w:pPr>
        <w:spacing w:after="120"/>
        <w:ind w:left="360"/>
        <w:pBdr>
          <w:left w:val="single" w:sz="18" w:space="8" w:color="C9A24B"/>
        </w:pBdr>
      </w:pPr>
      <w:r>
        <w:rPr>
          <w:rFonts w:ascii="Calibri" w:hAnsi="Calibri"/>
          <w:b w:val="0"/>
          <w:i/>
          <w:color w:val="1C3559"/>
          <w:sz w:val="21"/>
        </w:rPr>
        <w:t>“Either works for me. It’s just how fast you want the next cycle moving — if you want it live this week, the direct route is quicker.”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NUMBERS CHEAT-SHEET (MEMORISE THESE)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0"/>
        <w:gridCol w:w="5100"/>
      </w:tblGrid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0B2545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Number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Milestone 1 (release now)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$750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Management fee — next 15-day phase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$1,000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Tool stack / month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$235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Paid boost (7-day, Standard)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$595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One-cycle budget (incl. buffer)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~$915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Bonus rate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$5 / free signup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Bonus target / payout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100 → $500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Scale option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250 → $1,000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Pay: milestone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~7 days</w:t>
            </w:r>
          </w:p>
        </w:tc>
      </w:tr>
      <w:tr>
        <w:tc>
          <w:tcPr>
            <w:tcW w:type="dxa" w:w="547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Pay: direct US account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6F8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1223A"/>
                <w:sz w:val="19"/>
              </w:rPr>
              <w:t>~2 days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LIKELY OBJECTIONS → YOUR ANSWER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“Why pay $750 if it didn’t go viral?”  </w:t>
      </w:r>
      <w:r>
        <w:rPr>
          <w:rFonts w:ascii="Calibri" w:hAnsi="Calibri"/>
          <w:b w:val="0"/>
          <w:i w:val="0"/>
          <w:color w:val="11223A"/>
          <w:sz w:val="21"/>
        </w:rPr>
        <w:t>→ It’s for delivered production, not a virality guarantee. Reach is what the new plan fixes — fully budgeted, your call to fund.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“Why is the next phase $1,000, not $750?”  </w:t>
      </w:r>
      <w:r>
        <w:rPr>
          <w:rFonts w:ascii="Calibri" w:hAnsi="Calibri"/>
          <w:b w:val="0"/>
          <w:i w:val="0"/>
          <w:color w:val="11223A"/>
          <w:sz w:val="21"/>
        </w:rPr>
        <w:t>→ The first block was content-only at the old rate. This phase adds viral research and managed paid advertising across 3 platforms — more hands-on work, so a modest increase. Still below the original $1,500/month run rate.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“Isn’t copying viral posts risky/unoriginal?”  </w:t>
      </w:r>
      <w:r>
        <w:rPr>
          <w:rFonts w:ascii="Calibri" w:hAnsi="Calibri"/>
          <w:b w:val="0"/>
          <w:i w:val="0"/>
          <w:color w:val="11223A"/>
          <w:sz w:val="21"/>
        </w:rPr>
        <w:t>→ We model structure, not content. Standard practice for every serious creator. Brand stays ours.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“Why pay for free signups, not sales?”  </w:t>
      </w:r>
      <w:r>
        <w:rPr>
          <w:rFonts w:ascii="Calibri" w:hAnsi="Calibri"/>
          <w:b w:val="0"/>
          <w:i w:val="0"/>
          <w:color w:val="11223A"/>
          <w:sz w:val="21"/>
        </w:rPr>
        <w:t>→ That’s the part I control and can guarantee effort against. Sales depend on your funnel. You also keep the audience.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“$915 is a lot.”  </w:t>
      </w:r>
      <w:r>
        <w:rPr>
          <w:rFonts w:ascii="Calibri" w:hAnsi="Calibri"/>
          <w:b w:val="0"/>
          <w:i w:val="0"/>
          <w:color w:val="11223A"/>
          <w:sz w:val="21"/>
        </w:rPr>
        <w:t>→ Most of it is your ad spend going to your reach, plus tools you keep. We can run the Lean tier (~$315 boost) to start smaller.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B2545"/>
          <w:sz w:val="21"/>
        </w:rPr>
        <w:t xml:space="preserve">“Can we skip paid boost?”  </w:t>
      </w:r>
      <w:r>
        <w:rPr>
          <w:rFonts w:ascii="Calibri" w:hAnsi="Calibri"/>
          <w:b w:val="0"/>
          <w:i w:val="0"/>
          <w:color w:val="11223A"/>
          <w:sz w:val="21"/>
        </w:rPr>
        <w:t>→ That’s the exact thing missing in month one. Without it we’d repeat what didn’t work.</w:t>
      </w:r>
    </w:p>
    <w:p>
      <w:pPr>
        <w:spacing w:before="320" w:after="80"/>
        <w:pBdr>
          <w:bottom w:val="single" w:sz="12" w:space="3" w:color="C9A24B"/>
        </w:pBdr>
      </w:pPr>
      <w:r>
        <w:rPr>
          <w:rFonts w:ascii="Calibri" w:hAnsi="Calibri"/>
          <w:b/>
          <w:i w:val="0"/>
          <w:color w:val="0B2545"/>
          <w:sz w:val="28"/>
        </w:rPr>
        <w:t>AFTER THE CALL — CONFIRM IN WRITING</w:t>
      </w:r>
    </w:p>
    <w:p>
      <w:pPr>
        <w:spacing w:after="120"/>
      </w:pPr>
      <w:r>
        <w:rPr>
          <w:rFonts w:ascii="Calibri" w:hAnsi="Calibri"/>
          <w:b w:val="0"/>
          <w:i w:val="0"/>
          <w:color w:val="11223A"/>
          <w:sz w:val="21"/>
        </w:rPr>
        <w:t>Send a 4-line recap: milestone released (Y/N + method) · budget approved (tier) · bonus terms ($5/signup, target) · start date.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