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convertAll</w:t>
      </w:r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35FD6">
        <w:rPr>
          <w:rFonts w:ascii="Courier New" w:hAnsi="Courier New" w:cs="Courier New"/>
          <w:i/>
          <w:color w:val="000000"/>
          <w:szCs w:val="28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35FD6">
        <w:rPr>
          <w:rFonts w:ascii="Courier New" w:hAnsi="Courier New" w:cs="Courier New"/>
          <w:i/>
          <w:color w:val="000000"/>
          <w:szCs w:val="28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8F3BA9" w:rsidRPr="004705B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D61C63" w:rsidRPr="004705BB" w:rsidRDefault="00A35FD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634C2022" wp14:editId="7A799F3A">
            <wp:simplePos x="0" y="0"/>
            <wp:positionH relativeFrom="column">
              <wp:posOffset>3714115</wp:posOffset>
            </wp:positionH>
            <wp:positionV relativeFrom="paragraph">
              <wp:posOffset>104775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35FD6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3EA3F26" wp14:editId="3C855CF6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E2CF5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Pr="004705BB" w:rsidRDefault="004072C0" w:rsidP="00A35FD6">
      <w:pPr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260151" w:rsidP="00260151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 w:rsidR="00080B81"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811798" w:rsidRPr="00426A6D" w:rsidRDefault="00811798" w:rsidP="00426A6D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134112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705BB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 xml:space="preserve"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</w:t>
      </w:r>
      <w:r w:rsidR="00181AB2" w:rsidRPr="00181AB2">
        <w:rPr>
          <w:rFonts w:cs="Times New Roman"/>
          <w:color w:val="000000"/>
          <w:szCs w:val="28"/>
        </w:rPr>
        <w:lastRenderedPageBreak/>
        <w:t>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r w:rsidRPr="00426A6D">
        <w:rPr>
          <w:rFonts w:ascii="Courier New" w:hAnsi="Courier New" w:cs="Courier New"/>
          <w:color w:val="000000"/>
          <w:szCs w:val="28"/>
        </w:rPr>
        <w:t>getListOfROI</w:t>
      </w:r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1503045</wp:posOffset>
            </wp:positionH>
            <wp:positionV relativeFrom="paragraph">
              <wp:posOffset>200025</wp:posOffset>
            </wp:positionV>
            <wp:extent cx="3070860" cy="23018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60151" w:rsidRDefault="00260151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60151" w:rsidRDefault="00260151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260151" w:rsidRPr="004705BB" w:rsidRDefault="00260151" w:rsidP="005A6D50">
      <w:pPr>
        <w:ind w:firstLine="708"/>
        <w:jc w:val="both"/>
        <w:rPr>
          <w:rFonts w:cs="Times New Roman"/>
          <w:color w:val="000000"/>
          <w:szCs w:val="28"/>
        </w:rPr>
      </w:pPr>
    </w:p>
    <w:p w:rsidR="004D7361" w:rsidRPr="00C77127" w:rsidRDefault="004D7361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>пользуя методы этого класса можно отобразить на экране необходимое изображение.</w:t>
      </w:r>
    </w:p>
    <w:p w:rsidR="007406C6" w:rsidRPr="00AB4DDD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7406C6">
        <w:rPr>
          <w:rFonts w:ascii="Courier New" w:hAnsi="Courier New" w:cs="Courier New"/>
          <w:color w:val="000000"/>
          <w:szCs w:val="28"/>
        </w:rPr>
        <w:t>OpenPicture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окно открытия изображений в форматах </w:t>
      </w:r>
      <w:r>
        <w:rPr>
          <w:rFonts w:cs="Times New Roman"/>
          <w:color w:val="000000"/>
          <w:szCs w:val="28"/>
          <w:lang w:val="en-US"/>
        </w:rPr>
        <w:t>jpg</w:t>
      </w:r>
      <w:r w:rsidRPr="007406C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cs="Times New Roman"/>
          <w:color w:val="000000"/>
          <w:szCs w:val="28"/>
          <w:lang w:val="en-US"/>
        </w:rPr>
        <w:t>png</w:t>
      </w:r>
      <w:r w:rsidRPr="00AB4DDD">
        <w:rPr>
          <w:rFonts w:cs="Times New Roman"/>
          <w:color w:val="000000"/>
          <w:szCs w:val="28"/>
        </w:rPr>
        <w:t>.</w:t>
      </w:r>
      <w:r w:rsidR="00AB4DDD">
        <w:rPr>
          <w:rFonts w:cs="Times New Roman"/>
          <w:color w:val="000000"/>
          <w:szCs w:val="28"/>
        </w:rPr>
        <w:t xml:space="preserve"> Он возвращает открытое изображение для последующего отображения на экран.</w:t>
      </w:r>
    </w:p>
    <w:p w:rsidR="004705BB" w:rsidRPr="004705BB" w:rsidRDefault="004705BB" w:rsidP="004705BB">
      <w:pPr>
        <w:ind w:left="720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705B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</w:t>
      </w:r>
      <w:r w:rsidR="00426A6D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>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B24700" w:rsidRDefault="00B24700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getPath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6C1F2D" w:rsidRPr="006C1F2D" w:rsidRDefault="006C1F2D" w:rsidP="006C1F2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getCount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005779">
        <w:rPr>
          <w:rFonts w:cs="Times New Roman"/>
          <w:color w:val="000000"/>
          <w:szCs w:val="28"/>
          <w:lang w:val="en-US"/>
        </w:rPr>
        <w:t>int</w:t>
      </w:r>
      <w:r w:rsidRPr="006C1F2D">
        <w:rPr>
          <w:rFonts w:cs="Times New Roman"/>
          <w:color w:val="000000"/>
          <w:szCs w:val="28"/>
        </w:rPr>
        <w:t>.</w:t>
      </w: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detectShapes</w:t>
      </w:r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4E68A8" w:rsidRPr="004705BB" w:rsidRDefault="00160057" w:rsidP="00426A6D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</w:t>
      </w:r>
      <w:r w:rsidR="00754765">
        <w:rPr>
          <w:rFonts w:cs="Times New Roman"/>
          <w:color w:val="000000"/>
          <w:szCs w:val="28"/>
        </w:rPr>
        <w:t xml:space="preserve"> и выделение областей</w:t>
      </w:r>
      <w:r>
        <w:rPr>
          <w:rFonts w:cs="Times New Roman"/>
          <w:color w:val="000000"/>
          <w:szCs w:val="28"/>
        </w:rPr>
        <w:t xml:space="preserve">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C934B2" w:rsidRPr="004705BB" w:rsidRDefault="00C934B2" w:rsidP="00426A6D">
      <w:pPr>
        <w:ind w:firstLine="709"/>
        <w:jc w:val="both"/>
        <w:rPr>
          <w:rFonts w:cs="Times New Roman"/>
          <w:color w:val="000000"/>
          <w:szCs w:val="28"/>
        </w:rPr>
      </w:pPr>
    </w:p>
    <w:p w:rsidR="008A5696" w:rsidRPr="008A5696" w:rsidRDefault="008A5696" w:rsidP="00E96909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 w:rsidRPr="00F50A42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4705BB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count</w:t>
      </w:r>
      <w:r w:rsidR="002D6648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200483" w:rsidRDefault="00200483" w:rsidP="0020048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getPath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200483" w:rsidRPr="00CA00B4" w:rsidRDefault="00200483" w:rsidP="004C4BC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getCount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6C1F2D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</w:t>
      </w:r>
      <w:r w:rsidR="004D1296">
        <w:rPr>
          <w:rFonts w:cs="Times New Roman"/>
          <w:color w:val="000000"/>
          <w:szCs w:val="28"/>
        </w:rPr>
        <w:t>диница нейронной сети – нейрон.</w:t>
      </w:r>
    </w:p>
    <w:p w:rsidR="00AC01F2" w:rsidRPr="00AC01F2" w:rsidRDefault="00AC01F2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951CCA">
        <w:rPr>
          <w:rFonts w:ascii="Courier New" w:hAnsi="Courier New" w:cs="Courier New"/>
          <w:color w:val="000000"/>
          <w:szCs w:val="28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 w:rsidRPr="00951CCA">
        <w:rPr>
          <w:rFonts w:ascii="Courier New" w:hAnsi="Courier New" w:cs="Courier New"/>
          <w:color w:val="000000"/>
          <w:szCs w:val="28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951CCA">
        <w:rPr>
          <w:rFonts w:ascii="Courier New" w:hAnsi="Courier New" w:cs="Courier New"/>
          <w:color w:val="000000"/>
          <w:szCs w:val="28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A009DE">
        <w:rPr>
          <w:rFonts w:cs="Times New Roman"/>
          <w:color w:val="000000"/>
          <w:szCs w:val="28"/>
        </w:rPr>
        <w:t>активации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Default="00C26EF8" w:rsidP="00951CCA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C77127" w:rsidRDefault="00AC01F2" w:rsidP="00AB4DDD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>тоит из матриц</w:t>
      </w:r>
      <w:r w:rsidR="00121B14">
        <w:rPr>
          <w:rFonts w:cs="Times New Roman"/>
          <w:color w:val="000000"/>
          <w:szCs w:val="28"/>
        </w:rPr>
        <w:t>ы</w:t>
      </w:r>
      <w:r w:rsidR="00D4166D">
        <w:rPr>
          <w:rFonts w:cs="Times New Roman"/>
          <w:color w:val="000000"/>
          <w:szCs w:val="28"/>
        </w:rPr>
        <w:t xml:space="preserve">, </w:t>
      </w:r>
      <w:r w:rsidR="00121B14">
        <w:rPr>
          <w:rFonts w:cs="Times New Roman"/>
          <w:color w:val="000000"/>
          <w:szCs w:val="28"/>
        </w:rPr>
        <w:t>соответствующий</w:t>
      </w:r>
      <w:r w:rsidR="00EF4B77">
        <w:rPr>
          <w:rFonts w:cs="Times New Roman"/>
          <w:color w:val="000000"/>
          <w:szCs w:val="28"/>
        </w:rPr>
        <w:t xml:space="preserve">  конкретному изображению</w:t>
      </w:r>
      <w:r w:rsidR="00D4166D" w:rsidRPr="00D4166D">
        <w:rPr>
          <w:rFonts w:cs="Times New Roman"/>
          <w:color w:val="000000"/>
          <w:szCs w:val="28"/>
        </w:rPr>
        <w:t>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754765" w:rsidRPr="004705BB" w:rsidRDefault="00754765" w:rsidP="00951CCA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prev</w:t>
      </w:r>
      <w:r w:rsidRPr="00951CCA">
        <w:rPr>
          <w:rFonts w:ascii="Courier New" w:hAnsi="Courier New" w:cs="Courier New"/>
          <w:color w:val="000000"/>
          <w:szCs w:val="28"/>
        </w:rPr>
        <w:t>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EE6D6D" w:rsidRPr="00C77127" w:rsidRDefault="00EE6D6D" w:rsidP="00AB4DDD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D4166D" w:rsidRDefault="00AE2B70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Layer</w:t>
      </w:r>
      <w:r w:rsidR="0010084A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</w:t>
      </w:r>
      <w:r w:rsidR="0010084A">
        <w:rPr>
          <w:rFonts w:cs="Times New Roman"/>
          <w:color w:val="000000"/>
          <w:szCs w:val="28"/>
        </w:rPr>
        <w:t xml:space="preserve"> собственное</w:t>
      </w:r>
      <w:r w:rsidR="00044F57" w:rsidRPr="00044F57">
        <w:rPr>
          <w:rFonts w:cs="Times New Roman"/>
          <w:color w:val="000000"/>
          <w:szCs w:val="28"/>
        </w:rPr>
        <w:t xml:space="preserve">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121B14">
        <w:rPr>
          <w:rFonts w:cs="Times New Roman"/>
          <w:color w:val="000000"/>
          <w:szCs w:val="28"/>
        </w:rPr>
        <w:t>.</w:t>
      </w:r>
    </w:p>
    <w:p w:rsidR="007B3EDC" w:rsidRDefault="007B3EDC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7</w:t>
      </w:r>
      <w:r w:rsidR="00E43C53">
        <w:rPr>
          <w:rFonts w:cs="Times New Roman"/>
          <w:i/>
          <w:color w:val="000000"/>
          <w:szCs w:val="28"/>
        </w:rPr>
        <w:t xml:space="preserve">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951CCA">
      <w:pPr>
        <w:pStyle w:val="a3"/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</w:t>
      </w:r>
      <w:r w:rsidR="007C2425">
        <w:rPr>
          <w:rFonts w:cs="Times New Roman"/>
          <w:color w:val="000000"/>
          <w:szCs w:val="28"/>
        </w:rPr>
        <w:t xml:space="preserve"> Для расчета используется вычисленное среднеквадратическое отклонение.</w:t>
      </w:r>
      <w:r w:rsidR="00A90B04">
        <w:rPr>
          <w:rFonts w:cs="Times New Roman"/>
          <w:color w:val="000000"/>
          <w:szCs w:val="28"/>
        </w:rPr>
        <w:t xml:space="preserve">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Pr="007C2425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94392" w:rsidRPr="004705BB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7C2425">
        <w:rPr>
          <w:rFonts w:cs="Times New Roman"/>
          <w:color w:val="000000"/>
          <w:szCs w:val="28"/>
        </w:rPr>
        <w:t xml:space="preserve"> усреднение,</w:t>
      </w:r>
      <w:r w:rsidR="003E3059" w:rsidRPr="003E3059">
        <w:rPr>
          <w:rFonts w:cs="Times New Roman"/>
          <w:color w:val="000000"/>
          <w:szCs w:val="28"/>
        </w:rPr>
        <w:t xml:space="preserve"> взятие максимума</w:t>
      </w:r>
      <w:r w:rsidR="007C2425">
        <w:rPr>
          <w:rFonts w:cs="Times New Roman"/>
          <w:color w:val="000000"/>
          <w:szCs w:val="28"/>
        </w:rPr>
        <w:t xml:space="preserve">, либо </w:t>
      </w:r>
      <w:r w:rsidR="007C2425" w:rsidRPr="007C2425">
        <w:rPr>
          <w:rFonts w:cs="Times New Roman"/>
          <w:color w:val="000000"/>
          <w:szCs w:val="28"/>
        </w:rPr>
        <w:t>L2-нормирования</w:t>
      </w:r>
      <w:r w:rsidR="003E3059" w:rsidRPr="003E3059">
        <w:rPr>
          <w:rFonts w:cs="Times New Roman"/>
          <w:color w:val="000000"/>
          <w:szCs w:val="28"/>
        </w:rPr>
        <w:t>.</w:t>
      </w:r>
      <w:r w:rsidR="007C2425">
        <w:rPr>
          <w:rFonts w:cs="Times New Roman"/>
          <w:color w:val="000000"/>
          <w:szCs w:val="28"/>
        </w:rPr>
        <w:t xml:space="preserve"> В данном классе используется метод выбора максимального значения в окне пулинга.</w:t>
      </w:r>
      <w:r w:rsidR="003E3059" w:rsidRPr="003E3059">
        <w:rPr>
          <w:rFonts w:cs="Times New Roman"/>
          <w:color w:val="000000"/>
          <w:szCs w:val="28"/>
        </w:rPr>
        <w:t xml:space="preserve">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4C0F8A" w:rsidRPr="004705BB" w:rsidRDefault="004C0F8A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bookmarkStart w:id="1" w:name="_GoBack"/>
      <w:bookmarkEnd w:id="1"/>
    </w:p>
    <w:p w:rsidR="00F50A42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B47EAE" w:rsidRPr="00C77127" w:rsidRDefault="00B47EAE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="00274819">
        <w:rPr>
          <w:rFonts w:cs="Times New Roman"/>
          <w:b/>
          <w:color w:val="000000"/>
          <w:szCs w:val="28"/>
          <w:lang w:val="en-US"/>
        </w:rPr>
        <w:t>Dropo</w:t>
      </w:r>
      <w:r w:rsidRPr="009F14A2">
        <w:rPr>
          <w:rFonts w:cs="Times New Roman"/>
          <w:b/>
          <w:color w:val="000000"/>
          <w:szCs w:val="28"/>
          <w:lang w:val="en-US"/>
        </w:rPr>
        <w:t>utLayer</w:t>
      </w:r>
    </w:p>
    <w:p w:rsid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 w:rsidRPr="00274819">
        <w:rPr>
          <w:rFonts w:cs="Times New Roman"/>
          <w:color w:val="000000"/>
          <w:szCs w:val="28"/>
        </w:rPr>
        <w:t>Данны</w:t>
      </w:r>
      <w:r>
        <w:rPr>
          <w:rFonts w:cs="Times New Roman"/>
          <w:color w:val="000000"/>
          <w:szCs w:val="28"/>
        </w:rPr>
        <w:t>й</w:t>
      </w:r>
      <w:r w:rsidR="000448F7">
        <w:rPr>
          <w:rFonts w:cs="Times New Roman"/>
          <w:color w:val="000000"/>
          <w:szCs w:val="28"/>
        </w:rPr>
        <w:t xml:space="preserve"> класс является реализацией прореживающего слоя. Этот</w:t>
      </w:r>
      <w:r>
        <w:rPr>
          <w:rFonts w:cs="Times New Roman"/>
          <w:color w:val="000000"/>
          <w:szCs w:val="28"/>
        </w:rPr>
        <w:t xml:space="preserve"> слой используется для предотвращения переобучения сети. Это происходит следующим образом. Выбирается вероятность прореживания сети. Затем происходит отключение нейрона ( его значение не будет использоваться в следующих слоях и размер сети уменьшается) с вероятностью прореживания. </w:t>
      </w: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274819">
        <w:rPr>
          <w:rFonts w:ascii="Courier New" w:hAnsi="Courier New" w:cs="Courier New"/>
          <w:color w:val="000000"/>
          <w:szCs w:val="28"/>
          <w:lang w:val="en-US"/>
        </w:rPr>
        <w:t>q</w:t>
      </w:r>
      <w:r w:rsidRPr="004B33D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задается и хранится вероятность прореживания.</w:t>
      </w:r>
    </w:p>
    <w:p w:rsidR="004B33D3" w:rsidRPr="004B33D3" w:rsidRDefault="004B33D3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Dropout</w:t>
      </w:r>
      <w:r w:rsidRPr="000448F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 производит операцию прореживания.</w:t>
      </w:r>
    </w:p>
    <w:p w:rsidR="00274819" w:rsidRP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Pr="00274819" w:rsidRDefault="00274819" w:rsidP="00274819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Pr="00274819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 w:rsidR="00121B14">
        <w:rPr>
          <w:rFonts w:cs="Times New Roman"/>
          <w:color w:val="000000"/>
          <w:szCs w:val="28"/>
        </w:rPr>
        <w:t>.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C77127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="003D2F49" w:rsidRPr="00D61C63">
        <w:rPr>
          <w:rFonts w:cs="Times New Roman"/>
          <w:color w:val="000000"/>
          <w:szCs w:val="28"/>
        </w:rPr>
        <w:t>«</w:t>
      </w:r>
      <w:r w:rsidR="003D2F49">
        <w:rPr>
          <w:rFonts w:cs="Times New Roman"/>
          <w:color w:val="000000"/>
          <w:szCs w:val="28"/>
          <w:lang w:val="en-US"/>
        </w:rPr>
        <w:t>Softmax</w:t>
      </w:r>
      <w:r w:rsidRPr="00A90B04">
        <w:rPr>
          <w:rFonts w:cs="Times New Roman"/>
          <w:szCs w:val="28"/>
        </w:rPr>
        <w:t>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="00C77127" w:rsidRPr="00C77127">
        <w:rPr>
          <w:rFonts w:cs="Times New Roman"/>
          <w:szCs w:val="28"/>
        </w:rPr>
        <w:t xml:space="preserve"> </w:t>
      </w:r>
      <w:r w:rsidR="00C77127">
        <w:rPr>
          <w:rFonts w:cs="Times New Roman"/>
          <w:szCs w:val="28"/>
        </w:rPr>
        <w:t>Здесь происходит нормализация вероятностей, чтобы их сумма была равна единице.</w:t>
      </w:r>
    </w:p>
    <w:p w:rsidR="002F0C6D" w:rsidRPr="00A90B04" w:rsidRDefault="002F0C6D" w:rsidP="00951CCA">
      <w:pPr>
        <w:pStyle w:val="a3"/>
        <w:ind w:left="0" w:firstLine="709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 w:rsidRPr="00951CCA">
        <w:rPr>
          <w:rFonts w:ascii="Courier New" w:hAnsi="Courier New" w:cs="Courier New"/>
          <w:color w:val="000000"/>
          <w:szCs w:val="28"/>
          <w:lang w:val="en-US"/>
        </w:rPr>
        <w:t>pair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</w:t>
      </w:r>
      <w:r w:rsidR="00121B14">
        <w:rPr>
          <w:rFonts w:cs="Times New Roman"/>
          <w:color w:val="000000"/>
          <w:szCs w:val="28"/>
        </w:rPr>
        <w:t>я её обучением и тестированием.</w:t>
      </w:r>
    </w:p>
    <w:p w:rsidR="00E24B94" w:rsidRPr="00E24B94" w:rsidRDefault="00E24B94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 w:rsidRPr="00951CCA">
        <w:rPr>
          <w:rFonts w:ascii="Courier New" w:hAnsi="Courier New" w:cs="Courier New"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2" w:name="habracut"/>
      <w:bookmarkEnd w:id="2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4E68A8" w:rsidRPr="00951CCA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Pr="00252B44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 w:rsidRPr="00252B44">
        <w:rPr>
          <w:rFonts w:cs="Times New Roman"/>
          <w:color w:val="000000"/>
          <w:szCs w:val="28"/>
        </w:rPr>
        <w:t>: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BE55F9" w:rsidRPr="00252B44">
        <w:rPr>
          <w:rFonts w:ascii="Courier New" w:hAnsi="Courier New" w:cs="Courier New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 w:rsidR="00BE55F9">
        <w:rPr>
          <w:rFonts w:cs="Times New Roman"/>
          <w:color w:val="000000"/>
          <w:szCs w:val="28"/>
        </w:rPr>
        <w:t xml:space="preserve"> виды операций для взаимодействия с </w:t>
      </w:r>
      <w:r w:rsidR="00BE55F9">
        <w:rPr>
          <w:rFonts w:cs="Times New Roman"/>
          <w:color w:val="000000"/>
          <w:szCs w:val="28"/>
          <w:lang w:val="en-US"/>
        </w:rPr>
        <w:t>XML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Get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>
        <w:rPr>
          <w:rFonts w:cs="Times New Roman"/>
          <w:color w:val="000000"/>
          <w:szCs w:val="28"/>
        </w:rPr>
        <w:t xml:space="preserve"> операции чтения,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Set</w:t>
      </w:r>
      <w:r w:rsidR="00BE55F9"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записи.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CD2952" w:rsidRPr="00252B44">
        <w:rPr>
          <w:rFonts w:ascii="Courier New" w:hAnsi="Courier New" w:cs="Courier New"/>
          <w:color w:val="000000"/>
          <w:szCs w:val="28"/>
          <w:lang w:val="en-US"/>
        </w:rPr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134059" w:rsidRPr="00252B44">
        <w:rPr>
          <w:rFonts w:ascii="Courier New" w:hAnsi="Courier New" w:cs="Courier New"/>
          <w:color w:val="000000"/>
          <w:szCs w:val="28"/>
          <w:lang w:val="en-US"/>
        </w:rPr>
        <w:t>NetworkMode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 w:rsidR="00134059">
        <w:rPr>
          <w:rFonts w:cs="Times New Roman"/>
          <w:color w:val="000000"/>
          <w:szCs w:val="28"/>
          <w:lang w:val="en-US"/>
        </w:rPr>
        <w:t>Train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Test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тестирования,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Work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непосредственно работы.</w:t>
      </w:r>
    </w:p>
    <w:p w:rsidR="00DF6A81" w:rsidRPr="00BE55F9" w:rsidRDefault="00DF6A81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BE58D0" w:rsidRPr="00BE55F9" w:rsidRDefault="00BE58D0" w:rsidP="00951CCA">
      <w:pPr>
        <w:tabs>
          <w:tab w:val="left" w:pos="1560"/>
          <w:tab w:val="left" w:pos="5954"/>
        </w:tabs>
        <w:ind w:firstLine="709"/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197C5A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номер версии приложения</w:t>
      </w:r>
      <w:r w:rsidR="004B08ED"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 xml:space="preserve">путь к файлу формата </w:t>
      </w:r>
      <w:r w:rsidR="004B08ED">
        <w:rPr>
          <w:rFonts w:cs="Times New Roman"/>
          <w:color w:val="000000"/>
          <w:szCs w:val="28"/>
          <w:lang w:val="en-US"/>
        </w:rPr>
        <w:t>XML</w:t>
      </w:r>
      <w:r w:rsidR="004B08ED"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C0F8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Default="00F50ED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811798" w:rsidRDefault="00811798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5020B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 w:rsidRPr="0078032E">
        <w:rPr>
          <w:rFonts w:cs="Times New Roman"/>
          <w:color w:val="000000"/>
          <w:szCs w:val="28"/>
        </w:rPr>
        <w:t>Таблица 3.1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7088"/>
      </w:tblGrid>
      <w:tr w:rsidR="00B6474F" w:rsidTr="00B306BB">
        <w:trPr>
          <w:trHeight w:val="113"/>
          <w:jc w:val="center"/>
        </w:trPr>
        <w:tc>
          <w:tcPr>
            <w:tcW w:w="201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08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B306BB">
        <w:trPr>
          <w:trHeight w:val="146"/>
          <w:jc w:val="center"/>
        </w:trPr>
        <w:tc>
          <w:tcPr>
            <w:tcW w:w="2018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088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B306BB">
        <w:trPr>
          <w:trHeight w:val="163"/>
          <w:jc w:val="center"/>
        </w:trPr>
        <w:tc>
          <w:tcPr>
            <w:tcW w:w="2018" w:type="dxa"/>
          </w:tcPr>
          <w:p w:rsidR="006632EE" w:rsidRDefault="006632EE" w:rsidP="00BA534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088" w:type="dxa"/>
          </w:tcPr>
          <w:p w:rsidR="006632EE" w:rsidRPr="009561F0" w:rsidRDefault="006632EE" w:rsidP="00820EE7">
            <w:pPr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306BB">
        <w:trPr>
          <w:jc w:val="center"/>
        </w:trPr>
        <w:tc>
          <w:tcPr>
            <w:tcW w:w="2018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088" w:type="dxa"/>
          </w:tcPr>
          <w:p w:rsidR="00B6474F" w:rsidRDefault="00B4066F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088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DF6A81">
        <w:trPr>
          <w:trHeight w:val="139"/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DF6A81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6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AA" w:rsidRDefault="008102AA" w:rsidP="00D34F5B">
      <w:r>
        <w:separator/>
      </w:r>
    </w:p>
  </w:endnote>
  <w:endnote w:type="continuationSeparator" w:id="0">
    <w:p w:rsidR="008102AA" w:rsidRDefault="008102A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425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AA" w:rsidRDefault="008102AA" w:rsidP="00D34F5B">
      <w:r>
        <w:separator/>
      </w:r>
    </w:p>
  </w:footnote>
  <w:footnote w:type="continuationSeparator" w:id="0">
    <w:p w:rsidR="008102AA" w:rsidRDefault="008102A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5" w15:restartNumberingAfterBreak="0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8" w15:restartNumberingAfterBreak="0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3"/>
  </w:num>
  <w:num w:numId="5">
    <w:abstractNumId w:val="6"/>
  </w:num>
  <w:num w:numId="6">
    <w:abstractNumId w:val="20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  <w:num w:numId="16">
    <w:abstractNumId w:val="18"/>
  </w:num>
  <w:num w:numId="17">
    <w:abstractNumId w:val="4"/>
  </w:num>
  <w:num w:numId="18">
    <w:abstractNumId w:val="19"/>
  </w:num>
  <w:num w:numId="19">
    <w:abstractNumId w:val="3"/>
  </w:num>
  <w:num w:numId="20">
    <w:abstractNumId w:val="7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48F7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82A3F"/>
    <w:rsid w:val="000A142A"/>
    <w:rsid w:val="000B58C7"/>
    <w:rsid w:val="000B645E"/>
    <w:rsid w:val="000D7AA0"/>
    <w:rsid w:val="000F1A75"/>
    <w:rsid w:val="0010084A"/>
    <w:rsid w:val="00106B7C"/>
    <w:rsid w:val="00121B14"/>
    <w:rsid w:val="001228A7"/>
    <w:rsid w:val="00123712"/>
    <w:rsid w:val="001318A5"/>
    <w:rsid w:val="00134059"/>
    <w:rsid w:val="00137012"/>
    <w:rsid w:val="00137CED"/>
    <w:rsid w:val="001502AF"/>
    <w:rsid w:val="00153EA0"/>
    <w:rsid w:val="00160057"/>
    <w:rsid w:val="00160951"/>
    <w:rsid w:val="00165303"/>
    <w:rsid w:val="00172E2E"/>
    <w:rsid w:val="00173B03"/>
    <w:rsid w:val="0017415B"/>
    <w:rsid w:val="00176C4A"/>
    <w:rsid w:val="00181AB2"/>
    <w:rsid w:val="0018315B"/>
    <w:rsid w:val="00183C67"/>
    <w:rsid w:val="00183F4B"/>
    <w:rsid w:val="00197201"/>
    <w:rsid w:val="00197C5A"/>
    <w:rsid w:val="001A10BB"/>
    <w:rsid w:val="001A2C52"/>
    <w:rsid w:val="001C02AE"/>
    <w:rsid w:val="001C6848"/>
    <w:rsid w:val="001D38FE"/>
    <w:rsid w:val="001D6205"/>
    <w:rsid w:val="001E106B"/>
    <w:rsid w:val="001E3128"/>
    <w:rsid w:val="001E4318"/>
    <w:rsid w:val="001E7504"/>
    <w:rsid w:val="001F3EC4"/>
    <w:rsid w:val="001F4F8F"/>
    <w:rsid w:val="001F611E"/>
    <w:rsid w:val="00200483"/>
    <w:rsid w:val="00201E68"/>
    <w:rsid w:val="002065EE"/>
    <w:rsid w:val="00214B4D"/>
    <w:rsid w:val="00222ABA"/>
    <w:rsid w:val="00231084"/>
    <w:rsid w:val="002345BA"/>
    <w:rsid w:val="00242E04"/>
    <w:rsid w:val="00243F13"/>
    <w:rsid w:val="002455A0"/>
    <w:rsid w:val="0025056B"/>
    <w:rsid w:val="00250B6C"/>
    <w:rsid w:val="00252B44"/>
    <w:rsid w:val="00255F2C"/>
    <w:rsid w:val="00260151"/>
    <w:rsid w:val="00260636"/>
    <w:rsid w:val="00274819"/>
    <w:rsid w:val="002868E2"/>
    <w:rsid w:val="00290FB5"/>
    <w:rsid w:val="002913B9"/>
    <w:rsid w:val="00294392"/>
    <w:rsid w:val="002A3534"/>
    <w:rsid w:val="002A458C"/>
    <w:rsid w:val="002B08BB"/>
    <w:rsid w:val="002C48B0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9"/>
    <w:rsid w:val="003D2F4D"/>
    <w:rsid w:val="003D3A2B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FA6"/>
    <w:rsid w:val="00426A6D"/>
    <w:rsid w:val="00426F07"/>
    <w:rsid w:val="0044117D"/>
    <w:rsid w:val="0045020B"/>
    <w:rsid w:val="00456216"/>
    <w:rsid w:val="004705BB"/>
    <w:rsid w:val="004705D1"/>
    <w:rsid w:val="004727BB"/>
    <w:rsid w:val="004779A4"/>
    <w:rsid w:val="004918B6"/>
    <w:rsid w:val="00495620"/>
    <w:rsid w:val="004A1596"/>
    <w:rsid w:val="004A774A"/>
    <w:rsid w:val="004B08ED"/>
    <w:rsid w:val="004B0ECF"/>
    <w:rsid w:val="004B33D3"/>
    <w:rsid w:val="004B4F77"/>
    <w:rsid w:val="004C0F8A"/>
    <w:rsid w:val="004C3A67"/>
    <w:rsid w:val="004C4BC2"/>
    <w:rsid w:val="004C5437"/>
    <w:rsid w:val="004D1296"/>
    <w:rsid w:val="004D7361"/>
    <w:rsid w:val="004E184D"/>
    <w:rsid w:val="004E4DAC"/>
    <w:rsid w:val="004E4FDC"/>
    <w:rsid w:val="004E5E31"/>
    <w:rsid w:val="004E68A8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041A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632EE"/>
    <w:rsid w:val="00682724"/>
    <w:rsid w:val="00685A9F"/>
    <w:rsid w:val="006A28F1"/>
    <w:rsid w:val="006B0E24"/>
    <w:rsid w:val="006C1F2D"/>
    <w:rsid w:val="006D382D"/>
    <w:rsid w:val="006D3D07"/>
    <w:rsid w:val="006F1C64"/>
    <w:rsid w:val="007014D2"/>
    <w:rsid w:val="00713F69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A096C"/>
    <w:rsid w:val="007A0C45"/>
    <w:rsid w:val="007A5DC5"/>
    <w:rsid w:val="007A5EE3"/>
    <w:rsid w:val="007A60CE"/>
    <w:rsid w:val="007B22E1"/>
    <w:rsid w:val="007B3EDC"/>
    <w:rsid w:val="007C0F2B"/>
    <w:rsid w:val="007C2425"/>
    <w:rsid w:val="007D4A80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647A"/>
    <w:rsid w:val="00851FB9"/>
    <w:rsid w:val="008529B4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604"/>
    <w:rsid w:val="008F3BA9"/>
    <w:rsid w:val="008F531A"/>
    <w:rsid w:val="008F7038"/>
    <w:rsid w:val="00902CBF"/>
    <w:rsid w:val="00903C2B"/>
    <w:rsid w:val="00917F14"/>
    <w:rsid w:val="00925D8A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E22DB"/>
    <w:rsid w:val="009F14A2"/>
    <w:rsid w:val="009F3CB0"/>
    <w:rsid w:val="00A009DE"/>
    <w:rsid w:val="00A108CB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CB3"/>
    <w:rsid w:val="00A646A1"/>
    <w:rsid w:val="00A64A9E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E2B70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60716"/>
    <w:rsid w:val="00B634A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77127"/>
    <w:rsid w:val="00C80D89"/>
    <w:rsid w:val="00C85D8A"/>
    <w:rsid w:val="00C90934"/>
    <w:rsid w:val="00C9236A"/>
    <w:rsid w:val="00C934B2"/>
    <w:rsid w:val="00C94BA5"/>
    <w:rsid w:val="00CA00B4"/>
    <w:rsid w:val="00CA5186"/>
    <w:rsid w:val="00CB2C0C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44FB"/>
    <w:rsid w:val="00D754A3"/>
    <w:rsid w:val="00D93112"/>
    <w:rsid w:val="00DA6320"/>
    <w:rsid w:val="00DB07FB"/>
    <w:rsid w:val="00DB4BDD"/>
    <w:rsid w:val="00DD0C0B"/>
    <w:rsid w:val="00DE4406"/>
    <w:rsid w:val="00DE7453"/>
    <w:rsid w:val="00DF340F"/>
    <w:rsid w:val="00DF6A81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96909"/>
    <w:rsid w:val="00EA15A0"/>
    <w:rsid w:val="00EA353C"/>
    <w:rsid w:val="00EA4479"/>
    <w:rsid w:val="00EA5B09"/>
    <w:rsid w:val="00EB2996"/>
    <w:rsid w:val="00EC1F51"/>
    <w:rsid w:val="00EC6467"/>
    <w:rsid w:val="00ED3991"/>
    <w:rsid w:val="00EE1DC9"/>
    <w:rsid w:val="00EE2B95"/>
    <w:rsid w:val="00EE6D6D"/>
    <w:rsid w:val="00EF4B77"/>
    <w:rsid w:val="00EF7DE1"/>
    <w:rsid w:val="00F14F61"/>
    <w:rsid w:val="00F20148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37E3"/>
  <w15:docId w15:val="{3E8761F9-7711-41BA-B3B0-F848B8B2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4DC40-967F-4ED7-9F2E-61B2850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3872</Words>
  <Characters>22074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332</cp:revision>
  <cp:lastPrinted>2017-03-09T17:41:00Z</cp:lastPrinted>
  <dcterms:created xsi:type="dcterms:W3CDTF">2017-05-23T00:07:00Z</dcterms:created>
  <dcterms:modified xsi:type="dcterms:W3CDTF">2019-04-26T07:27:00Z</dcterms:modified>
</cp:coreProperties>
</file>