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34F5B"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72537"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2EAC" w:rsidRPr="00BA6767">
        <w:rPr>
          <w:rFonts w:cs="Times New Roman"/>
          <w:szCs w:val="28"/>
        </w:rPr>
        <w:t>блок обработки изображения</w:t>
      </w:r>
      <w:r w:rsidR="00112EAC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4306E">
        <w:rPr>
          <w:rFonts w:cs="Times New Roman"/>
          <w:szCs w:val="28"/>
        </w:rPr>
        <w:t>б</w:t>
      </w:r>
      <w:r w:rsidR="00122D60" w:rsidRPr="00BA6767">
        <w:rPr>
          <w:rFonts w:cs="Times New Roman"/>
          <w:szCs w:val="28"/>
        </w:rPr>
        <w:t>лок</w:t>
      </w:r>
      <w:r w:rsidR="0034306E">
        <w:rPr>
          <w:rFonts w:cs="Times New Roman"/>
          <w:szCs w:val="28"/>
        </w:rPr>
        <w:t xml:space="preserve"> операции</w:t>
      </w:r>
      <w:r w:rsidR="00122D60" w:rsidRPr="00BA6767">
        <w:rPr>
          <w:rFonts w:cs="Times New Roman"/>
          <w:szCs w:val="28"/>
        </w:rPr>
        <w:t xml:space="preserve"> детектир</w:t>
      </w:r>
      <w:bookmarkStart w:id="1" w:name="_GoBack"/>
      <w:bookmarkEnd w:id="1"/>
      <w:r w:rsidR="00122D60" w:rsidRPr="00BA6767">
        <w:rPr>
          <w:rFonts w:cs="Times New Roman"/>
          <w:szCs w:val="28"/>
        </w:rPr>
        <w:t>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9436D" w:rsidRPr="00BA6767">
        <w:rPr>
          <w:rFonts w:cs="Times New Roman"/>
          <w:szCs w:val="28"/>
        </w:rPr>
        <w:t>блок стандартизации изображений</w:t>
      </w:r>
      <w:r w:rsidR="00D9436D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1209B9" w:rsidRDefault="00C72537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1209B9" w:rsidRDefault="00794694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Pr="0065465F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п</w:t>
      </w:r>
      <w:r w:rsidR="006F0BBC" w:rsidRPr="006F0BBC">
        <w:rPr>
          <w:rFonts w:cs="Times New Roman"/>
          <w:color w:val="000000"/>
          <w:szCs w:val="28"/>
        </w:rPr>
        <w:t>ростые прямоугольные функ</w:t>
      </w:r>
      <w:r w:rsidR="006F0BBC">
        <w:rPr>
          <w:rFonts w:cs="Times New Roman"/>
          <w:color w:val="000000"/>
          <w:szCs w:val="28"/>
        </w:rPr>
        <w:t>ции, называемые функциями Хаара</w:t>
      </w:r>
      <w:r w:rsidR="006F0BBC" w:rsidRPr="006F0BBC">
        <w:rPr>
          <w:rFonts w:cs="Times New Roman"/>
          <w:color w:val="000000"/>
          <w:szCs w:val="28"/>
        </w:rPr>
        <w:t>;</w:t>
      </w:r>
    </w:p>
    <w:p w:rsid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м</w:t>
      </w:r>
      <w:r w:rsidR="006F0BBC" w:rsidRPr="006F0BBC">
        <w:rPr>
          <w:rFonts w:cs="Times New Roman"/>
          <w:color w:val="000000"/>
          <w:szCs w:val="28"/>
        </w:rPr>
        <w:t>етод машинного обу</w:t>
      </w:r>
      <w:r w:rsidR="006F0BBC">
        <w:rPr>
          <w:rFonts w:cs="Times New Roman"/>
          <w:color w:val="000000"/>
          <w:szCs w:val="28"/>
        </w:rPr>
        <w:t xml:space="preserve">чения </w:t>
      </w:r>
      <w:proofErr w:type="spellStart"/>
      <w:r w:rsidR="006F0BBC">
        <w:rPr>
          <w:rFonts w:cs="Times New Roman"/>
          <w:color w:val="000000"/>
          <w:szCs w:val="28"/>
        </w:rPr>
        <w:t>AdaBoost</w:t>
      </w:r>
      <w:proofErr w:type="spellEnd"/>
      <w:r w:rsidR="006F0BBC"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и</w:t>
      </w:r>
      <w:r w:rsidR="007E4E23">
        <w:rPr>
          <w:rFonts w:cs="Times New Roman"/>
          <w:color w:val="000000"/>
          <w:szCs w:val="28"/>
        </w:rPr>
        <w:t>нтегральное изображение для упрощения поиска</w:t>
      </w:r>
      <w:r w:rsidR="007E4E23"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к</w:t>
      </w:r>
      <w:r w:rsidR="006F0BBC" w:rsidRPr="006F0BBC">
        <w:rPr>
          <w:rFonts w:cs="Times New Roman"/>
          <w:color w:val="000000"/>
          <w:szCs w:val="28"/>
        </w:rPr>
        <w:t>аскадный классификатор для эффективного совмещения</w:t>
      </w:r>
      <w:r w:rsidR="006F0BBC">
        <w:rPr>
          <w:rFonts w:cs="Times New Roman"/>
          <w:color w:val="000000"/>
          <w:szCs w:val="28"/>
        </w:rPr>
        <w:t xml:space="preserve"> </w:t>
      </w:r>
      <w:r w:rsidR="006F0BBC"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Pr="00C2528B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="00C2528B">
        <w:rPr>
          <w:rFonts w:cs="Times New Roman"/>
          <w:color w:val="000000"/>
          <w:szCs w:val="28"/>
        </w:rPr>
        <w:t>).</w:t>
      </w:r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proofErr w:type="spellStart"/>
      <w:r w:rsidRPr="00A1395B">
        <w:rPr>
          <w:rFonts w:cs="Times New Roman"/>
          <w:iCs/>
          <w:color w:val="000000"/>
          <w:szCs w:val="28"/>
        </w:rPr>
        <w:t>AdaBoost</w:t>
      </w:r>
      <w:proofErr w:type="spellEnd"/>
      <w:r w:rsidR="00C028F1" w:rsidRPr="00C028F1">
        <w:rPr>
          <w:rFonts w:cs="Times New Roman"/>
          <w:iCs/>
          <w:color w:val="000000"/>
          <w:szCs w:val="28"/>
        </w:rPr>
        <w:t xml:space="preserve"> </w:t>
      </w:r>
      <w:r w:rsidR="00822628">
        <w:rPr>
          <w:rFonts w:cs="Times New Roman"/>
          <w:color w:val="000000"/>
          <w:szCs w:val="28"/>
        </w:rPr>
        <w:t>–</w:t>
      </w:r>
      <w:r w:rsidR="00C028F1" w:rsidRPr="0028055C">
        <w:rPr>
          <w:rFonts w:cs="Times New Roman"/>
          <w:color w:val="000000"/>
          <w:szCs w:val="28"/>
        </w:rPr>
        <w:t xml:space="preserve"> </w:t>
      </w:r>
      <w:r w:rsidRPr="00A1395B">
        <w:rPr>
          <w:rFonts w:cs="Times New Roman"/>
          <w:color w:val="000000"/>
          <w:szCs w:val="28"/>
        </w:rPr>
        <w:t>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558593" cy="19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04" cy="19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C8" w:rsidRDefault="006174C8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063F44" w:rsidRPr="00F80535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  <w:r w:rsidR="00E534FC" w:rsidRPr="00F80535">
        <w:rPr>
          <w:rFonts w:cs="Times New Roman"/>
          <w:color w:val="000000"/>
          <w:szCs w:val="28"/>
        </w:rPr>
        <w:t xml:space="preserve"> [11]</w:t>
      </w:r>
    </w:p>
    <w:p w:rsid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65465F" w:rsidRPr="00A1395B" w:rsidRDefault="0065465F" w:rsidP="00A1395B">
      <w:pPr>
        <w:ind w:firstLine="708"/>
        <w:jc w:val="both"/>
        <w:rPr>
          <w:rFonts w:cs="Times New Roman"/>
          <w:color w:val="000000"/>
          <w:szCs w:val="28"/>
        </w:rPr>
      </w:pPr>
    </w:p>
    <w:p w:rsidR="00A1395B" w:rsidRPr="0034306E" w:rsidRDefault="002E4F0A" w:rsidP="00A1395B">
      <w:pPr>
        <w:ind w:firstLine="708"/>
        <w:jc w:val="center"/>
        <w:rPr>
          <w:rFonts w:cs="Times New Roman"/>
          <w:color w:val="000000"/>
          <w:szCs w:val="28"/>
        </w:rPr>
      </w:pPr>
      <w:r w:rsidRPr="0034306E">
        <w:rPr>
          <w:rFonts w:cs="Times New Roman"/>
          <w:color w:val="000000"/>
          <w:szCs w:val="28"/>
        </w:rPr>
        <w:t xml:space="preserve">                   </w:t>
      </w:r>
      <w:r w:rsidR="00822628" w:rsidRPr="0034306E">
        <w:rPr>
          <w:rFonts w:cs="Times New Roman"/>
          <w:color w:val="000000"/>
          <w:szCs w:val="28"/>
        </w:rPr>
        <w:t xml:space="preserve">     </w:t>
      </w:r>
      <w:r w:rsidR="00207CD6" w:rsidRPr="0034306E">
        <w:rPr>
          <w:rFonts w:cs="Times New Roman"/>
          <w:color w:val="000000"/>
          <w:szCs w:val="28"/>
        </w:rPr>
        <w:t xml:space="preserve">            </w:t>
      </w:r>
      <w:r w:rsidRPr="0034306E">
        <w:rPr>
          <w:rFonts w:cs="Times New Roman"/>
          <w:color w:val="000000"/>
          <w:szCs w:val="28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II</w:t>
      </w:r>
      <w:r w:rsidR="00A1395B" w:rsidRPr="0034306E">
        <w:rPr>
          <w:rFonts w:cs="Times New Roman"/>
          <w:color w:val="000000"/>
          <w:szCs w:val="28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x</w:t>
      </w:r>
      <w:r w:rsidR="00A1395B" w:rsidRPr="0034306E">
        <w:rPr>
          <w:rFonts w:cs="Times New Roman"/>
          <w:color w:val="000000"/>
          <w:szCs w:val="28"/>
        </w:rPr>
        <w:t>,</w:t>
      </w:r>
      <w:r w:rsidR="00207CD6" w:rsidRPr="0034306E">
        <w:rPr>
          <w:rFonts w:cs="Times New Roman"/>
          <w:color w:val="000000"/>
          <w:szCs w:val="28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y</w:t>
      </w:r>
      <w:r w:rsidR="00A1395B" w:rsidRPr="0034306E">
        <w:rPr>
          <w:rFonts w:cs="Times New Roman"/>
          <w:color w:val="000000"/>
          <w:szCs w:val="28"/>
        </w:rPr>
        <w:t xml:space="preserve">) = </w:t>
      </w:r>
      <w:proofErr w:type="gramStart"/>
      <w:r w:rsidR="00A9592C" w:rsidRPr="00822628">
        <w:rPr>
          <w:rFonts w:cs="Times New Roman"/>
          <w:color w:val="000000"/>
          <w:szCs w:val="28"/>
          <w:lang w:val="en-US"/>
        </w:rPr>
        <w:t>Sum</w:t>
      </w:r>
      <w:r w:rsidR="00A1395B" w:rsidRPr="0034306E">
        <w:rPr>
          <w:rFonts w:cs="Times New Roman"/>
          <w:color w:val="000000"/>
          <w:szCs w:val="28"/>
        </w:rPr>
        <w:t>(</w:t>
      </w:r>
      <w:proofErr w:type="gramEnd"/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34306E">
        <w:rPr>
          <w:rFonts w:cs="Times New Roman"/>
          <w:color w:val="000000"/>
          <w:szCs w:val="28"/>
        </w:rPr>
        <w:t>(</w:t>
      </w:r>
      <w:proofErr w:type="spellStart"/>
      <w:r w:rsidR="00A1395B" w:rsidRPr="00822628">
        <w:rPr>
          <w:rFonts w:cs="Times New Roman"/>
          <w:color w:val="000000"/>
          <w:szCs w:val="28"/>
          <w:lang w:val="en-US"/>
        </w:rPr>
        <w:t>i</w:t>
      </w:r>
      <w:proofErr w:type="spellEnd"/>
      <w:r w:rsidR="00A1395B" w:rsidRPr="0034306E">
        <w:rPr>
          <w:rFonts w:cs="Times New Roman"/>
          <w:color w:val="000000"/>
          <w:szCs w:val="28"/>
        </w:rPr>
        <w:t>,</w:t>
      </w:r>
      <w:r w:rsidR="00A1395B" w:rsidRPr="00822628">
        <w:rPr>
          <w:rFonts w:cs="Times New Roman"/>
          <w:color w:val="000000"/>
          <w:szCs w:val="28"/>
          <w:lang w:val="en-US"/>
        </w:rPr>
        <w:t>j</w:t>
      </w:r>
      <w:r w:rsidR="00A1395B" w:rsidRPr="0034306E">
        <w:rPr>
          <w:rFonts w:cs="Times New Roman"/>
          <w:color w:val="000000"/>
          <w:szCs w:val="28"/>
        </w:rPr>
        <w:t>)),</w:t>
      </w:r>
      <w:r w:rsidR="00822628" w:rsidRPr="0034306E">
        <w:rPr>
          <w:rFonts w:cs="Times New Roman"/>
          <w:color w:val="000000"/>
          <w:szCs w:val="28"/>
        </w:rPr>
        <w:t xml:space="preserve">             </w:t>
      </w:r>
      <w:r w:rsidRPr="0034306E">
        <w:rPr>
          <w:rFonts w:cs="Times New Roman"/>
          <w:color w:val="000000"/>
          <w:szCs w:val="28"/>
        </w:rPr>
        <w:t xml:space="preserve">              </w:t>
      </w:r>
      <w:r w:rsidR="00822628" w:rsidRPr="0034306E">
        <w:rPr>
          <w:rFonts w:cs="Times New Roman"/>
          <w:color w:val="000000"/>
          <w:szCs w:val="28"/>
        </w:rPr>
        <w:t xml:space="preserve">            </w:t>
      </w:r>
      <w:r w:rsidRPr="0034306E">
        <w:rPr>
          <w:rFonts w:cs="Times New Roman"/>
          <w:color w:val="000000"/>
          <w:szCs w:val="28"/>
        </w:rPr>
        <w:t xml:space="preserve"> </w:t>
      </w:r>
      <w:r w:rsidR="00A9592C" w:rsidRPr="0034306E">
        <w:rPr>
          <w:rFonts w:cs="Times New Roman"/>
          <w:color w:val="000000"/>
          <w:szCs w:val="28"/>
        </w:rPr>
        <w:t xml:space="preserve"> </w:t>
      </w:r>
      <w:r w:rsidRPr="0034306E">
        <w:rPr>
          <w:rFonts w:cs="Times New Roman"/>
          <w:color w:val="000000"/>
          <w:szCs w:val="28"/>
        </w:rPr>
        <w:t xml:space="preserve">    (2.1)</w:t>
      </w:r>
    </w:p>
    <w:p w:rsidR="0065465F" w:rsidRPr="0034306E" w:rsidRDefault="0065465F" w:rsidP="00A1395B">
      <w:pPr>
        <w:ind w:firstLine="708"/>
        <w:jc w:val="center"/>
        <w:rPr>
          <w:rFonts w:cs="Times New Roman"/>
          <w:color w:val="000000"/>
          <w:szCs w:val="28"/>
        </w:rPr>
      </w:pPr>
    </w:p>
    <w:p w:rsidR="00A1395B" w:rsidRDefault="00A1395B" w:rsidP="00822628">
      <w:pPr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>где I(</w:t>
      </w:r>
      <w:proofErr w:type="spellStart"/>
      <w:r w:rsidRPr="00A1395B">
        <w:rPr>
          <w:rFonts w:cs="Times New Roman"/>
          <w:color w:val="000000"/>
          <w:szCs w:val="28"/>
        </w:rPr>
        <w:t>i,j</w:t>
      </w:r>
      <w:proofErr w:type="spellEnd"/>
      <w:r w:rsidRPr="00A1395B">
        <w:rPr>
          <w:rFonts w:cs="Times New Roman"/>
          <w:color w:val="000000"/>
          <w:szCs w:val="28"/>
        </w:rPr>
        <w:t xml:space="preserve">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65465F" w:rsidRDefault="0065465F" w:rsidP="007E4E23">
      <w:pPr>
        <w:ind w:firstLine="708"/>
        <w:jc w:val="both"/>
        <w:rPr>
          <w:rFonts w:cs="Times New Roman"/>
          <w:color w:val="000000"/>
          <w:szCs w:val="28"/>
        </w:rPr>
      </w:pP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Pr="00A9592C">
        <w:rPr>
          <w:rFonts w:cs="Times New Roman"/>
          <w:color w:val="000000"/>
          <w:szCs w:val="28"/>
        </w:rPr>
        <w:t>y] содержит в себе сумму пикселей изображения в прямоугольнике от (0,0) до (x,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="0028055C">
        <w:rPr>
          <w:rFonts w:cs="Times New Roman"/>
          <w:color w:val="000000"/>
          <w:szCs w:val="28"/>
        </w:rPr>
        <w:t>y).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</w:t>
      </w:r>
      <w:proofErr w:type="spellStart"/>
      <w:r w:rsidRPr="004A11D6">
        <w:rPr>
          <w:rFonts w:cs="Times New Roman"/>
          <w:i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34306E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</w:t>
      </w:r>
      <w:r w:rsidR="006E6693">
        <w:rPr>
          <w:rFonts w:cs="Times New Roman"/>
          <w:b/>
          <w:color w:val="000000"/>
          <w:szCs w:val="28"/>
        </w:rPr>
        <w:t>Блок стандартизации изображений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65465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 xml:space="preserve">ого канала свой </w:t>
      </w:r>
      <w:r w:rsidR="00B91763">
        <w:rPr>
          <w:rFonts w:cs="Times New Roman"/>
          <w:color w:val="000000"/>
          <w:szCs w:val="28"/>
        </w:rPr>
        <w:lastRenderedPageBreak/>
        <w:t>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="0034306E">
        <w:rPr>
          <w:rFonts w:cs="Times New Roman"/>
          <w:color w:val="000000"/>
          <w:szCs w:val="28"/>
        </w:rPr>
        <w:t xml:space="preserve">Данный слой </w:t>
      </w:r>
      <w:r w:rsidRPr="00BA6767">
        <w:rPr>
          <w:rFonts w:cs="Times New Roman"/>
          <w:color w:val="000000"/>
          <w:szCs w:val="28"/>
        </w:rPr>
        <w:t>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65465F">
      <w:pPr>
        <w:pStyle w:val="a3"/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</w:t>
      </w:r>
      <w:r w:rsidR="00822628" w:rsidRPr="00BA6767">
        <w:rPr>
          <w:rFonts w:cs="Times New Roman"/>
          <w:color w:val="000000"/>
          <w:szCs w:val="28"/>
        </w:rPr>
        <w:t xml:space="preserve">обобщению </w:t>
      </w:r>
      <w:r w:rsidR="00822628" w:rsidRPr="00822628">
        <w:rPr>
          <w:rFonts w:cs="Times New Roman"/>
          <w:color w:val="222222"/>
          <w:szCs w:val="28"/>
          <w:shd w:val="clear" w:color="auto" w:fill="FFFFFF"/>
        </w:rPr>
        <w:t>демонстрируемой</w:t>
      </w:r>
      <w:r w:rsidRPr="00BA6767">
        <w:rPr>
          <w:rFonts w:cs="Times New Roman"/>
          <w:color w:val="000000"/>
          <w:szCs w:val="28"/>
        </w:rPr>
        <w:t xml:space="preserve">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822628" w:rsidP="0065465F">
      <w:pPr>
        <w:numPr>
          <w:ilvl w:val="0"/>
          <w:numId w:val="4"/>
        </w:numPr>
        <w:shd w:val="clear" w:color="auto" w:fill="FFFFFF"/>
        <w:tabs>
          <w:tab w:val="left" w:pos="142"/>
          <w:tab w:val="left" w:pos="851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E32579"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Существует несколько выверенных и </w:t>
      </w:r>
      <w:r w:rsidRPr="00BA6767">
        <w:rPr>
          <w:rFonts w:cs="Times New Roman"/>
          <w:color w:val="000000"/>
          <w:szCs w:val="28"/>
        </w:rPr>
        <w:lastRenderedPageBreak/>
        <w:t>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</w:t>
      </w:r>
      <w:r w:rsidR="00822628" w:rsidRPr="00BA6767">
        <w:rPr>
          <w:rFonts w:cs="Times New Roman"/>
          <w:color w:val="000000"/>
          <w:szCs w:val="28"/>
        </w:rPr>
        <w:t>получения географических</w:t>
      </w:r>
      <w:r w:rsidR="005D34CE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proofErr w:type="spellStart"/>
      <w:r w:rsidR="0077128E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</w:t>
      </w:r>
      <w:r w:rsidR="00822628">
        <w:rPr>
          <w:rFonts w:eastAsia="Times New Roman" w:cs="Times New Roman"/>
          <w:szCs w:val="28"/>
        </w:rPr>
        <w:t>знака, его</w:t>
      </w:r>
      <w:r w:rsidR="00FE4984">
        <w:rPr>
          <w:rFonts w:eastAsia="Times New Roman" w:cs="Times New Roman"/>
          <w:szCs w:val="28"/>
        </w:rPr>
        <w:t xml:space="preserve">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F80535">
      <w:footerReference w:type="default" r:id="rId9"/>
      <w:pgSz w:w="11906" w:h="16838"/>
      <w:pgMar w:top="1134" w:right="851" w:bottom="1531" w:left="1701" w:header="708" w:footer="964" w:gutter="0"/>
      <w:pgNumType w:start="1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FF" w:rsidRDefault="009E06FF" w:rsidP="00D34F5B">
      <w:r>
        <w:separator/>
      </w:r>
    </w:p>
  </w:endnote>
  <w:endnote w:type="continuationSeparator" w:id="0">
    <w:p w:rsidR="009E06FF" w:rsidRDefault="009E06FF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53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FF" w:rsidRDefault="009E06FF" w:rsidP="00D34F5B">
      <w:r>
        <w:separator/>
      </w:r>
    </w:p>
  </w:footnote>
  <w:footnote w:type="continuationSeparator" w:id="0">
    <w:p w:rsidR="009E06FF" w:rsidRDefault="009E06FF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80963"/>
    <w:multiLevelType w:val="hybridMultilevel"/>
    <w:tmpl w:val="3F4C9A98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97B46"/>
    <w:multiLevelType w:val="hybridMultilevel"/>
    <w:tmpl w:val="51580848"/>
    <w:lvl w:ilvl="0" w:tplc="8FCE36A4">
      <w:start w:val="1"/>
      <w:numFmt w:val="bullet"/>
      <w:lvlText w:val="–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DE78B0"/>
    <w:multiLevelType w:val="hybridMultilevel"/>
    <w:tmpl w:val="75B4097E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70807"/>
    <w:rsid w:val="000D7397"/>
    <w:rsid w:val="000E35DD"/>
    <w:rsid w:val="000F2E4D"/>
    <w:rsid w:val="0010664D"/>
    <w:rsid w:val="00112EAC"/>
    <w:rsid w:val="001209B9"/>
    <w:rsid w:val="00122D60"/>
    <w:rsid w:val="001367AF"/>
    <w:rsid w:val="00166A4F"/>
    <w:rsid w:val="001945A5"/>
    <w:rsid w:val="001C662C"/>
    <w:rsid w:val="001F1232"/>
    <w:rsid w:val="00205962"/>
    <w:rsid w:val="00207CD6"/>
    <w:rsid w:val="002154D7"/>
    <w:rsid w:val="00251E71"/>
    <w:rsid w:val="00252D27"/>
    <w:rsid w:val="0028055C"/>
    <w:rsid w:val="002926DA"/>
    <w:rsid w:val="002A5675"/>
    <w:rsid w:val="002C0FD6"/>
    <w:rsid w:val="002D2FCA"/>
    <w:rsid w:val="002E4F0A"/>
    <w:rsid w:val="002F1663"/>
    <w:rsid w:val="002F2351"/>
    <w:rsid w:val="002F6A08"/>
    <w:rsid w:val="0034306E"/>
    <w:rsid w:val="00356F9B"/>
    <w:rsid w:val="00366C5E"/>
    <w:rsid w:val="00375209"/>
    <w:rsid w:val="003B3CE0"/>
    <w:rsid w:val="003B63AD"/>
    <w:rsid w:val="003C2D17"/>
    <w:rsid w:val="003C6243"/>
    <w:rsid w:val="003E6CAC"/>
    <w:rsid w:val="0042518E"/>
    <w:rsid w:val="0045419B"/>
    <w:rsid w:val="004602DC"/>
    <w:rsid w:val="004A11D6"/>
    <w:rsid w:val="004B453A"/>
    <w:rsid w:val="004B6D86"/>
    <w:rsid w:val="004C7DF6"/>
    <w:rsid w:val="00511646"/>
    <w:rsid w:val="00532423"/>
    <w:rsid w:val="00543209"/>
    <w:rsid w:val="005451BB"/>
    <w:rsid w:val="00577252"/>
    <w:rsid w:val="005776E8"/>
    <w:rsid w:val="005C3C16"/>
    <w:rsid w:val="005D34CE"/>
    <w:rsid w:val="005E5E3C"/>
    <w:rsid w:val="00614A19"/>
    <w:rsid w:val="006174C8"/>
    <w:rsid w:val="0065465F"/>
    <w:rsid w:val="006556E7"/>
    <w:rsid w:val="006616A7"/>
    <w:rsid w:val="00664048"/>
    <w:rsid w:val="00664F7E"/>
    <w:rsid w:val="006E01C8"/>
    <w:rsid w:val="006E6693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22628"/>
    <w:rsid w:val="00840F31"/>
    <w:rsid w:val="00861986"/>
    <w:rsid w:val="00890FE8"/>
    <w:rsid w:val="0089330F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C35B1"/>
    <w:rsid w:val="009D2837"/>
    <w:rsid w:val="009E06FF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028F1"/>
    <w:rsid w:val="00C2425E"/>
    <w:rsid w:val="00C2528B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34FC"/>
    <w:rsid w:val="00E57529"/>
    <w:rsid w:val="00E61351"/>
    <w:rsid w:val="00E664CA"/>
    <w:rsid w:val="00E755FB"/>
    <w:rsid w:val="00E873EC"/>
    <w:rsid w:val="00EA0908"/>
    <w:rsid w:val="00ED15C2"/>
    <w:rsid w:val="00ED25A2"/>
    <w:rsid w:val="00F20136"/>
    <w:rsid w:val="00F208FF"/>
    <w:rsid w:val="00F45C03"/>
    <w:rsid w:val="00F561FC"/>
    <w:rsid w:val="00F60236"/>
    <w:rsid w:val="00F80535"/>
    <w:rsid w:val="00F97335"/>
    <w:rsid w:val="00FA31A2"/>
    <w:rsid w:val="00FC56AB"/>
    <w:rsid w:val="00FE4984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114</cp:revision>
  <dcterms:created xsi:type="dcterms:W3CDTF">2017-02-13T19:23:00Z</dcterms:created>
  <dcterms:modified xsi:type="dcterms:W3CDTF">2019-05-30T06:06:00Z</dcterms:modified>
</cp:coreProperties>
</file>