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  <w:lang w:val="en-US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A6767" w:rsidRDefault="00B2453E" w:rsidP="00D52315">
      <w:pPr>
        <w:ind w:firstLine="708"/>
        <w:jc w:val="both"/>
        <w:rPr>
          <w:rFonts w:cs="Times New Roman"/>
          <w:color w:val="000000"/>
          <w:szCs w:val="28"/>
          <w:lang w:val="en-US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</w:t>
      </w:r>
      <w:r w:rsidRPr="00BA6767">
        <w:rPr>
          <w:rFonts w:cs="Times New Roman"/>
          <w:b/>
        </w:rPr>
        <w:t>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A6767" w:rsidRDefault="00D34F5B" w:rsidP="00614A19">
      <w:pPr>
        <w:ind w:firstLine="708"/>
        <w:jc w:val="both"/>
        <w:rPr>
          <w:rFonts w:eastAsia="Times New Roman" w:cs="Times New Roman"/>
          <w:szCs w:val="28"/>
          <w:lang w:val="en-US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A6767" w:rsidRDefault="00B2453E" w:rsidP="00DB47CE">
      <w:pPr>
        <w:ind w:firstLine="708"/>
        <w:jc w:val="both"/>
        <w:rPr>
          <w:rFonts w:eastAsia="Times New Roman" w:cs="Times New Roman"/>
          <w:szCs w:val="28"/>
          <w:lang w:val="en-US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A6767">
        <w:rPr>
          <w:rFonts w:cs="Times New Roman"/>
          <w:b/>
          <w:lang w:val="en-US"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A6767" w:rsidRDefault="00B2453E" w:rsidP="00B2453E">
      <w:pPr>
        <w:jc w:val="both"/>
        <w:rPr>
          <w:rFonts w:eastAsia="Times New Roman" w:cs="Times New Roman"/>
          <w:szCs w:val="28"/>
          <w:lang w:val="en-US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2.4 </w:t>
      </w:r>
      <w:r w:rsidRPr="00BA6767">
        <w:rPr>
          <w:rFonts w:cs="Times New Roman"/>
          <w:b/>
          <w:color w:val="000000"/>
          <w:szCs w:val="28"/>
        </w:rPr>
        <w:t>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D8643A" w:rsidRPr="00BA6767">
        <w:rPr>
          <w:rFonts w:cs="Times New Roman"/>
          <w:color w:val="000000"/>
          <w:szCs w:val="28"/>
        </w:rPr>
        <w:t xml:space="preserve"> В данном блоке используется класс </w:t>
      </w:r>
      <w:proofErr w:type="spellStart"/>
      <w:r w:rsidR="00D8643A" w:rsidRPr="00BA6767">
        <w:rPr>
          <w:rFonts w:cs="Times New Roman"/>
          <w:color w:val="000000"/>
          <w:szCs w:val="28"/>
        </w:rPr>
        <w:t>CascadeClassifier</w:t>
      </w:r>
      <w:proofErr w:type="spellEnd"/>
      <w:r w:rsidR="00D8643A"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="00D8643A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D8643A"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="00D8643A"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A6767" w:rsidRDefault="002C0FD6" w:rsidP="005C3C16">
      <w:pPr>
        <w:ind w:firstLine="708"/>
        <w:jc w:val="both"/>
        <w:rPr>
          <w:rFonts w:cs="Times New Roman"/>
          <w:b/>
          <w:color w:val="000000"/>
          <w:szCs w:val="28"/>
          <w:lang w:val="en-US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A6767" w:rsidRDefault="001C662C" w:rsidP="005C3C16">
      <w:pPr>
        <w:ind w:firstLine="708"/>
        <w:jc w:val="both"/>
        <w:rPr>
          <w:rFonts w:cs="Times New Roman"/>
          <w:b/>
          <w:color w:val="000000"/>
          <w:szCs w:val="28"/>
          <w:lang w:val="en-US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стандартизации изображений необходим для преобразования изображений, полученных на этапе детектирования, к одному формату. Это 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proofErr w:type="spellStart"/>
      <w:r w:rsidR="00840F31" w:rsidRPr="00BA6767">
        <w:rPr>
          <w:rFonts w:cs="Times New Roman"/>
          <w:color w:val="000000"/>
          <w:szCs w:val="28"/>
        </w:rPr>
        <w:t>сверточную</w:t>
      </w:r>
      <w:proofErr w:type="spellEnd"/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proofErr w:type="gramStart"/>
      <w:r w:rsidR="007208A1" w:rsidRPr="00BA6767">
        <w:rPr>
          <w:rFonts w:cs="Times New Roman"/>
          <w:color w:val="000000"/>
          <w:szCs w:val="28"/>
        </w:rPr>
        <w:t>СНС</w:t>
      </w:r>
      <w:r w:rsidR="007208A1" w:rsidRPr="00BA6767">
        <w:rPr>
          <w:rFonts w:cs="Times New Roman"/>
          <w:color w:val="000000"/>
          <w:szCs w:val="28"/>
        </w:rPr>
        <w:t xml:space="preserve">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</w:t>
      </w:r>
      <w:proofErr w:type="gramStart"/>
      <w:r w:rsidR="005451BB" w:rsidRPr="00BA6767">
        <w:rPr>
          <w:rFonts w:cs="Times New Roman"/>
          <w:color w:val="000000"/>
          <w:szCs w:val="28"/>
        </w:rPr>
        <w:t>что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>СНС</w:t>
      </w:r>
      <w:r w:rsidR="007208A1" w:rsidRPr="00BA6767">
        <w:rPr>
          <w:rFonts w:cs="Times New Roman"/>
          <w:color w:val="000000"/>
          <w:szCs w:val="28"/>
        </w:rPr>
        <w:t xml:space="preserve">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lastRenderedPageBreak/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Слой активации. </w:t>
      </w:r>
      <w:r w:rsidRPr="00BA6767">
        <w:rPr>
          <w:rFonts w:cs="Times New Roman"/>
          <w:color w:val="000000"/>
          <w:szCs w:val="28"/>
        </w:rPr>
        <w:t>Слой активации обычно логически объединяют со слоем свертки.</w:t>
      </w:r>
      <w:r w:rsidRPr="00BA6767">
        <w:rPr>
          <w:rFonts w:cs="Times New Roman"/>
          <w:color w:val="000000"/>
          <w:szCs w:val="28"/>
        </w:rPr>
        <w:t xml:space="preserve">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 xml:space="preserve">, </m:t>
        </m:r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r>
          <w:rPr>
            <w:rFonts w:ascii="Cambria Math" w:hAnsi="Cambria Math" w:cs="Times New Roman"/>
            <w:color w:val="000000"/>
            <w:szCs w:val="28"/>
          </w:rPr>
          <m:t>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</m:t>
        </m:r>
        <m:r>
          <w:rPr>
            <w:rFonts w:ascii="Cambria Math" w:hAnsi="Cambria Math" w:cs="Times New Roman"/>
            <w:color w:val="000000"/>
            <w:szCs w:val="28"/>
          </w:rPr>
          <m:t>|</m:t>
        </m:r>
        <m:r>
          <w:rPr>
            <w:rFonts w:ascii="Cambria Math" w:hAnsi="Cambria Math" w:cs="Times New Roman"/>
            <w:color w:val="000000"/>
            <w:szCs w:val="28"/>
          </w:rPr>
          <m:t>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>ртки уже были выявлены некоторые признаки, то для дальнейшей обработки настолько подробное изображение уже не нужно, и оно уплотняется до менее подробного</w:t>
      </w:r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 При этом устанавливается соответствие 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демонстрируемой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 xml:space="preserve">, </w:t>
      </w:r>
      <w:proofErr w:type="gramStart"/>
      <w:r w:rsidR="00D52315">
        <w:rPr>
          <w:rFonts w:cs="Times New Roman"/>
          <w:color w:val="000000"/>
          <w:szCs w:val="28"/>
        </w:rPr>
        <w:t>а</w:t>
      </w:r>
      <w:proofErr w:type="gramEnd"/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D17E93" w:rsidRDefault="00E32579" w:rsidP="00D52315">
      <w:pPr>
        <w:numPr>
          <w:ilvl w:val="0"/>
          <w:numId w:val="4"/>
        </w:numPr>
        <w:shd w:val="clear" w:color="auto" w:fill="FFFFFF"/>
        <w:tabs>
          <w:tab w:val="left" w:pos="993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BA6767">
        <w:rPr>
          <w:rFonts w:eastAsia="Times New Roman" w:cs="Times New Roman"/>
          <w:color w:val="222222"/>
          <w:szCs w:val="28"/>
        </w:rPr>
        <w:t>о</w:t>
      </w:r>
      <w:r w:rsidR="00D17E93" w:rsidRPr="00D17E93">
        <w:rPr>
          <w:rFonts w:eastAsia="Times New Roman" w:cs="Times New Roman"/>
          <w:color w:val="222222"/>
          <w:szCs w:val="28"/>
        </w:rPr>
        <w:t>тносительная устойчивость к повороту и сдв</w:t>
      </w:r>
      <w:r w:rsidR="00D17E93" w:rsidRPr="00BA6767">
        <w:rPr>
          <w:rFonts w:eastAsia="Times New Roman" w:cs="Times New Roman"/>
          <w:color w:val="222222"/>
          <w:szCs w:val="28"/>
        </w:rPr>
        <w:t>игу распознаваемого изображения;</w:t>
      </w:r>
    </w:p>
    <w:p w:rsidR="00017F9C" w:rsidRPr="00BA6767" w:rsidRDefault="00E32579" w:rsidP="00D52315">
      <w:pPr>
        <w:pStyle w:val="a3"/>
        <w:numPr>
          <w:ilvl w:val="0"/>
          <w:numId w:val="4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lastRenderedPageBreak/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BA6767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proofErr w:type="gramStart"/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 используя</w:t>
      </w:r>
      <w:proofErr w:type="gramEnd"/>
      <w:r w:rsidRPr="00BA6767">
        <w:rPr>
          <w:rFonts w:cs="Times New Roman"/>
          <w:color w:val="000000"/>
          <w:szCs w:val="28"/>
        </w:rPr>
        <w:t xml:space="preserve">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 xml:space="preserve">Блок приведения полученных данных </w:t>
      </w:r>
      <w:proofErr w:type="gramStart"/>
      <w:r w:rsidRPr="00BA6767">
        <w:rPr>
          <w:rFonts w:eastAsia="Times New Roman" w:cs="Times New Roman"/>
          <w:szCs w:val="28"/>
        </w:rPr>
        <w:t>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</w:t>
      </w:r>
      <w:proofErr w:type="gramEnd"/>
      <w:r w:rsidRPr="00BA6767">
        <w:rPr>
          <w:rFonts w:eastAsia="Times New Roman" w:cs="Times New Roman"/>
          <w:szCs w:val="28"/>
        </w:rPr>
        <w:t>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его обнаружения на видеозаписи, что позволит контролировать изменение дорожных знаков на определенных участках дорог.</w:t>
      </w:r>
      <w:bookmarkStart w:id="1" w:name="_GoBack"/>
      <w:bookmarkEnd w:id="1"/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BA6767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8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493B" w:rsidRDefault="00C8493B" w:rsidP="00D34F5B">
      <w:r>
        <w:separator/>
      </w:r>
    </w:p>
  </w:endnote>
  <w:endnote w:type="continuationSeparator" w:id="0">
    <w:p w:rsidR="00C8493B" w:rsidRDefault="00C8493B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6CA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493B" w:rsidRDefault="00C8493B" w:rsidP="00D34F5B">
      <w:r>
        <w:separator/>
      </w:r>
    </w:p>
  </w:footnote>
  <w:footnote w:type="continuationSeparator" w:id="0">
    <w:p w:rsidR="00C8493B" w:rsidRDefault="00C8493B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B6D86"/>
    <w:rsid w:val="004C7DF6"/>
    <w:rsid w:val="00511646"/>
    <w:rsid w:val="00543209"/>
    <w:rsid w:val="005451BB"/>
    <w:rsid w:val="005776E8"/>
    <w:rsid w:val="005C3C16"/>
    <w:rsid w:val="005D34CE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D250C"/>
    <w:rsid w:val="008D2BF2"/>
    <w:rsid w:val="008F2B47"/>
    <w:rsid w:val="008F7038"/>
    <w:rsid w:val="00911273"/>
    <w:rsid w:val="00931CE6"/>
    <w:rsid w:val="00990E23"/>
    <w:rsid w:val="009F3F48"/>
    <w:rsid w:val="00A661D6"/>
    <w:rsid w:val="00A81C27"/>
    <w:rsid w:val="00B2453E"/>
    <w:rsid w:val="00B31064"/>
    <w:rsid w:val="00B40649"/>
    <w:rsid w:val="00B91763"/>
    <w:rsid w:val="00BA0F9A"/>
    <w:rsid w:val="00BA6456"/>
    <w:rsid w:val="00BA6767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755FB"/>
    <w:rsid w:val="00EA0908"/>
    <w:rsid w:val="00ED15C2"/>
    <w:rsid w:val="00F45C03"/>
    <w:rsid w:val="00F9733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0F3"/>
    <w:rsid w:val="00147D4D"/>
    <w:rsid w:val="0086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0F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70F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1249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72</cp:revision>
  <dcterms:created xsi:type="dcterms:W3CDTF">2017-02-13T19:23:00Z</dcterms:created>
  <dcterms:modified xsi:type="dcterms:W3CDTF">2019-04-18T08:08:00Z</dcterms:modified>
</cp:coreProperties>
</file>