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Изучив </w:t>
      </w:r>
      <w:proofErr w:type="gramStart"/>
      <w:r w:rsidRPr="00BA6767">
        <w:rPr>
          <w:rFonts w:cs="Times New Roman"/>
          <w:color w:val="000000"/>
          <w:szCs w:val="28"/>
        </w:rPr>
        <w:t>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</w:t>
      </w:r>
      <w:proofErr w:type="gramEnd"/>
      <w:r w:rsidRPr="00BA6767">
        <w:rPr>
          <w:rFonts w:cs="Times New Roman"/>
          <w:color w:val="000000"/>
          <w:szCs w:val="28"/>
        </w:rPr>
        <w:t xml:space="preserve">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112EAC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E61351" w:rsidRPr="008B1C87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  <w:r w:rsidR="00E61351" w:rsidRPr="00E61351">
        <w:rPr>
          <w:rFonts w:cs="Times New Roman"/>
          <w:color w:val="000000"/>
          <w:szCs w:val="28"/>
        </w:rPr>
        <w:t xml:space="preserve"> </w:t>
      </w:r>
    </w:p>
    <w:p w:rsidR="00E61351" w:rsidRPr="008B1C87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Pr="003152EE">
        <w:rPr>
          <w:rFonts w:cs="Times New Roman"/>
          <w:color w:val="000000"/>
          <w:szCs w:val="28"/>
        </w:rPr>
        <w:t>). </w:t>
      </w:r>
    </w:p>
    <w:p w:rsidR="00063F44" w:rsidRPr="008B1C87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688830" cy="2051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89" cy="20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E61351" w:rsidRPr="00E61351" w:rsidRDefault="00E61351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 В данном блоке используется класс </w:t>
      </w:r>
      <w:proofErr w:type="spellStart"/>
      <w:r w:rsidRPr="00BA6767">
        <w:rPr>
          <w:rFonts w:cs="Times New Roman"/>
          <w:color w:val="000000"/>
          <w:szCs w:val="28"/>
        </w:rPr>
        <w:t>CascadeClassifier</w:t>
      </w:r>
      <w:proofErr w:type="spellEnd"/>
      <w:r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стандартизации изображений необходим для преобразования изображений, полученных на этапе детектирования, к одному формату. Это </w:t>
      </w:r>
      <w:r w:rsidRPr="00BA6767">
        <w:rPr>
          <w:rFonts w:cs="Times New Roman"/>
          <w:color w:val="000000"/>
          <w:szCs w:val="28"/>
        </w:rPr>
        <w:lastRenderedPageBreak/>
        <w:t>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proofErr w:type="spellStart"/>
      <w:r w:rsidR="00840F31" w:rsidRPr="00BA6767">
        <w:rPr>
          <w:rFonts w:cs="Times New Roman"/>
          <w:color w:val="000000"/>
          <w:szCs w:val="28"/>
        </w:rPr>
        <w:t>сверточную</w:t>
      </w:r>
      <w:proofErr w:type="spellEnd"/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proofErr w:type="gramStart"/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образов.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Здесь она на основе обучающей выборки при подаче изображения будет определять с какой вероятностью знак на изображении принадлежит к тому или иному классу и на основе этих значений будет выбираться наибольшее, </w:t>
      </w:r>
      <w:proofErr w:type="gramStart"/>
      <w:r w:rsidR="005451BB" w:rsidRPr="00BA6767">
        <w:rPr>
          <w:rFonts w:cs="Times New Roman"/>
          <w:color w:val="000000"/>
          <w:szCs w:val="28"/>
        </w:rPr>
        <w:t>что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скорее всего означает принадлежность к этому классу.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должны быть: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  <w:bookmarkStart w:id="1" w:name="_GoBack"/>
      <w:bookmarkEnd w:id="1"/>
    </w:p>
    <w:p w:rsidR="00FA31A2" w:rsidRPr="00BA6767" w:rsidRDefault="00FA31A2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 xml:space="preserve">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="002C0FD6" w:rsidRPr="00BA6767">
        <w:rPr>
          <w:rFonts w:cs="Times New Roman"/>
          <w:color w:val="000000"/>
          <w:szCs w:val="28"/>
        </w:rPr>
        <w:t>подробного</w:t>
      </w:r>
      <w:proofErr w:type="gramEnd"/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E664CA">
      <w:pPr>
        <w:pStyle w:val="a3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 При этом устанавливается соответствие </w:t>
      </w:r>
      <w:r w:rsidRPr="00BA6767">
        <w:rPr>
          <w:rFonts w:cs="Times New Roman"/>
          <w:color w:val="000000"/>
          <w:szCs w:val="28"/>
        </w:rPr>
        <w:lastRenderedPageBreak/>
        <w:t>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E664CA">
      <w:pPr>
        <w:pStyle w:val="a3"/>
        <w:numPr>
          <w:ilvl w:val="0"/>
          <w:numId w:val="4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демонстрируемой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E664CA">
      <w:pPr>
        <w:pStyle w:val="a3"/>
        <w:numPr>
          <w:ilvl w:val="0"/>
          <w:numId w:val="4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 xml:space="preserve">, </w:t>
      </w:r>
      <w:proofErr w:type="gramStart"/>
      <w:r w:rsidR="00D52315">
        <w:rPr>
          <w:rFonts w:cs="Times New Roman"/>
          <w:color w:val="000000"/>
          <w:szCs w:val="28"/>
        </w:rPr>
        <w:t>а</w:t>
      </w:r>
      <w:proofErr w:type="gramEnd"/>
      <w:r w:rsidR="009F3F48" w:rsidRPr="00BA6767">
        <w:rPr>
          <w:rFonts w:cs="Times New Roman"/>
          <w:color w:val="000000"/>
          <w:szCs w:val="28"/>
        </w:rPr>
        <w:t xml:space="preserve"> следовательно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8B1C87" w:rsidRDefault="00E32579" w:rsidP="00E664CA">
      <w:pPr>
        <w:numPr>
          <w:ilvl w:val="0"/>
          <w:numId w:val="4"/>
        </w:numPr>
        <w:shd w:val="clear" w:color="auto" w:fill="FFFFFF"/>
        <w:tabs>
          <w:tab w:val="left" w:pos="142"/>
        </w:tabs>
        <w:spacing w:before="100" w:beforeAutospacing="1" w:after="24"/>
        <w:ind w:left="0" w:firstLine="0"/>
        <w:jc w:val="both"/>
        <w:rPr>
          <w:rFonts w:eastAsia="Times New Roman" w:cs="Times New Roman"/>
          <w:szCs w:val="28"/>
        </w:rPr>
      </w:pPr>
      <w:r w:rsidRPr="008B1C87">
        <w:rPr>
          <w:rFonts w:eastAsia="Times New Roman" w:cs="Times New Roman"/>
          <w:szCs w:val="28"/>
        </w:rPr>
        <w:t>о</w:t>
      </w:r>
      <w:r w:rsidR="00D17E93" w:rsidRPr="008B1C87">
        <w:rPr>
          <w:rFonts w:eastAsia="Times New Roman" w:cs="Times New Roman"/>
          <w:szCs w:val="28"/>
        </w:rPr>
        <w:t>тносительная устойчивость к повороту и сдвигу распознаваемого изображения;</w:t>
      </w:r>
    </w:p>
    <w:p w:rsidR="00017F9C" w:rsidRPr="00BA6767" w:rsidRDefault="00E32579" w:rsidP="00E664CA">
      <w:pPr>
        <w:pStyle w:val="a3"/>
        <w:numPr>
          <w:ilvl w:val="0"/>
          <w:numId w:val="4"/>
        </w:numPr>
        <w:tabs>
          <w:tab w:val="left" w:pos="142"/>
          <w:tab w:val="left" w:pos="709"/>
        </w:tabs>
        <w:ind w:left="0" w:firstLine="0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77128E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proofErr w:type="gramStart"/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 используя</w:t>
      </w:r>
      <w:proofErr w:type="gramEnd"/>
      <w:r w:rsidRPr="00BA6767">
        <w:rPr>
          <w:rFonts w:cs="Times New Roman"/>
          <w:color w:val="000000"/>
          <w:szCs w:val="28"/>
        </w:rPr>
        <w:t xml:space="preserve">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Используя утилиту </w:t>
      </w:r>
      <w:proofErr w:type="spellStart"/>
      <w:r w:rsidR="0077128E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77128E" w:rsidRPr="0077128E">
        <w:rPr>
          <w:rFonts w:cs="Times New Roman"/>
          <w:color w:val="000000"/>
          <w:szCs w:val="28"/>
        </w:rPr>
        <w:t xml:space="preserve"> </w:t>
      </w:r>
      <w:r w:rsidR="0077128E">
        <w:rPr>
          <w:rFonts w:cs="Times New Roman"/>
          <w:color w:val="000000"/>
          <w:szCs w:val="28"/>
        </w:rPr>
        <w:t xml:space="preserve">и необходимые аргументы можно получить субтитры в текстовом формате </w:t>
      </w:r>
      <w:r w:rsidR="0077128E">
        <w:rPr>
          <w:rFonts w:cs="Times New Roman"/>
          <w:color w:val="000000"/>
          <w:szCs w:val="28"/>
          <w:lang w:val="en-US"/>
        </w:rPr>
        <w:t>txt</w:t>
      </w:r>
      <w:r w:rsidR="0077128E" w:rsidRPr="0077128E">
        <w:rPr>
          <w:rFonts w:cs="Times New Roman"/>
          <w:color w:val="000000"/>
          <w:szCs w:val="28"/>
        </w:rPr>
        <w:t xml:space="preserve">, </w:t>
      </w:r>
      <w:r w:rsidR="0077128E">
        <w:rPr>
          <w:rFonts w:cs="Times New Roman"/>
          <w:color w:val="000000"/>
          <w:szCs w:val="28"/>
        </w:rPr>
        <w:t>в котором каждая запись содержи текущее время записи, географические координаты и момент на видеозаписи.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 xml:space="preserve">Блок приведения полученных данных </w:t>
      </w:r>
      <w:proofErr w:type="gramStart"/>
      <w:r w:rsidRPr="00BA6767">
        <w:rPr>
          <w:rFonts w:eastAsia="Times New Roman" w:cs="Times New Roman"/>
          <w:szCs w:val="28"/>
        </w:rPr>
        <w:t>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</w:t>
      </w:r>
      <w:proofErr w:type="gramEnd"/>
      <w:r w:rsidRPr="00BA6767">
        <w:rPr>
          <w:rFonts w:eastAsia="Times New Roman" w:cs="Times New Roman"/>
          <w:szCs w:val="28"/>
        </w:rPr>
        <w:t>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</w:t>
      </w:r>
      <w:r w:rsidRPr="00BA6767">
        <w:rPr>
          <w:rFonts w:eastAsia="Times New Roman" w:cs="Times New Roman"/>
          <w:szCs w:val="28"/>
        </w:rPr>
        <w:lastRenderedPageBreak/>
        <w:t xml:space="preserve">координаты и время </w:t>
      </w:r>
      <w:r w:rsidR="00B8730F">
        <w:rPr>
          <w:rFonts w:eastAsia="Times New Roman" w:cs="Times New Roman"/>
          <w:szCs w:val="28"/>
        </w:rPr>
        <w:t>создания видеозаписи, обработка которого была 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FC56AB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  <w:r w:rsidR="00E57529">
        <w:rPr>
          <w:rFonts w:eastAsia="Times New Roman" w:cs="Times New Roman"/>
          <w:szCs w:val="28"/>
        </w:rPr>
        <w:t xml:space="preserve"> </w:t>
      </w:r>
      <w:r w:rsidR="00FC56AB">
        <w:rPr>
          <w:rFonts w:eastAsia="Times New Roman" w:cs="Times New Roman"/>
          <w:szCs w:val="28"/>
        </w:rPr>
        <w:t xml:space="preserve">Для сохранения результатов работы программы будет использоваться СУБД </w:t>
      </w:r>
      <w:r w:rsidR="00FC56AB">
        <w:rPr>
          <w:rFonts w:eastAsia="Times New Roman" w:cs="Times New Roman"/>
          <w:szCs w:val="28"/>
          <w:lang w:val="en-US"/>
        </w:rPr>
        <w:t>Oracle</w:t>
      </w:r>
      <w:r w:rsidR="00FC56AB">
        <w:rPr>
          <w:rFonts w:eastAsia="Times New Roman" w:cs="Times New Roman"/>
          <w:szCs w:val="28"/>
        </w:rPr>
        <w:t>.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F4" w:rsidRDefault="00AF0FF4" w:rsidP="00D34F5B">
      <w:r>
        <w:separator/>
      </w:r>
    </w:p>
  </w:endnote>
  <w:endnote w:type="continuationSeparator" w:id="0">
    <w:p w:rsidR="00AF0FF4" w:rsidRDefault="00AF0FF4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64C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F4" w:rsidRDefault="00AF0FF4" w:rsidP="00D34F5B">
      <w:r>
        <w:separator/>
      </w:r>
    </w:p>
  </w:footnote>
  <w:footnote w:type="continuationSeparator" w:id="0">
    <w:p w:rsidR="00AF0FF4" w:rsidRDefault="00AF0FF4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F1663"/>
    <w:rsid w:val="002F2351"/>
    <w:rsid w:val="002F6A08"/>
    <w:rsid w:val="00356F9B"/>
    <w:rsid w:val="00375209"/>
    <w:rsid w:val="003B63AD"/>
    <w:rsid w:val="003C2D17"/>
    <w:rsid w:val="003E6CAC"/>
    <w:rsid w:val="0042518E"/>
    <w:rsid w:val="0045419B"/>
    <w:rsid w:val="004B6D86"/>
    <w:rsid w:val="004C7DF6"/>
    <w:rsid w:val="00511646"/>
    <w:rsid w:val="00543209"/>
    <w:rsid w:val="005451BB"/>
    <w:rsid w:val="005776E8"/>
    <w:rsid w:val="005C3C16"/>
    <w:rsid w:val="005D34CE"/>
    <w:rsid w:val="005E5E3C"/>
    <w:rsid w:val="00614A19"/>
    <w:rsid w:val="006556E7"/>
    <w:rsid w:val="006616A7"/>
    <w:rsid w:val="00664048"/>
    <w:rsid w:val="00664F7E"/>
    <w:rsid w:val="006F0E94"/>
    <w:rsid w:val="007208A1"/>
    <w:rsid w:val="0072550F"/>
    <w:rsid w:val="00755893"/>
    <w:rsid w:val="00761E4C"/>
    <w:rsid w:val="0077128E"/>
    <w:rsid w:val="00794694"/>
    <w:rsid w:val="007B139B"/>
    <w:rsid w:val="007B4B2C"/>
    <w:rsid w:val="007D2DC8"/>
    <w:rsid w:val="007E5E39"/>
    <w:rsid w:val="00840F31"/>
    <w:rsid w:val="00861986"/>
    <w:rsid w:val="00890FE8"/>
    <w:rsid w:val="00893738"/>
    <w:rsid w:val="00893A2B"/>
    <w:rsid w:val="008B1C87"/>
    <w:rsid w:val="008D250C"/>
    <w:rsid w:val="008D2BF2"/>
    <w:rsid w:val="008F2B47"/>
    <w:rsid w:val="008F7038"/>
    <w:rsid w:val="00911273"/>
    <w:rsid w:val="00931CE6"/>
    <w:rsid w:val="00990E23"/>
    <w:rsid w:val="009F3F48"/>
    <w:rsid w:val="00A2668B"/>
    <w:rsid w:val="00A661D6"/>
    <w:rsid w:val="00A81C27"/>
    <w:rsid w:val="00A8683B"/>
    <w:rsid w:val="00AF0FF4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57529"/>
    <w:rsid w:val="00E61351"/>
    <w:rsid w:val="00E664CA"/>
    <w:rsid w:val="00E755FB"/>
    <w:rsid w:val="00E873EC"/>
    <w:rsid w:val="00EA0908"/>
    <w:rsid w:val="00ED15C2"/>
    <w:rsid w:val="00F45C03"/>
    <w:rsid w:val="00F97335"/>
    <w:rsid w:val="00FA31A2"/>
    <w:rsid w:val="00F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80</cp:revision>
  <dcterms:created xsi:type="dcterms:W3CDTF">2017-02-13T19:23:00Z</dcterms:created>
  <dcterms:modified xsi:type="dcterms:W3CDTF">2019-04-19T08:24:00Z</dcterms:modified>
</cp:coreProperties>
</file>