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  </w:t>
      </w:r>
      <w:hyperlink r:id="rId9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  </w:t>
      </w:r>
      <w:hyperlink r:id="rId10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  </w:t>
      </w:r>
      <w:hyperlink r:id="rId11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  </w:t>
      </w:r>
      <w:hyperlink r:id="rId12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14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 w:val="0"/>
          <w:color w:val="2E3D50"/>
          <w:sz w:val="21"/>
        </w:rPr>
        <w:t>SBS Data Factory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20" w:line="269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14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 w:val="0"/>
          <w:color w:val="2E3D50"/>
          <w:sz w:val="21"/>
        </w:rPr>
        <w:t>CyberScale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ab/>
        <w:t>Juin 2024 - Juin 2025, France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14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 w:val="0"/>
          <w:color w:val="2E3D50"/>
          <w:sz w:val="21"/>
        </w:rPr>
        <w:t>CBI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14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 w:val="0"/>
          <w:color w:val="2E3D50"/>
          <w:sz w:val="21"/>
        </w:rPr>
        <w:t>IS-TECH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14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 w:val="0"/>
          <w:color w:val="2E3D50"/>
          <w:sz w:val="21"/>
        </w:rPr>
        <w:t>Palmeraie Country Club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2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2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2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2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2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2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2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1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1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1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