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Guide SSU Bokengi — Trajets sécurisés et secteurs de risque</w:t>
      </w:r>
    </w:p>
    <w:p>
      <w:pPr>
        <w:jc w:val="center"/>
      </w:pPr>
      <w:r>
        <w:t>Documentation du calcul des itinéraires, des pourcentages par secteur et de la carte de prédiction géospatiale</w:t>
      </w:r>
    </w:p>
    <w:p>
      <w:pPr>
        <w:jc w:val="center"/>
      </w:pPr>
      <w:r>
        <w:t>Généré le 25/06/2026 à 23:58 — 1.0 — prediction-service + prediction_shared</w:t>
      </w:r>
    </w:p>
    <w:p>
      <w:pPr>
        <w:pStyle w:val="Heading1"/>
      </w:pPr>
      <w:r>
        <w:t>Chaîne de traitement</w:t>
      </w:r>
    </w:p>
    <w:p>
      <w:pPr>
        <w:pStyle w:val="ListBullet"/>
      </w:pPr>
      <w:r>
        <w:t>Export signalements V → data_reports.csv (Celery / manage.py)</w:t>
      </w:r>
    </w:p>
    <w:p>
      <w:pPr>
        <w:pStyle w:val="ListBullet"/>
      </w:pPr>
      <w:r>
        <w:t>Entraînement ML → best_model.pkl + scaler.pkl (prediction_shared)</w:t>
      </w:r>
    </w:p>
    <w:p>
      <w:pPr>
        <w:pStyle w:val="ListBullet"/>
      </w:pPr>
      <w:r>
        <w:t>prediction-service charge CSV + modèle (volume Docker partagé)</w:t>
      </w:r>
    </w:p>
    <w:p>
      <w:pPr>
        <w:pStyle w:val="ListBullet"/>
      </w:pPr>
      <w:r>
        <w:t>Frontend carte → GET /api/danger-predictions/ → proxy Django → GET /grid/layers</w:t>
      </w:r>
    </w:p>
    <w:p>
      <w:pPr>
        <w:pStyle w:val="ListBullet"/>
      </w:pPr>
      <w:r>
        <w:t>Trajet sécurisé → Mapbox Directions → POST /api/safe-routes/score/ → POST /routes/score</w:t>
      </w:r>
    </w:p>
    <w:p>
      <w:r>
        <w:br w:type="page"/>
      </w:r>
    </w:p>
    <w:p>
      <w:pPr>
        <w:pStyle w:val="Heading1"/>
      </w:pPr>
      <w:r>
        <w:t>1. Vue d'ensemble</w:t>
      </w:r>
    </w:p>
    <w:p>
      <w:r>
        <w:t>L'application SSU Bokengi propose deux visualisations complémentaires : une carte de chaleur (grille 48×48) alimentée par le microservice prediction-service, et des secteurs (8×8) affichant des pourcentages faible / modéré / élevé. Le mode trajet sécurisé interroge Mapbox pour obtenir plusieurs candidats (marche / vélo), puis les classe selon un score de sécurité combinant modèle ML et signalements validés terrain (statut V).</w:t>
      </w:r>
    </w:p>
    <w:p>
      <w:pPr>
        <w:pStyle w:val="Heading1"/>
      </w:pPr>
      <w:r>
        <w:t>2. Données sources</w:t>
      </w:r>
    </w:p>
    <w:p>
      <w:r>
        <w:t>Tous les calculs s'appuient sur data_reports.csv : export des signalements validés (latitude, longitude, degré F/M/E, description, date). Le modèle ML (Gradient Boosting ou meilleur candidat en CV) est entraîné sur ce fichier. À l'inférence, six features sont utilisées : latitude, longitude, heure, jour de la semaine, densité locale (500 m) et degré moyen des voisins (BallTree haversine).</w:t>
      </w:r>
    </w:p>
    <w:p>
      <w:pPr>
        <w:pStyle w:val="Heading1"/>
      </w:pPr>
      <w:r>
        <w:t>3. Grille 48×48 et score de risque par cellule</w:t>
      </w:r>
    </w:p>
    <w:p>
      <w:r>
        <w:t>Kinshasa est découpée en une grille régulière de 48×48 points (~2 304 cellules). Pour chaque cellule, le service calcule la densité de signalements dans un rayon de 500 m et le degré moyen observé chez les voisins. Le modèle produit trois probabilités (faible, modéré, élevé). Le risk_score composite (0–1) combine probabilités modéré/élevé et contexte local :</w:t>
        <w:br/>
        <w:t>risk_score = min(1, proba_modéré×0,45 + proba_élevé×0,95 + facteur_densité×0,15 + facteur_danger×0,15)</w:t>
        <w:br/>
        <w:t>Seules les cellules avec signal significatif sont affichées comme points cliquables (filtre anti-saturation verte).</w:t>
      </w:r>
    </w:p>
    <w:p>
      <w:pPr>
        <w:pStyle w:val="Heading1"/>
      </w:pPr>
      <w:r>
        <w:t>4. Secteurs 8×8 — découpage et pourcentages</w:t>
      </w:r>
    </w:p>
    <w:p>
      <w:r>
        <w:t>La ville est aussi découpée en 64 secteurs (8 lignes × 8 colonnes) sur la bbox OSM de Kinshasa. Pour chaque secteur, deux jeux de statistiques sont calculés :</w:t>
        <w:br/>
        <w:br/>
        <w:t>A) Statistiques terrain (prioritaires) — si au moins un signalement validé se trouve dans le secteur, les pourcentages affichés (pct_faible, pct_modere, pct_eleve) reflètent la répartition réelle des degrés F/M/E des signalements.</w:t>
        <w:br/>
        <w:br/>
        <w:t>B) Statistiques grille ML (secours) — s'il n'y a aucun signalement validé dans le secteur, les pourcentages proviennent de la répartition des prédictions ML sur les cellules 48×48 du secteur.</w:t>
        <w:br/>
        <w:br/>
        <w:t>Le niveau dominant (risk_level : faible / modere / eleve) est dérivé des pourcentages retenus et du score moyen, avec seuils : élevé si pct_élevé ≥ 25 % ou score ≥ 0,65 ; modéré si pct_modéré ≥ 30 %, pct_élevé ≥ 10 % ou score ≥ 0,40.</w:t>
      </w:r>
    </w:p>
    <w:p>
      <w:pPr>
        <w:pStyle w:val="Heading1"/>
      </w:pPr>
      <w:r>
        <w:t>5. Trajet sécurisé — pipeline</w:t>
      </w:r>
    </w:p>
    <w:p>
      <w:r>
        <w:t>Étape 1 — Candidats Mapbox : le frontend appelle l'API Directions (profils walking et cycling, alternatives=true) entre origine et destination. Jusqu'à 10 routes candidates sont conservées (dédoublonnage géométrique).</w:t>
        <w:br/>
        <w:br/>
        <w:t>Étape 2 — Échantillonnage du tracé : chaque route est découpée en jusqu'à 48 points régulièrement espacés le long de la polyligne, plus l'arrivée exacte. Les signalements validés situés à ≤ 120 m du tracé sont ajoutés comme points de contrôle supplémentaires (pour ne pas « rater » un passage sur un signalement).</w:t>
        <w:br/>
        <w:br/>
        <w:t>Étape 3 — Score ML par point : pour chaque point échantillon, prediction-service calcule densité, danger voisin et prédiction ML (predict_point).</w:t>
        <w:br/>
        <w:br/>
        <w:t>Étape 4 — Hazard terrain : indépendamment du ML, un score report_hazard (0–1) mesure la proximité des signalements validés réels (voir tableau distances).</w:t>
        <w:br/>
        <w:br/>
        <w:t>Étape 5 — Agrégation route : moyenne et maximum des risques ML et terrain, comptage des segments à haut risque, puis calcul du optimization_cost (plus bas = plus sûr). La route recommandée est celle au coût minimal.</w:t>
      </w:r>
    </w:p>
    <w:p>
      <w:pPr>
        <w:pStyle w:val="Heading1"/>
      </w:pPr>
      <w:r>
        <w:t>6. Formule de classement des itinéraires</w:t>
      </w:r>
    </w:p>
    <w:p>
      <w:r>
        <w:t>Pour chaque route candidate :</w:t>
        <w:br/>
        <w:t>combined_avg = max(moyenne_risk_score_ML, moyenne_report_hazard × 0,85)</w:t>
        <w:br/>
        <w:t>combined_max = max(max_risk_score_ML, max_report_hazard)</w:t>
        <w:br/>
        <w:t>report_penalty = max(max_hazard×0,55, avg_hazard×0,35) — renforcée à ≥ 0,65 si passage à ≤ 120 m d'un signalement.</w:t>
        <w:br/>
        <w:t>optimization_cost = min(1, combined_avg×0,42 + combined_max×0,28 + high_risk_penalty + report_penalty + distance_penalty + duration_penalty)</w:t>
        <w:br/>
        <w:t>safety_score = 1 − optimization_cost (affiché en % côté frontend).</w:t>
        <w:br/>
        <w:br/>
        <w:t>Niveau textuel : low / medium / high selon le score combiné et la proportion de points à haut risque.</w:t>
      </w:r>
    </w:p>
    <w:p>
      <w:pPr>
        <w:pStyle w:val="Heading1"/>
      </w:pPr>
      <w:r>
        <w:t>7. Carte de chaleur — couleurs</w:t>
      </w:r>
    </w:p>
    <w:p>
      <w:r>
        <w:t>Trois couches heatmap Mapbox superposées, filtrées par classe prédite :</w:t>
        <w:br/>
        <w:t>• Vert / bleu — prédiction faible (danger=0)</w:t>
        <w:br/>
        <w:t>• Orange / ambre — prédiction modérée (danger=1)</w:t>
        <w:br/>
        <w:t>• Rouge — prédiction élevée (danger=2)</w:t>
        <w:br/>
        <w:br/>
        <w:t>Les poids heatmap sont calibrés pour que modéré et élevé ne produisent pas la même teinte. Les cercles cliquables reprennent le code couleur vert / jaune / rouge selon la classe.</w:t>
      </w:r>
    </w:p>
    <w:p>
      <w:pPr>
        <w:pStyle w:val="Heading1"/>
      </w:pPr>
      <w:r>
        <w:t>8. API et déploiement</w:t>
      </w:r>
    </w:p>
    <w:p>
      <w:r>
        <w:t>• GET /grid/layers — grille, heatmap, secteurs (prediction-service)</w:t>
        <w:br/>
        <w:t>• POST /routes/score — scoring des candidats Mapbox</w:t>
        <w:br/>
        <w:t>• POST /predict — prédiction ponctuelle</w:t>
        <w:br/>
        <w:t>• Django (web) délègue l'inférence au microservice ; seule l'agrégation par commune reste côté backend (requête PostgreSQL).</w:t>
        <w:br/>
        <w:t>Volumes Docker partagés : ssu_backend/prediction/data et ssu_backend/prediction/model.</w:t>
      </w:r>
    </w:p>
    <w:p>
      <w:r>
        <w:br w:type="page"/>
      </w:r>
    </w:p>
    <w:p>
      <w:pPr>
        <w:pStyle w:val="Heading1"/>
      </w:pPr>
      <w:r>
        <w:t>Annexe A — Formules clés</w:t>
      </w:r>
    </w:p>
    <w:p>
      <w:r>
        <w:rPr>
          <w:b/>
        </w:rPr>
        <w:t xml:space="preserve">Features ML (6) : </w:t>
      </w:r>
      <w:r>
        <w:t>lat, lon, hour, day_of_week, density_500m, mean_neighbor_degree</w:t>
      </w:r>
    </w:p>
    <w:p>
      <w:r>
        <w:rPr>
          <w:b/>
        </w:rPr>
        <w:t xml:space="preserve">risk_score cellule : </w:t>
      </w:r>
      <w:r>
        <w:t>min(1, P(modéré)×0,45 + P(élevé)×0,95 + min(density/8,1)×0,15 + min(mean_danger/2,1)×0,15)</w:t>
      </w:r>
    </w:p>
    <w:p>
      <w:r>
        <w:rPr>
          <w:b/>
        </w:rPr>
        <w:t xml:space="preserve">safety_score trajet : </w:t>
      </w:r>
      <w:r>
        <w:t>1 − optimization_cost</w:t>
      </w:r>
    </w:p>
    <w:p>
      <w:pPr>
        <w:pStyle w:val="Heading2"/>
      </w:pPr>
      <w:r>
        <w:t>Distances hazard terrain (report_proximity_hazard)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Distance au signalement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Effet sur hazard_score</w:t>
            </w:r>
          </w:p>
        </w:tc>
      </w:tr>
      <w:tr>
        <w:tc>
          <w:tcPr>
            <w:tcW w:type="dxa" w:w="4320"/>
          </w:tcPr>
          <w:p>
            <w:r>
              <w:t>≤ 50 m (sur le point)</w:t>
            </w:r>
          </w:p>
        </w:tc>
        <w:tc>
          <w:tcPr>
            <w:tcW w:type="dxa" w:w="4320"/>
          </w:tcPr>
          <w:p>
            <w:r>
              <w:t>0,92 – 1,00 (selon degré F/M/E)</w:t>
            </w:r>
          </w:p>
        </w:tc>
      </w:tr>
      <w:tr>
        <w:tc>
          <w:tcPr>
            <w:tcW w:type="dxa" w:w="4320"/>
          </w:tcPr>
          <w:p>
            <w:r>
              <w:t>≤ 120 m</w:t>
            </w:r>
          </w:p>
        </w:tc>
        <w:tc>
          <w:tcPr>
            <w:tcW w:type="dxa" w:w="4320"/>
          </w:tcPr>
          <w:p>
            <w:r>
              <w:t>0,72 – 0,90</w:t>
            </w:r>
          </w:p>
        </w:tc>
      </w:tr>
      <w:tr>
        <w:tc>
          <w:tcPr>
            <w:tcW w:type="dxa" w:w="4320"/>
          </w:tcPr>
          <w:p>
            <w:r>
              <w:t>≤ 350 m</w:t>
            </w:r>
          </w:p>
        </w:tc>
        <w:tc>
          <w:tcPr>
            <w:tcW w:type="dxa" w:w="4320"/>
          </w:tcPr>
          <w:p>
            <w:r>
              <w:t>0,45 – 0,70</w:t>
            </w:r>
          </w:p>
        </w:tc>
      </w:tr>
      <w:tr>
        <w:tc>
          <w:tcPr>
            <w:tcW w:type="dxa" w:w="4320"/>
          </w:tcPr>
          <w:p>
            <w:r>
              <w:t>≤ 500 m (zone BallTree)</w:t>
            </w:r>
          </w:p>
        </w:tc>
        <w:tc>
          <w:tcPr>
            <w:tcW w:type="dxa" w:w="4320"/>
          </w:tcPr>
          <w:p>
            <w:r>
              <w:t>Décroissance linéaire jusqu'à ~0,25–0,60</w:t>
            </w:r>
          </w:p>
        </w:tc>
      </w:tr>
      <w:tr>
        <w:tc>
          <w:tcPr>
            <w:tcW w:type="dxa" w:w="4320"/>
          </w:tcPr>
          <w:p>
            <w:r>
              <w:t>&gt; 500 m</w:t>
            </w:r>
          </w:p>
        </w:tc>
        <w:tc>
          <w:tcPr>
            <w:tcW w:type="dxa" w:w="4320"/>
          </w:tcPr>
          <w:p>
            <w:r>
              <w:t>0 (hors voisinage)</w:t>
            </w:r>
          </w:p>
        </w:tc>
      </w:tr>
    </w:tbl>
    <w:p>
      <w:pPr>
        <w:pStyle w:val="Heading2"/>
      </w:pPr>
      <w:r>
        <w:t>Pénalités dans optimization_cost (trajet)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Composante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Formule / seuil</w:t>
            </w:r>
          </w:p>
        </w:tc>
      </w:tr>
      <w:tr>
        <w:tc>
          <w:tcPr>
            <w:tcW w:type="dxa" w:w="4320"/>
          </w:tcPr>
          <w:p>
            <w:r>
              <w:t>Risque moyen combiné</w:t>
            </w:r>
          </w:p>
        </w:tc>
        <w:tc>
          <w:tcPr>
            <w:tcW w:type="dxa" w:w="4320"/>
          </w:tcPr>
          <w:p>
            <w:r>
              <w:t>combined_avg × 0,42</w:t>
            </w:r>
          </w:p>
        </w:tc>
      </w:tr>
      <w:tr>
        <w:tc>
          <w:tcPr>
            <w:tcW w:type="dxa" w:w="4320"/>
          </w:tcPr>
          <w:p>
            <w:r>
              <w:t>Pic de risque</w:t>
            </w:r>
          </w:p>
        </w:tc>
        <w:tc>
          <w:tcPr>
            <w:tcW w:type="dxa" w:w="4320"/>
          </w:tcPr>
          <w:p>
            <w:r>
              <w:t>combined_max × 0,28</w:t>
            </w:r>
          </w:p>
        </w:tc>
      </w:tr>
      <w:tr>
        <w:tc>
          <w:tcPr>
            <w:tcW w:type="dxa" w:w="4320"/>
          </w:tcPr>
          <w:p>
            <w:r>
              <w:t>Segments haut risque</w:t>
            </w:r>
          </w:p>
        </w:tc>
        <w:tc>
          <w:tcPr>
            <w:tcW w:type="dxa" w:w="4320"/>
          </w:tcPr>
          <w:p>
            <w:r>
              <w:t>(high_risk_points / N) × 0,22</w:t>
            </w:r>
          </w:p>
        </w:tc>
      </w:tr>
      <w:tr>
        <w:tc>
          <w:tcPr>
            <w:tcW w:type="dxa" w:w="4320"/>
          </w:tcPr>
          <w:p>
            <w:r>
              <w:t>Signalements proches</w:t>
            </w:r>
          </w:p>
        </w:tc>
        <w:tc>
          <w:tcPr>
            <w:tcW w:type="dxa" w:w="4320"/>
          </w:tcPr>
          <w:p>
            <w:r>
              <w:t>report_penalty (voir §6)</w:t>
            </w:r>
          </w:p>
        </w:tc>
      </w:tr>
      <w:tr>
        <w:tc>
          <w:tcPr>
            <w:tcW w:type="dxa" w:w="4320"/>
          </w:tcPr>
          <w:p>
            <w:r>
              <w:t>Distance</w:t>
            </w:r>
          </w:p>
        </w:tc>
        <w:tc>
          <w:tcPr>
            <w:tcW w:type="dxa" w:w="4320"/>
          </w:tcPr>
          <w:p>
            <w:r>
              <w:t>min(distance/15000, 1) × 0,12</w:t>
            </w:r>
          </w:p>
        </w:tc>
      </w:tr>
      <w:tr>
        <w:tc>
          <w:tcPr>
            <w:tcW w:type="dxa" w:w="4320"/>
          </w:tcPr>
          <w:p>
            <w:r>
              <w:t>Durée</w:t>
            </w:r>
          </w:p>
        </w:tc>
        <w:tc>
          <w:tcPr>
            <w:tcW w:type="dxa" w:w="4320"/>
          </w:tcPr>
          <w:p>
            <w:r>
              <w:t>min(duration/3600, 1) × 0,05</w:t>
            </w:r>
          </w:p>
        </w:tc>
      </w:tr>
    </w:tbl>
    <w:p>
      <w:pPr>
        <w:pStyle w:val="Heading2"/>
      </w:pPr>
      <w:r>
        <w:t>Secteur — champs renvoyés à l'API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Champ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pct_faible / modere / eleve</w:t>
            </w:r>
          </w:p>
        </w:tc>
        <w:tc>
          <w:tcPr>
            <w:tcW w:type="dxa" w:w="4320"/>
          </w:tcPr>
          <w:p>
            <w:r>
              <w:t>Pourcentages affichés (terrain ou ML)</w:t>
            </w:r>
          </w:p>
        </w:tc>
      </w:tr>
      <w:tr>
        <w:tc>
          <w:tcPr>
            <w:tcW w:type="dxa" w:w="4320"/>
          </w:tcPr>
          <w:p>
            <w:r>
              <w:t>grid_pct_*</w:t>
            </w:r>
          </w:p>
        </w:tc>
        <w:tc>
          <w:tcPr>
            <w:tcW w:type="dxa" w:w="4320"/>
          </w:tcPr>
          <w:p>
            <w:r>
              <w:t>Pourcentages ML bruts (toujours calculés)</w:t>
            </w:r>
          </w:p>
        </w:tc>
      </w:tr>
      <w:tr>
        <w:tc>
          <w:tcPr>
            <w:tcW w:type="dxa" w:w="4320"/>
          </w:tcPr>
          <w:p>
            <w:r>
              <w:t>observed_report_count</w:t>
            </w:r>
          </w:p>
        </w:tc>
        <w:tc>
          <w:tcPr>
            <w:tcW w:type="dxa" w:w="4320"/>
          </w:tcPr>
          <w:p>
            <w:r>
              <w:t>Nombre de signalements validés dans le secteur</w:t>
            </w:r>
          </w:p>
        </w:tc>
      </w:tr>
      <w:tr>
        <w:tc>
          <w:tcPr>
            <w:tcW w:type="dxa" w:w="4320"/>
          </w:tcPr>
          <w:p>
            <w:r>
              <w:t>avg_risk_score</w:t>
            </w:r>
          </w:p>
        </w:tc>
        <w:tc>
          <w:tcPr>
            <w:tcW w:type="dxa" w:w="4320"/>
          </w:tcPr>
          <w:p>
            <w:r>
              <w:t>Score moyen des cellules grille dans le secteur</w:t>
            </w:r>
          </w:p>
        </w:tc>
      </w:tr>
      <w:tr>
        <w:tc>
          <w:tcPr>
            <w:tcW w:type="dxa" w:w="4320"/>
          </w:tcPr>
          <w:p>
            <w:r>
              <w:t>avg_density</w:t>
            </w:r>
          </w:p>
        </w:tc>
        <w:tc>
          <w:tcPr>
            <w:tcW w:type="dxa" w:w="4320"/>
          </w:tcPr>
          <w:p>
            <w:r>
              <w:t>Densité moyenne signalements / 500 m</w:t>
            </w:r>
          </w:p>
        </w:tc>
      </w:tr>
      <w:tr>
        <w:tc>
          <w:tcPr>
            <w:tcW w:type="dxa" w:w="4320"/>
          </w:tcPr>
          <w:p>
            <w:r>
              <w:t>risk_level</w:t>
            </w:r>
          </w:p>
        </w:tc>
        <w:tc>
          <w:tcPr>
            <w:tcW w:type="dxa" w:w="4320"/>
          </w:tcPr>
          <w:p>
            <w:r>
              <w:t>faible | modere | eleve</w:t>
            </w:r>
          </w:p>
        </w:tc>
      </w:tr>
    </w:tbl>
    <w:p>
      <w:r>
        <w:br w:type="page"/>
      </w:r>
    </w:p>
    <w:p>
      <w:pPr>
        <w:pStyle w:val="Heading1"/>
      </w:pPr>
      <w:r>
        <w:t>Annexe B — Limites et bonnes pratiques</w:t>
      </w:r>
    </w:p>
    <w:p>
      <w:pPr>
        <w:pStyle w:val="ListBullet"/>
      </w:pPr>
      <w:r>
        <w:t>Mapbox ne reçoit pas de zones d'évitement : le contournement repose uniquement sur le classement des alternatives déjà proposées par Directions.</w:t>
      </w:r>
    </w:p>
    <w:p>
      <w:pPr>
        <w:pStyle w:val="ListBullet"/>
      </w:pPr>
      <w:r>
        <w:t>Un trajet unique imposé par la topographie peut rester risqué si toutes les alternatives passent près de signalements.</w:t>
      </w:r>
    </w:p>
    <w:p>
      <w:pPr>
        <w:pStyle w:val="ListBullet"/>
      </w:pPr>
      <w:r>
        <w:t>Les pourcentages secteur « terrain » ne reflètent que les signalements validés (V), pas les signalements en attente.</w:t>
      </w:r>
    </w:p>
    <w:p>
      <w:pPr>
        <w:pStyle w:val="ListBullet"/>
      </w:pPr>
      <w:r>
        <w:t>La grille ML peut sous-estimer un point isolé si le modèle généralise « faible » — d'où la priorité aux stats terrain dans les secteurs peuplés de signalements.</w:t>
      </w:r>
    </w:p>
    <w:p>
      <w:pPr>
        <w:pStyle w:val="ListBullet"/>
      </w:pPr>
      <w:r>
        <w:t>Performance : grille 48×48 ≈ 2 300 inférences ; timeout API recommandé 90 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