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Prédiction spatiale — SSU Bokengi</w:t>
      </w:r>
    </w:p>
    <w:p>
      <w:pPr>
        <w:jc w:val="center"/>
      </w:pPr>
      <w:r>
        <w:t>Généré le 26/06/2026 à 22:36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Indicateur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Signalements nettoyés</w:t>
            </w:r>
          </w:p>
        </w:tc>
        <w:tc>
          <w:tcPr>
            <w:tcW w:type="dxa" w:w="4320"/>
          </w:tcPr>
          <w:p>
            <w:r>
              <w:t>311</w:t>
            </w:r>
          </w:p>
        </w:tc>
      </w:tr>
      <w:tr>
        <w:tc>
          <w:tcPr>
            <w:tcW w:type="dxa" w:w="4320"/>
          </w:tcPr>
          <w:p>
            <w:r>
              <w:t>Train / Val / Test / Gold</w:t>
            </w:r>
          </w:p>
        </w:tc>
        <w:tc>
          <w:tcPr>
            <w:tcW w:type="dxa" w:w="4320"/>
          </w:tcPr>
          <w:p>
            <w:r>
              <w:t>191 / 40 / 33 / 47</w:t>
            </w:r>
          </w:p>
        </w:tc>
      </w:tr>
      <w:tr>
        <w:tc>
          <w:tcPr>
            <w:tcW w:type="dxa" w:w="4320"/>
          </w:tcPr>
          <w:p>
            <w:r>
              <w:t>Modèle retenu</w:t>
            </w:r>
          </w:p>
        </w:tc>
        <w:tc>
          <w:tcPr>
            <w:tcW w:type="dxa" w:w="4320"/>
          </w:tcPr>
          <w:p>
            <w:r>
              <w:t>GradientBoosting</w:t>
            </w:r>
          </w:p>
        </w:tc>
      </w:tr>
      <w:tr>
        <w:tc>
          <w:tcPr>
            <w:tcW w:type="dxa" w:w="4320"/>
          </w:tcPr>
          <w:p>
            <w:r>
              <w:t>F1 macro (test)</w:t>
            </w:r>
          </w:p>
        </w:tc>
        <w:tc>
          <w:tcPr>
            <w:tcW w:type="dxa" w:w="4320"/>
          </w:tcPr>
          <w:p>
            <w:r>
              <w:t>0.14814814814814814</w:t>
            </w:r>
          </w:p>
        </w:tc>
      </w:tr>
      <w:tr>
        <w:tc>
          <w:tcPr>
            <w:tcW w:type="dxa" w:w="4320"/>
          </w:tcPr>
          <w:p>
            <w:r>
              <w:t>F1 macro (gold)</w:t>
            </w:r>
          </w:p>
        </w:tc>
        <w:tc>
          <w:tcPr>
            <w:tcW w:type="dxa" w:w="4320"/>
          </w:tcPr>
          <w:p>
            <w:r>
              <w:t>0.38468428123600534</w:t>
            </w:r>
          </w:p>
        </w:tc>
      </w:tr>
    </w:tbl>
    <w:p>
      <w:r>
        <w:br w:type="page"/>
      </w:r>
    </w:p>
    <w:p>
      <w:pPr>
        <w:pStyle w:val="Heading1"/>
      </w:pPr>
      <w:r>
        <w:t>1. Objectif</w:t>
      </w:r>
    </w:p>
    <w:p>
      <w:r>
        <w:t>Prédire le degré de danger (faible, modéré, élevé) à partir de la géolocalisation et du contexte spatio-temporel. Alimente la carte de chaleur et prediction-service.</w:t>
      </w:r>
    </w:p>
    <w:p>
      <w:pPr>
        <w:pStyle w:val="Heading1"/>
      </w:pPr>
      <w:r>
        <w:t>2. Nettoyage des données</w:t>
      </w:r>
    </w:p>
    <w:p>
      <w:r>
        <w:t>Lignes lues 312, conservées 311. Rejets : coords invalides=0, hors Kinshasa=0, degré invalide=1, doublons=0.</w:t>
      </w:r>
    </w:p>
    <w:p>
      <w:r>
        <w:drawing>
          <wp:inline xmlns:a="http://schemas.openxmlformats.org/drawingml/2006/main" xmlns:pic="http://schemas.openxmlformats.org/drawingml/2006/picture">
            <wp:extent cx="504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class_ba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Analyse exploratoire</w:t>
      </w:r>
    </w:p>
    <w:p>
      <w:r>
        <w:drawing>
          <wp:inline xmlns:a="http://schemas.openxmlformats.org/drawingml/2006/main" xmlns:pic="http://schemas.openxmlformats.org/drawingml/2006/picture">
            <wp:extent cx="5040000" cy="37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spatial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40000" cy="25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hour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40000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weekday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40000" cy="25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top_loc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4. Features</w:t>
      </w:r>
    </w:p>
    <w:p>
      <w:r>
        <w:t>Variables : latitude, longitude, hour, day_of_week, density_500m, mean_neighbor_degree.</w:t>
      </w:r>
    </w:p>
    <w:p>
      <w:r>
        <w:t>Densité 500 m et degré moyen voisins calculés en leave-one-out (anti-fuite).</w:t>
      </w:r>
    </w:p>
    <w:p>
      <w:pPr>
        <w:pStyle w:val="ListBullet"/>
      </w:pPr>
      <w:r>
        <w:t>Export signalements validés (statut V) depuis PostgreSQL → data_reports.csv</w:t>
      </w:r>
    </w:p>
    <w:p>
      <w:pPr>
        <w:pStyle w:val="ListBullet"/>
      </w:pPr>
      <w:r>
        <w:t>Nettoyage : coords valides, bbox Kinshasa, normalisation degré (faible/modéré/élevé)</w:t>
      </w:r>
    </w:p>
    <w:p>
      <w:pPr>
        <w:pStyle w:val="ListBullet"/>
      </w:pPr>
      <w:r>
        <w:t>Déduplication lat/lon/timestamp (arrondi minute)</w:t>
      </w:r>
    </w:p>
    <w:p>
      <w:pPr>
        <w:pStyle w:val="ListBullet"/>
      </w:pPr>
      <w:r>
        <w:t>Imputation created_at manquant → 2025-01-01 12:00</w:t>
      </w:r>
    </w:p>
    <w:p>
      <w:pPr>
        <w:pStyle w:val="ListBullet"/>
      </w:pPr>
      <w:r>
        <w:t>Split stratifié seed=42 : gold 15 %, val 15 %, test 15 %, reste train</w:t>
      </w:r>
    </w:p>
    <w:p>
      <w:pPr>
        <w:pStyle w:val="ListBullet"/>
      </w:pPr>
      <w:r>
        <w:t>Features : lat, lon, heure, jour semaine, densité 500 m, degré moyen voisins (sans fuite LOO)</w:t>
      </w:r>
    </w:p>
    <w:p>
      <w:pPr>
        <w:pStyle w:val="ListBullet"/>
      </w:pPr>
      <w:r>
        <w:t>StandardScaler + validation croisée 5-fold + sélection modèle (F1 macro)</w:t>
      </w:r>
    </w:p>
    <w:p>
      <w:pPr>
        <w:pStyle w:val="Heading1"/>
      </w:pPr>
      <w:r>
        <w:t>5. Validation croisée et sélection</w:t>
      </w:r>
    </w:p>
    <w:p>
      <w:r>
        <w:t>Meilleur F1 macro en validation croisée (5-fold) sur le jeu train : GradientBoosting (F1=0.438 ± 0.049)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Modèle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F1 macro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Accuracy</w:t>
            </w:r>
          </w:p>
        </w:tc>
      </w:tr>
      <w:tr>
        <w:tc>
          <w:tcPr>
            <w:tcW w:type="dxa" w:w="2160"/>
          </w:tcPr>
          <w:p>
            <w:r>
              <w:t>GradientBoosting</w:t>
            </w:r>
          </w:p>
        </w:tc>
        <w:tc>
          <w:tcPr>
            <w:tcW w:type="dxa" w:w="2160"/>
          </w:tcPr>
          <w:p>
            <w:r>
              <w:t>0.4379</w:t>
            </w:r>
          </w:p>
        </w:tc>
        <w:tc>
          <w:tcPr>
            <w:tcW w:type="dxa" w:w="2160"/>
          </w:tcPr>
          <w:p>
            <w:r>
              <w:t>±0.0491</w:t>
            </w:r>
          </w:p>
        </w:tc>
        <w:tc>
          <w:tcPr>
            <w:tcW w:type="dxa" w:w="2160"/>
          </w:tcPr>
          <w:p>
            <w:r>
              <w:t>0.4818</w:t>
            </w:r>
          </w:p>
        </w:tc>
      </w:tr>
      <w:tr>
        <w:tc>
          <w:tcPr>
            <w:tcW w:type="dxa" w:w="2160"/>
          </w:tcPr>
          <w:p>
            <w:r>
              <w:t>HistGradientBoosting</w:t>
            </w:r>
          </w:p>
        </w:tc>
        <w:tc>
          <w:tcPr>
            <w:tcW w:type="dxa" w:w="2160"/>
          </w:tcPr>
          <w:p>
            <w:r>
              <w:t>0.4277</w:t>
            </w:r>
          </w:p>
        </w:tc>
        <w:tc>
          <w:tcPr>
            <w:tcW w:type="dxa" w:w="2160"/>
          </w:tcPr>
          <w:p>
            <w:r>
              <w:t>±0.0653</w:t>
            </w:r>
          </w:p>
        </w:tc>
        <w:tc>
          <w:tcPr>
            <w:tcW w:type="dxa" w:w="2160"/>
          </w:tcPr>
          <w:p>
            <w:r>
              <w:t>0.4873</w:t>
            </w:r>
          </w:p>
        </w:tc>
      </w:tr>
      <w:tr>
        <w:tc>
          <w:tcPr>
            <w:tcW w:type="dxa" w:w="2160"/>
          </w:tcPr>
          <w:p>
            <w:r>
              <w:t>RandomForest</w:t>
            </w:r>
          </w:p>
        </w:tc>
        <w:tc>
          <w:tcPr>
            <w:tcW w:type="dxa" w:w="2160"/>
          </w:tcPr>
          <w:p>
            <w:r>
              <w:t>0.4327</w:t>
            </w:r>
          </w:p>
        </w:tc>
        <w:tc>
          <w:tcPr>
            <w:tcW w:type="dxa" w:w="2160"/>
          </w:tcPr>
          <w:p>
            <w:r>
              <w:t>±0.0853</w:t>
            </w:r>
          </w:p>
        </w:tc>
        <w:tc>
          <w:tcPr>
            <w:tcW w:type="dxa" w:w="2160"/>
          </w:tcPr>
          <w:p>
            <w:r>
              <w:t>0.4980</w:t>
            </w:r>
          </w:p>
        </w:tc>
      </w:tr>
      <w:tr>
        <w:tc>
          <w:tcPr>
            <w:tcW w:type="dxa" w:w="2160"/>
          </w:tcPr>
          <w:p>
            <w:r>
              <w:t>LogisticRegression</w:t>
            </w:r>
          </w:p>
        </w:tc>
        <w:tc>
          <w:tcPr>
            <w:tcW w:type="dxa" w:w="2160"/>
          </w:tcPr>
          <w:p>
            <w:r>
              <w:t>0.3697</w:t>
            </w:r>
          </w:p>
        </w:tc>
        <w:tc>
          <w:tcPr>
            <w:tcW w:type="dxa" w:w="2160"/>
          </w:tcPr>
          <w:p>
            <w:r>
              <w:t>±0.0595</w:t>
            </w:r>
          </w:p>
        </w:tc>
        <w:tc>
          <w:tcPr>
            <w:tcW w:type="dxa" w:w="2160"/>
          </w:tcPr>
          <w:p>
            <w:r>
              <w:t>0.3671</w:t>
            </w:r>
          </w:p>
        </w:tc>
      </w:tr>
      <w:tr>
        <w:tc>
          <w:tcPr>
            <w:tcW w:type="dxa" w:w="2160"/>
          </w:tcPr>
          <w:p>
            <w:r>
              <w:t>SVM</w:t>
            </w:r>
          </w:p>
        </w:tc>
        <w:tc>
          <w:tcPr>
            <w:tcW w:type="dxa" w:w="2160"/>
          </w:tcPr>
          <w:p>
            <w:r>
              <w:t>0.3868</w:t>
            </w:r>
          </w:p>
        </w:tc>
        <w:tc>
          <w:tcPr>
            <w:tcW w:type="dxa" w:w="2160"/>
          </w:tcPr>
          <w:p>
            <w:r>
              <w:t>±0.0607</w:t>
            </w:r>
          </w:p>
        </w:tc>
        <w:tc>
          <w:tcPr>
            <w:tcW w:type="dxa" w:w="2160"/>
          </w:tcPr>
          <w:p>
            <w:r>
              <w:t>0.3930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40000" cy="28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_model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6. Résultats test et gold_eval</w:t>
      </w:r>
    </w:p>
    <w:p>
      <w:r>
        <w:t>Test — accuracy=0.24242424242424243, f1_macro=0.14814814814814814. Gold — accuracy=0.40425531914893614, f1_macro=0.38468428123600534.</w:t>
      </w:r>
    </w:p>
    <w:p>
      <w:r>
        <w:drawing>
          <wp:inline xmlns:a="http://schemas.openxmlformats.org/drawingml/2006/main" xmlns:pic="http://schemas.openxmlformats.org/drawingml/2006/picture">
            <wp:extent cx="5040000" cy="42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gol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40000" cy="28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per_class_gol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7. Recommandations</w:t>
      </w:r>
    </w:p>
    <w:p>
      <w:r>
        <w:t>Enrichir les signalements validés, surveiller le déséquilibre des classes, réentraîner via bash scripts/run_prediction_retrain.sh.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