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DA94" w14:textId="2D2FA979" w:rsidR="00D53A04" w:rsidRDefault="00C748EA" w:rsidP="00C748EA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935A9">
        <w:rPr>
          <w:rFonts w:ascii="宋体" w:eastAsia="宋体" w:hAnsi="宋体" w:cs="Times New Roman"/>
          <w:b/>
          <w:bCs/>
          <w:sz w:val="32"/>
          <w:szCs w:val="36"/>
        </w:rPr>
        <w:t>A</w:t>
      </w:r>
      <w:r w:rsidRPr="00C748EA">
        <w:rPr>
          <w:rFonts w:ascii="Times New Roman" w:eastAsia="宋体" w:hAnsi="Times New Roman" w:cs="Times New Roman"/>
          <w:b/>
          <w:bCs/>
          <w:sz w:val="32"/>
          <w:szCs w:val="36"/>
        </w:rPr>
        <w:t>题：园区微电网风光</w:t>
      </w:r>
      <w:proofErr w:type="gramStart"/>
      <w:r w:rsidRPr="00C748EA">
        <w:rPr>
          <w:rFonts w:ascii="Times New Roman" w:eastAsia="宋体" w:hAnsi="Times New Roman" w:cs="Times New Roman"/>
          <w:b/>
          <w:bCs/>
          <w:sz w:val="32"/>
          <w:szCs w:val="36"/>
        </w:rPr>
        <w:t>储协调</w:t>
      </w:r>
      <w:proofErr w:type="gramEnd"/>
      <w:r w:rsidRPr="00C748EA">
        <w:rPr>
          <w:rFonts w:ascii="Times New Roman" w:eastAsia="宋体" w:hAnsi="Times New Roman" w:cs="Times New Roman"/>
          <w:b/>
          <w:bCs/>
          <w:sz w:val="32"/>
          <w:szCs w:val="36"/>
        </w:rPr>
        <w:t>优化配置</w:t>
      </w:r>
    </w:p>
    <w:p w14:paraId="3D01D21B" w14:textId="52F011A5" w:rsidR="00C748EA" w:rsidRDefault="00C748EA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C748EA">
        <w:rPr>
          <w:rFonts w:ascii="Times New Roman" w:eastAsia="宋体" w:hAnsi="Times New Roman" w:cs="Times New Roman" w:hint="eastAsia"/>
          <w:sz w:val="24"/>
          <w:szCs w:val="28"/>
        </w:rPr>
        <w:t>园区微电网由风光发电和主电网联合为负荷供电，为了尽量提高风光电量的负荷占比，需配置较高比例的风光发电装机容量，但由于园区负荷与风光发电功率时序不匹配，可能导致弃电问题。配置储能可缓解负荷与风光的时序不匹配问题，减少弃电。考虑到电化学储能成本不菲，配置储能需要考虑投资及其收益。</w:t>
      </w:r>
    </w:p>
    <w:p w14:paraId="19C97CAA" w14:textId="4F04CD9C" w:rsidR="00C748EA" w:rsidRDefault="00C748EA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C748EA">
        <w:rPr>
          <w:rFonts w:ascii="Times New Roman" w:eastAsia="宋体" w:hAnsi="Times New Roman" w:cs="Times New Roman" w:hint="eastAsia"/>
          <w:sz w:val="24"/>
          <w:szCs w:val="28"/>
        </w:rPr>
        <w:t>设有三个园区微电网各自</w:t>
      </w:r>
      <w:proofErr w:type="gramStart"/>
      <w:r w:rsidRPr="00C748EA">
        <w:rPr>
          <w:rFonts w:ascii="Times New Roman" w:eastAsia="宋体" w:hAnsi="Times New Roman" w:cs="Times New Roman" w:hint="eastAsia"/>
          <w:sz w:val="24"/>
          <w:szCs w:val="28"/>
        </w:rPr>
        <w:t>独立接</w:t>
      </w:r>
      <w:proofErr w:type="gramEnd"/>
      <w:r w:rsidRPr="00C748EA">
        <w:rPr>
          <w:rFonts w:ascii="Times New Roman" w:eastAsia="宋体" w:hAnsi="Times New Roman" w:cs="Times New Roman" w:hint="eastAsia"/>
          <w:sz w:val="24"/>
          <w:szCs w:val="28"/>
        </w:rPr>
        <w:t>入主电网，各园区风光装机容量、最大负荷参数如图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所示。</w:t>
      </w:r>
    </w:p>
    <w:p w14:paraId="1479F82B" w14:textId="4184A8C2" w:rsidR="00C748EA" w:rsidRPr="00C748EA" w:rsidRDefault="00C748EA" w:rsidP="00C748EA">
      <w:pPr>
        <w:spacing w:after="0" w:line="365" w:lineRule="auto"/>
        <w:ind w:left="102" w:right="119"/>
        <w:jc w:val="center"/>
        <w:rPr>
          <w:rFonts w:ascii="Times New Roman" w:eastAsia="宋体" w:hAnsi="Times New Roman" w:cs="Times New Roman"/>
          <w:sz w:val="21"/>
          <w:szCs w:val="22"/>
        </w:rPr>
      </w:pPr>
      <w:r>
        <w:rPr>
          <w:noProof/>
        </w:rPr>
        <w:drawing>
          <wp:inline distT="0" distB="0" distL="0" distR="0" wp14:anchorId="201AA2F5" wp14:editId="38EA6513">
            <wp:extent cx="5296039" cy="1605685"/>
            <wp:effectExtent l="0" t="0" r="0" b="0"/>
            <wp:docPr id="6471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039" cy="16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cr/>
      </w: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图</w:t>
      </w: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1</w:t>
      </w:r>
      <w:r w:rsidR="001F4E03">
        <w:rPr>
          <w:rFonts w:ascii="Times New Roman" w:eastAsia="宋体" w:hAnsi="Times New Roman" w:cs="Times New Roman" w:hint="eastAsia"/>
          <w:b/>
          <w:bCs/>
          <w:sz w:val="21"/>
          <w:szCs w:val="22"/>
        </w:rPr>
        <w:t xml:space="preserve"> </w:t>
      </w: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三个园区微电网各自</w:t>
      </w:r>
      <w:proofErr w:type="gramStart"/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独立接</w:t>
      </w:r>
      <w:proofErr w:type="gramEnd"/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入主电网结构示意图</w:t>
      </w:r>
    </w:p>
    <w:p w14:paraId="70B0434E" w14:textId="3F523094" w:rsidR="00C748EA" w:rsidRDefault="00C748EA" w:rsidP="00C748EA">
      <w:pPr>
        <w:spacing w:after="0" w:line="365" w:lineRule="auto"/>
        <w:ind w:left="102" w:right="119"/>
        <w:jc w:val="center"/>
        <w:rPr>
          <w:rFonts w:ascii="Times New Roman" w:eastAsia="宋体" w:hAnsi="Times New Roman" w:cs="Times New Roman"/>
          <w:sz w:val="21"/>
          <w:szCs w:val="22"/>
        </w:rPr>
      </w:pPr>
      <w:r w:rsidRPr="00C748EA">
        <w:rPr>
          <w:rFonts w:ascii="Times New Roman" w:eastAsia="宋体" w:hAnsi="Times New Roman" w:cs="Times New Roman" w:hint="eastAsia"/>
          <w:sz w:val="21"/>
          <w:szCs w:val="22"/>
        </w:rPr>
        <w:t>（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pv.A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pv.C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分别为园区</w:t>
      </w:r>
      <w:r w:rsidRPr="00C748EA">
        <w:rPr>
          <w:rFonts w:ascii="Times New Roman" w:eastAsia="宋体" w:hAnsi="Times New Roman" w:cs="Times New Roman"/>
          <w:sz w:val="21"/>
          <w:szCs w:val="22"/>
        </w:rPr>
        <w:t>A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C748EA">
        <w:rPr>
          <w:rFonts w:ascii="Times New Roman" w:eastAsia="宋体" w:hAnsi="Times New Roman" w:cs="Times New Roman"/>
          <w:sz w:val="21"/>
          <w:szCs w:val="22"/>
        </w:rPr>
        <w:t>C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光伏装机容量，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w.B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w.C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为园区</w:t>
      </w:r>
      <w:r w:rsidRPr="00C748EA">
        <w:rPr>
          <w:rFonts w:ascii="Times New Roman" w:eastAsia="宋体" w:hAnsi="Times New Roman" w:cs="Times New Roman"/>
          <w:sz w:val="21"/>
          <w:szCs w:val="22"/>
        </w:rPr>
        <w:t>B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C748EA">
        <w:rPr>
          <w:rFonts w:ascii="Times New Roman" w:eastAsia="宋体" w:hAnsi="Times New Roman" w:cs="Times New Roman"/>
          <w:sz w:val="21"/>
          <w:szCs w:val="22"/>
        </w:rPr>
        <w:t>C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风电装机容量，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Lmax.A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Lmax.B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proofErr w:type="spellStart"/>
      <w:r w:rsidRPr="00C748EA">
        <w:rPr>
          <w:rFonts w:ascii="Times New Roman" w:eastAsia="宋体" w:hAnsi="Times New Roman" w:cs="Times New Roman"/>
          <w:i/>
          <w:iCs/>
          <w:sz w:val="21"/>
          <w:szCs w:val="22"/>
        </w:rPr>
        <w:t>P</w:t>
      </w:r>
      <w:r w:rsidRPr="00C748EA">
        <w:rPr>
          <w:rFonts w:ascii="Times New Roman" w:eastAsia="宋体" w:hAnsi="Times New Roman" w:cs="Times New Roman"/>
          <w:sz w:val="21"/>
          <w:szCs w:val="22"/>
          <w:vertAlign w:val="subscript"/>
        </w:rPr>
        <w:t>Lmax.C</w:t>
      </w:r>
      <w:proofErr w:type="spellEnd"/>
      <w:r w:rsidRPr="00C748EA">
        <w:rPr>
          <w:rFonts w:ascii="Times New Roman" w:eastAsia="宋体" w:hAnsi="Times New Roman" w:cs="Times New Roman" w:hint="eastAsia"/>
          <w:sz w:val="21"/>
          <w:szCs w:val="22"/>
        </w:rPr>
        <w:t>为园区</w:t>
      </w:r>
      <w:r w:rsidRPr="00C748EA">
        <w:rPr>
          <w:rFonts w:ascii="Times New Roman" w:eastAsia="宋体" w:hAnsi="Times New Roman" w:cs="Times New Roman"/>
          <w:sz w:val="21"/>
          <w:szCs w:val="22"/>
        </w:rPr>
        <w:t>A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C748EA">
        <w:rPr>
          <w:rFonts w:ascii="Times New Roman" w:eastAsia="宋体" w:hAnsi="Times New Roman" w:cs="Times New Roman"/>
          <w:sz w:val="21"/>
          <w:szCs w:val="22"/>
        </w:rPr>
        <w:t>B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C748EA">
        <w:rPr>
          <w:rFonts w:ascii="Times New Roman" w:eastAsia="宋体" w:hAnsi="Times New Roman" w:cs="Times New Roman"/>
          <w:sz w:val="21"/>
          <w:szCs w:val="22"/>
        </w:rPr>
        <w:t>C</w:t>
      </w:r>
      <w:r w:rsidRPr="00C748EA">
        <w:rPr>
          <w:rFonts w:ascii="Times New Roman" w:eastAsia="宋体" w:hAnsi="Times New Roman" w:cs="Times New Roman" w:hint="eastAsia"/>
          <w:sz w:val="21"/>
          <w:szCs w:val="22"/>
        </w:rPr>
        <w:t>负荷最大值）</w:t>
      </w:r>
    </w:p>
    <w:p w14:paraId="26ED9651" w14:textId="77E1360B" w:rsidR="00C748EA" w:rsidRDefault="00C748EA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C748EA">
        <w:rPr>
          <w:rFonts w:ascii="Times New Roman" w:eastAsia="宋体" w:hAnsi="Times New Roman" w:cs="Times New Roman" w:hint="eastAsia"/>
          <w:sz w:val="24"/>
          <w:szCs w:val="28"/>
        </w:rPr>
        <w:t>简便起见，</w:t>
      </w:r>
      <w:proofErr w:type="gramStart"/>
      <w:r w:rsidRPr="00C748EA">
        <w:rPr>
          <w:rFonts w:ascii="Times New Roman" w:eastAsia="宋体" w:hAnsi="Times New Roman" w:cs="Times New Roman" w:hint="eastAsia"/>
          <w:sz w:val="24"/>
          <w:szCs w:val="28"/>
        </w:rPr>
        <w:t>设各园区</w:t>
      </w:r>
      <w:proofErr w:type="gramEnd"/>
      <w:r w:rsidRPr="00C748EA">
        <w:rPr>
          <w:rFonts w:ascii="Times New Roman" w:eastAsia="宋体" w:hAnsi="Times New Roman" w:cs="Times New Roman" w:hint="eastAsia"/>
          <w:sz w:val="24"/>
          <w:szCs w:val="28"/>
        </w:rPr>
        <w:t>典型日负荷曲线如图</w:t>
      </w:r>
      <w:r w:rsidRPr="00C748EA">
        <w:rPr>
          <w:rFonts w:ascii="Times New Roman" w:eastAsia="宋体" w:hAnsi="Times New Roman" w:cs="Times New Roman"/>
          <w:sz w:val="24"/>
          <w:szCs w:val="28"/>
        </w:rPr>
        <w:t>2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所示（数据见附件</w:t>
      </w:r>
      <w:r w:rsidRPr="00C748EA">
        <w:rPr>
          <w:rFonts w:ascii="Times New Roman" w:eastAsia="宋体" w:hAnsi="Times New Roman" w:cs="Times New Roman"/>
          <w:sz w:val="24"/>
          <w:szCs w:val="28"/>
        </w:rPr>
        <w:t>1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），风电光</w:t>
      </w:r>
      <w:proofErr w:type="gramStart"/>
      <w:r w:rsidRPr="00C748EA">
        <w:rPr>
          <w:rFonts w:ascii="Times New Roman" w:eastAsia="宋体" w:hAnsi="Times New Roman" w:cs="Times New Roman" w:hint="eastAsia"/>
          <w:sz w:val="24"/>
          <w:szCs w:val="28"/>
        </w:rPr>
        <w:t>伏</w:t>
      </w:r>
      <w:proofErr w:type="gramEnd"/>
      <w:r w:rsidRPr="00C748EA">
        <w:rPr>
          <w:rFonts w:ascii="Times New Roman" w:eastAsia="宋体" w:hAnsi="Times New Roman" w:cs="Times New Roman" w:hint="eastAsia"/>
          <w:sz w:val="24"/>
          <w:szCs w:val="28"/>
        </w:rPr>
        <w:t>发电归一化数据见附件</w:t>
      </w:r>
      <w:r w:rsidRPr="00C748EA">
        <w:rPr>
          <w:rFonts w:ascii="Times New Roman" w:eastAsia="宋体" w:hAnsi="Times New Roman" w:cs="Times New Roman"/>
          <w:sz w:val="24"/>
          <w:szCs w:val="28"/>
        </w:rPr>
        <w:t>2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7AFA964" w14:textId="15B50C7A" w:rsidR="00C748EA" w:rsidRDefault="00C748EA" w:rsidP="00C748EA">
      <w:pPr>
        <w:spacing w:after="0" w:line="365" w:lineRule="auto"/>
        <w:ind w:right="119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AC644F" wp14:editId="3991092F">
            <wp:extent cx="5018446" cy="1872392"/>
            <wp:effectExtent l="0" t="0" r="0" b="0"/>
            <wp:docPr id="2074581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1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446" cy="1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B23D" w14:textId="7D18F53A" w:rsidR="00C748EA" w:rsidRDefault="00C748EA" w:rsidP="00C748EA">
      <w:pPr>
        <w:spacing w:after="0" w:line="365" w:lineRule="auto"/>
        <w:ind w:right="119"/>
        <w:jc w:val="center"/>
        <w:rPr>
          <w:rFonts w:ascii="Times New Roman" w:eastAsia="宋体" w:hAnsi="Times New Roman" w:cs="Times New Roman"/>
          <w:b/>
          <w:bCs/>
          <w:sz w:val="21"/>
          <w:szCs w:val="22"/>
        </w:rPr>
      </w:pP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图</w:t>
      </w: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2</w:t>
      </w:r>
      <w:r w:rsidR="001F4E03">
        <w:rPr>
          <w:rFonts w:ascii="Times New Roman" w:eastAsia="宋体" w:hAnsi="Times New Roman" w:cs="Times New Roman" w:hint="eastAsia"/>
          <w:b/>
          <w:bCs/>
          <w:sz w:val="21"/>
          <w:szCs w:val="22"/>
        </w:rPr>
        <w:t xml:space="preserve"> </w:t>
      </w:r>
      <w:r w:rsidRPr="00C748EA">
        <w:rPr>
          <w:rFonts w:ascii="Times New Roman" w:eastAsia="宋体" w:hAnsi="Times New Roman" w:cs="Times New Roman" w:hint="eastAsia"/>
          <w:b/>
          <w:bCs/>
          <w:sz w:val="21"/>
          <w:szCs w:val="22"/>
        </w:rPr>
        <w:t>三个园区典型日负荷功率</w:t>
      </w:r>
    </w:p>
    <w:p w14:paraId="492903F7" w14:textId="0757B6B7" w:rsidR="00C748EA" w:rsidRDefault="00C748EA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C748EA">
        <w:rPr>
          <w:rFonts w:ascii="Times New Roman" w:eastAsia="宋体" w:hAnsi="Times New Roman" w:cs="Times New Roman" w:hint="eastAsia"/>
          <w:sz w:val="24"/>
          <w:szCs w:val="28"/>
        </w:rPr>
        <w:t>配置储能为磷酸铁锂电池，功率单价</w:t>
      </w:r>
      <w:r w:rsidRPr="00C748EA">
        <w:rPr>
          <w:rFonts w:ascii="Times New Roman" w:eastAsia="宋体" w:hAnsi="Times New Roman" w:cs="Times New Roman"/>
          <w:sz w:val="24"/>
          <w:szCs w:val="28"/>
        </w:rPr>
        <w:t>800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元</w:t>
      </w:r>
      <w:r w:rsidRPr="00C748EA">
        <w:rPr>
          <w:rFonts w:ascii="Times New Roman" w:eastAsia="宋体" w:hAnsi="Times New Roman" w:cs="Times New Roman"/>
          <w:sz w:val="24"/>
          <w:szCs w:val="28"/>
        </w:rPr>
        <w:t>/kW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，能量单价</w:t>
      </w:r>
      <w:r w:rsidRPr="00C748EA">
        <w:rPr>
          <w:rFonts w:ascii="Times New Roman" w:eastAsia="宋体" w:hAnsi="Times New Roman" w:cs="Times New Roman"/>
          <w:sz w:val="24"/>
          <w:szCs w:val="28"/>
        </w:rPr>
        <w:t>800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元</w:t>
      </w:r>
      <w:r w:rsidRPr="00C748EA">
        <w:rPr>
          <w:rFonts w:ascii="Times New Roman" w:eastAsia="宋体" w:hAnsi="Times New Roman" w:cs="Times New Roman"/>
          <w:sz w:val="24"/>
          <w:szCs w:val="28"/>
        </w:rPr>
        <w:t>/kWh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748EA">
        <w:rPr>
          <w:rFonts w:ascii="Times New Roman" w:eastAsia="宋体" w:hAnsi="Times New Roman" w:cs="Times New Roman"/>
          <w:sz w:val="24"/>
          <w:szCs w:val="28"/>
        </w:rPr>
        <w:t>SOC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允许范围</w:t>
      </w:r>
      <w:r w:rsidRPr="00C748EA">
        <w:rPr>
          <w:rFonts w:ascii="Times New Roman" w:eastAsia="宋体" w:hAnsi="Times New Roman" w:cs="Times New Roman"/>
          <w:sz w:val="24"/>
          <w:szCs w:val="28"/>
        </w:rPr>
        <w:t>10%-90%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，充</w:t>
      </w:r>
      <w:r w:rsidRPr="00C748EA">
        <w:rPr>
          <w:rFonts w:ascii="Times New Roman" w:eastAsia="宋体" w:hAnsi="Times New Roman" w:cs="Times New Roman"/>
          <w:sz w:val="24"/>
          <w:szCs w:val="28"/>
        </w:rPr>
        <w:t>/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放电效率</w:t>
      </w:r>
      <w:r w:rsidRPr="00C748EA">
        <w:rPr>
          <w:rFonts w:ascii="Times New Roman" w:eastAsia="宋体" w:hAnsi="Times New Roman" w:cs="Times New Roman"/>
          <w:sz w:val="24"/>
          <w:szCs w:val="28"/>
        </w:rPr>
        <w:t>95%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，运行寿命按</w:t>
      </w:r>
      <w:r w:rsidRPr="00C748EA">
        <w:rPr>
          <w:rFonts w:ascii="Times New Roman" w:eastAsia="宋体" w:hAnsi="Times New Roman" w:cs="Times New Roman"/>
          <w:sz w:val="24"/>
          <w:szCs w:val="28"/>
        </w:rPr>
        <w:t>10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年计。</w:t>
      </w:r>
    </w:p>
    <w:p w14:paraId="4DC7D11F" w14:textId="39FFCFAE" w:rsidR="00C748EA" w:rsidRDefault="00C748EA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C748EA">
        <w:rPr>
          <w:rFonts w:ascii="Times New Roman" w:eastAsia="宋体" w:hAnsi="Times New Roman" w:cs="Times New Roman" w:hint="eastAsia"/>
          <w:sz w:val="24"/>
          <w:szCs w:val="28"/>
        </w:rPr>
        <w:t>运行规则：各园区可再生能源发电优先供给本区域负荷，不足部分从主电网购电，网购电价格为</w:t>
      </w:r>
      <w:r w:rsidRPr="00C748EA">
        <w:rPr>
          <w:rFonts w:ascii="Times New Roman" w:eastAsia="宋体" w:hAnsi="Times New Roman" w:cs="Times New Roman"/>
          <w:sz w:val="24"/>
          <w:szCs w:val="28"/>
        </w:rPr>
        <w:t>1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元</w:t>
      </w:r>
      <w:r w:rsidRPr="00C748EA">
        <w:rPr>
          <w:rFonts w:ascii="Times New Roman" w:eastAsia="宋体" w:hAnsi="Times New Roman" w:cs="Times New Roman"/>
          <w:sz w:val="24"/>
          <w:szCs w:val="28"/>
        </w:rPr>
        <w:t>/kWh</w:t>
      </w:r>
      <w:r w:rsidRPr="00C748EA">
        <w:rPr>
          <w:rFonts w:ascii="Times New Roman" w:eastAsia="宋体" w:hAnsi="Times New Roman" w:cs="Times New Roman" w:hint="eastAsia"/>
          <w:sz w:val="24"/>
          <w:szCs w:val="28"/>
        </w:rPr>
        <w:t>；多余电量不允许向主电网出售（弃风、弃光）。</w:t>
      </w:r>
    </w:p>
    <w:p w14:paraId="3E3B9F42" w14:textId="7C65BFC6" w:rsidR="00650A39" w:rsidRPr="00650A39" w:rsidRDefault="00650A39" w:rsidP="00C748EA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lastRenderedPageBreak/>
        <w:t>考虑各园区独立运营配置储能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场景，试分析如下问题。</w:t>
      </w:r>
    </w:p>
    <w:p w14:paraId="56BB08A0" w14:textId="0C3ACC2D" w:rsidR="00C748EA" w:rsidRDefault="00650A39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问题：各园区独立运营储能配置方案及其经济性分析</w:t>
      </w:r>
    </w:p>
    <w:p w14:paraId="0E2FA224" w14:textId="0C1E326A" w:rsidR="00650A39" w:rsidRDefault="00650A39" w:rsidP="00650A39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系统结构如图</w:t>
      </w:r>
      <w:r w:rsidRPr="00650A39">
        <w:rPr>
          <w:rFonts w:ascii="Times New Roman" w:eastAsia="宋体" w:hAnsi="Times New Roman" w:cs="Times New Roman"/>
          <w:sz w:val="24"/>
          <w:szCs w:val="28"/>
        </w:rPr>
        <w:t>1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所示。以典型日风光发电功率为依据，设园区从风电、光伏的购电成本分别为</w:t>
      </w:r>
      <w:r w:rsidRPr="00650A39">
        <w:rPr>
          <w:rFonts w:ascii="Times New Roman" w:eastAsia="宋体" w:hAnsi="Times New Roman" w:cs="Times New Roman"/>
          <w:sz w:val="24"/>
          <w:szCs w:val="28"/>
        </w:rPr>
        <w:t>0.5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元</w:t>
      </w:r>
      <w:r w:rsidRPr="00650A39">
        <w:rPr>
          <w:rFonts w:ascii="Times New Roman" w:eastAsia="宋体" w:hAnsi="Times New Roman" w:cs="Times New Roman"/>
          <w:sz w:val="24"/>
          <w:szCs w:val="28"/>
        </w:rPr>
        <w:t>/kWh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Pr="00650A39">
        <w:rPr>
          <w:rFonts w:ascii="Times New Roman" w:eastAsia="宋体" w:hAnsi="Times New Roman" w:cs="Times New Roman"/>
          <w:sz w:val="24"/>
          <w:szCs w:val="28"/>
        </w:rPr>
        <w:t>0.4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元</w:t>
      </w:r>
      <w:r w:rsidRPr="00650A39">
        <w:rPr>
          <w:rFonts w:ascii="Times New Roman" w:eastAsia="宋体" w:hAnsi="Times New Roman" w:cs="Times New Roman"/>
          <w:sz w:val="24"/>
          <w:szCs w:val="28"/>
        </w:rPr>
        <w:t>/kWh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70662325" w14:textId="751BCFD9" w:rsidR="00650A39" w:rsidRDefault="00650A39" w:rsidP="00650A39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650A39">
        <w:rPr>
          <w:rFonts w:ascii="Times New Roman" w:eastAsia="宋体" w:hAnsi="Times New Roman" w:cs="Times New Roman"/>
          <w:sz w:val="24"/>
          <w:szCs w:val="28"/>
        </w:rPr>
        <w:t>1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）分析未配置储能时各园区运行的经济性，包括：购电量、</w:t>
      </w:r>
      <w:proofErr w:type="gramStart"/>
      <w:r w:rsidRPr="00650A39">
        <w:rPr>
          <w:rFonts w:ascii="Times New Roman" w:eastAsia="宋体" w:hAnsi="Times New Roman" w:cs="Times New Roman" w:hint="eastAsia"/>
          <w:sz w:val="24"/>
          <w:szCs w:val="28"/>
        </w:rPr>
        <w:t>弃风弃</w:t>
      </w:r>
      <w:proofErr w:type="gramEnd"/>
      <w:r w:rsidRPr="00650A39">
        <w:rPr>
          <w:rFonts w:ascii="Times New Roman" w:eastAsia="宋体" w:hAnsi="Times New Roman" w:cs="Times New Roman" w:hint="eastAsia"/>
          <w:sz w:val="24"/>
          <w:szCs w:val="28"/>
        </w:rPr>
        <w:t>光电量、总供电成本和单位电量平均供电成本，并分析影响其经济性的关键因素；</w:t>
      </w:r>
    </w:p>
    <w:p w14:paraId="73D7C4EE" w14:textId="15892A59" w:rsidR="00650A39" w:rsidRDefault="00650A39" w:rsidP="00650A39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650A39">
        <w:rPr>
          <w:rFonts w:ascii="Times New Roman" w:eastAsia="宋体" w:hAnsi="Times New Roman" w:cs="Times New Roman"/>
          <w:sz w:val="24"/>
          <w:szCs w:val="28"/>
        </w:rPr>
        <w:t>2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）各园区分别配置</w:t>
      </w:r>
      <w:r w:rsidRPr="00650A39">
        <w:rPr>
          <w:rFonts w:ascii="Times New Roman" w:eastAsia="宋体" w:hAnsi="Times New Roman" w:cs="Times New Roman"/>
          <w:sz w:val="24"/>
          <w:szCs w:val="28"/>
        </w:rPr>
        <w:t>50kW/100kWh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储能，制定储能最优运行策略及购电计划，分析各园区运行经济性是否改善，并解释其原因；</w:t>
      </w:r>
    </w:p>
    <w:p w14:paraId="5472D523" w14:textId="53439A87" w:rsidR="00650A39" w:rsidRDefault="00650A39" w:rsidP="00650A39">
      <w:pPr>
        <w:spacing w:after="0" w:line="365" w:lineRule="auto"/>
        <w:ind w:left="102" w:right="119" w:firstLine="476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650A39">
        <w:rPr>
          <w:rFonts w:ascii="Times New Roman" w:eastAsia="宋体" w:hAnsi="Times New Roman" w:cs="Times New Roman"/>
          <w:sz w:val="24"/>
          <w:szCs w:val="28"/>
        </w:rPr>
        <w:t>3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）假设风光</w:t>
      </w:r>
      <w:proofErr w:type="gramStart"/>
      <w:r w:rsidRPr="00650A39">
        <w:rPr>
          <w:rFonts w:ascii="Times New Roman" w:eastAsia="宋体" w:hAnsi="Times New Roman" w:cs="Times New Roman" w:hint="eastAsia"/>
          <w:sz w:val="24"/>
          <w:szCs w:val="28"/>
        </w:rPr>
        <w:t>荷</w:t>
      </w:r>
      <w:proofErr w:type="gramEnd"/>
      <w:r w:rsidRPr="00650A39">
        <w:rPr>
          <w:rFonts w:ascii="Times New Roman" w:eastAsia="宋体" w:hAnsi="Times New Roman" w:cs="Times New Roman" w:hint="eastAsia"/>
          <w:sz w:val="24"/>
          <w:szCs w:val="28"/>
        </w:rPr>
        <w:t>功率波动特性保持上述条件不变，你认为</w:t>
      </w:r>
      <w:r w:rsidRPr="00650A39">
        <w:rPr>
          <w:rFonts w:ascii="Times New Roman" w:eastAsia="宋体" w:hAnsi="Times New Roman" w:cs="Times New Roman"/>
          <w:sz w:val="24"/>
          <w:szCs w:val="28"/>
        </w:rPr>
        <w:t>50kW/100kWh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的方案是否最优</w:t>
      </w:r>
      <w:r>
        <w:rPr>
          <w:rFonts w:ascii="Times New Roman" w:eastAsia="宋体" w:hAnsi="Times New Roman" w:cs="Times New Roman" w:hint="eastAsia"/>
          <w:sz w:val="24"/>
          <w:szCs w:val="28"/>
        </w:rPr>
        <w:t>？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若是，请给出分析依据；若不是，</w:t>
      </w:r>
      <w:proofErr w:type="gramStart"/>
      <w:r w:rsidRPr="00650A39">
        <w:rPr>
          <w:rFonts w:ascii="Times New Roman" w:eastAsia="宋体" w:hAnsi="Times New Roman" w:cs="Times New Roman" w:hint="eastAsia"/>
          <w:sz w:val="24"/>
          <w:szCs w:val="28"/>
        </w:rPr>
        <w:t>请制定</w:t>
      </w:r>
      <w:proofErr w:type="gramEnd"/>
      <w:r w:rsidRPr="00650A39">
        <w:rPr>
          <w:rFonts w:ascii="Times New Roman" w:eastAsia="宋体" w:hAnsi="Times New Roman" w:cs="Times New Roman" w:hint="eastAsia"/>
          <w:sz w:val="24"/>
          <w:szCs w:val="28"/>
        </w:rPr>
        <w:t>各园区最优的储能功率、容量配置方案，论证所制定方案的优越性。</w:t>
      </w:r>
    </w:p>
    <w:p w14:paraId="23F76917" w14:textId="77777777" w:rsidR="00650A39" w:rsidRDefault="00650A39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sz w:val="24"/>
          <w:szCs w:val="28"/>
        </w:rPr>
      </w:pPr>
    </w:p>
    <w:p w14:paraId="143FE8AE" w14:textId="77777777" w:rsidR="00650A39" w:rsidRDefault="00650A39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sz w:val="24"/>
          <w:szCs w:val="28"/>
        </w:rPr>
      </w:pPr>
    </w:p>
    <w:p w14:paraId="696119A4" w14:textId="77777777" w:rsidR="005E3196" w:rsidRDefault="005E3196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sz w:val="24"/>
          <w:szCs w:val="28"/>
        </w:rPr>
      </w:pPr>
    </w:p>
    <w:p w14:paraId="562F007B" w14:textId="0215606F" w:rsidR="00650A39" w:rsidRDefault="00650A39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附件</w:t>
      </w:r>
      <w:r w:rsidRPr="00650A39">
        <w:rPr>
          <w:rFonts w:ascii="Times New Roman" w:eastAsia="宋体" w:hAnsi="Times New Roman" w:cs="Times New Roman"/>
          <w:sz w:val="24"/>
          <w:szCs w:val="28"/>
        </w:rPr>
        <w:t>1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：各园区典型日负荷数据</w:t>
      </w:r>
    </w:p>
    <w:p w14:paraId="68694CD6" w14:textId="78DE454C" w:rsidR="00650A39" w:rsidRPr="00C748EA" w:rsidRDefault="00650A39" w:rsidP="00650A39">
      <w:pPr>
        <w:spacing w:after="0" w:line="365" w:lineRule="auto"/>
        <w:ind w:right="119"/>
        <w:jc w:val="both"/>
        <w:rPr>
          <w:rFonts w:ascii="Times New Roman" w:eastAsia="宋体" w:hAnsi="Times New Roman" w:cs="Times New Roman"/>
          <w:sz w:val="24"/>
          <w:szCs w:val="28"/>
        </w:rPr>
      </w:pPr>
      <w:r w:rsidRPr="00650A39">
        <w:rPr>
          <w:rFonts w:ascii="Times New Roman" w:eastAsia="宋体" w:hAnsi="Times New Roman" w:cs="Times New Roman" w:hint="eastAsia"/>
          <w:sz w:val="24"/>
          <w:szCs w:val="28"/>
        </w:rPr>
        <w:t>附件</w:t>
      </w:r>
      <w:r w:rsidRPr="00650A39">
        <w:rPr>
          <w:rFonts w:ascii="Times New Roman" w:eastAsia="宋体" w:hAnsi="Times New Roman" w:cs="Times New Roman"/>
          <w:sz w:val="24"/>
          <w:szCs w:val="28"/>
        </w:rPr>
        <w:t>2</w:t>
      </w:r>
      <w:r w:rsidRPr="00650A39">
        <w:rPr>
          <w:rFonts w:ascii="Times New Roman" w:eastAsia="宋体" w:hAnsi="Times New Roman" w:cs="Times New Roman" w:hint="eastAsia"/>
          <w:sz w:val="24"/>
          <w:szCs w:val="28"/>
        </w:rPr>
        <w:t>：各园区典型日风光发电数据</w:t>
      </w:r>
    </w:p>
    <w:sectPr w:rsidR="00650A39" w:rsidRPr="00C748EA" w:rsidSect="00C748EA">
      <w:pgSz w:w="11906" w:h="16838"/>
      <w:pgMar w:top="1701" w:right="1559" w:bottom="85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4"/>
    <w:rsid w:val="001F4E03"/>
    <w:rsid w:val="00491A4C"/>
    <w:rsid w:val="005B1EDD"/>
    <w:rsid w:val="005E3196"/>
    <w:rsid w:val="00650A39"/>
    <w:rsid w:val="006935A9"/>
    <w:rsid w:val="00930114"/>
    <w:rsid w:val="00C748EA"/>
    <w:rsid w:val="00D53A04"/>
    <w:rsid w:val="00E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7FC87"/>
  <w15:chartTrackingRefBased/>
  <w15:docId w15:val="{F08B66BF-874C-4DCB-88AC-29D34C0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A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A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A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A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A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A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A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A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A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A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3A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A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A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A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A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A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A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422</Words>
  <Characters>469</Characters>
  <Application>Microsoft Office Word</Application>
  <DocSecurity>0</DocSecurity>
  <Lines>19</Lines>
  <Paragraphs>17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</dc:creator>
  <cp:keywords/>
  <dc:description/>
  <cp:lastModifiedBy>洛</cp:lastModifiedBy>
  <cp:revision>5</cp:revision>
  <dcterms:created xsi:type="dcterms:W3CDTF">2025-07-30T05:23:00Z</dcterms:created>
  <dcterms:modified xsi:type="dcterms:W3CDTF">2025-07-30T05:43:00Z</dcterms:modified>
</cp:coreProperties>
</file>