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66E39" w14:textId="77777777" w:rsidR="00AF6492" w:rsidRPr="00AF6492" w:rsidRDefault="007C201F" w:rsidP="00AF6492">
      <w:pPr>
        <w:spacing w:after="0" w:line="276" w:lineRule="auto"/>
        <w:rPr>
          <w:sz w:val="32"/>
          <w:szCs w:val="32"/>
        </w:rPr>
      </w:pPr>
      <w:r w:rsidRPr="00AF6492">
        <w:rPr>
          <w:rFonts w:hint="eastAsia"/>
          <w:sz w:val="32"/>
          <w:szCs w:val="32"/>
        </w:rPr>
        <w:t>引言：</w:t>
      </w:r>
    </w:p>
    <w:p w14:paraId="60E63BA5" w14:textId="124F5396" w:rsidR="007C201F" w:rsidRPr="00AF6492" w:rsidRDefault="007C201F" w:rsidP="00AF6492">
      <w:pPr>
        <w:spacing w:after="0" w:line="276" w:lineRule="auto"/>
      </w:pPr>
      <w:r w:rsidRPr="00AF6492">
        <w:rPr>
          <w:rFonts w:hint="eastAsia"/>
        </w:rPr>
        <w:t>本小组选定的研究方向为盲人玩家玩以视觉为中心的数字游戏的策略。</w:t>
      </w:r>
    </w:p>
    <w:p w14:paraId="7F62A874" w14:textId="144D038F" w:rsidR="0053414E" w:rsidRPr="00AF6492" w:rsidRDefault="0077441A" w:rsidP="00AF6492">
      <w:pPr>
        <w:spacing w:after="0" w:line="276" w:lineRule="auto"/>
      </w:pPr>
      <w:r w:rsidRPr="00AF6492">
        <w:rPr>
          <w:rFonts w:hint="eastAsia"/>
        </w:rPr>
        <w:t>主流游戏中有着复杂的虚拟环境、行为和内容,它使盲人难以参与</w:t>
      </w:r>
      <w:r w:rsidR="00FD3616" w:rsidRPr="00AF6492">
        <w:rPr>
          <w:rFonts w:hint="eastAsia"/>
        </w:rPr>
        <w:t>其中</w:t>
      </w:r>
      <w:r w:rsidRPr="00AF6492">
        <w:rPr>
          <w:rFonts w:hint="eastAsia"/>
        </w:rPr>
        <w:t>，并限制了他们与他人分享游戏体验的能力，尤其是那些非盲人</w:t>
      </w:r>
      <w:r w:rsidRPr="00AF6492">
        <w:t>。虽然大多数游戏都是为视力正常而设计的，但这并不能阻止一些盲人玩家体验主流游戏，即使这些游戏缺乏辅助功能。</w:t>
      </w:r>
      <w:r w:rsidR="00FD3616" w:rsidRPr="00AF6492">
        <w:rPr>
          <w:rFonts w:hint="eastAsia"/>
        </w:rPr>
        <w:t>为盲人玩家玩以视觉为中心的数字游戏的重要性如下：</w:t>
      </w:r>
    </w:p>
    <w:p w14:paraId="5D4AE949" w14:textId="74B74316" w:rsidR="0053414E" w:rsidRPr="00AF6492" w:rsidRDefault="0053414E" w:rsidP="00AF6492">
      <w:pPr>
        <w:spacing w:after="0" w:line="276" w:lineRule="auto"/>
      </w:pPr>
      <w:r w:rsidRPr="00AF6492">
        <w:rPr>
          <w:rFonts w:hint="eastAsia"/>
        </w:rPr>
        <w:t>包容性：游戏应该包含视觉障碍者在内的所有玩家。通过设计以触觉、听觉或其他感官为中心的游戏，可以确保所有玩家都能够参与其中，无论他们是否有视觉障碍。</w:t>
      </w:r>
    </w:p>
    <w:p w14:paraId="63B59E5F" w14:textId="4577AC95" w:rsidR="0053414E" w:rsidRPr="00AF6492" w:rsidRDefault="0053414E" w:rsidP="00AF6492">
      <w:pPr>
        <w:spacing w:after="0" w:line="276" w:lineRule="auto"/>
      </w:pPr>
      <w:r w:rsidRPr="00AF6492">
        <w:rPr>
          <w:rFonts w:hint="eastAsia"/>
        </w:rPr>
        <w:t>公平性：以视觉为中心的数字游戏可能会造成对视觉障碍者的不公平。如果游戏的关键元素是基于图形或颜色，盲人玩家将无法理解或参与其中。设计以非视觉元素为基础的游戏可以确保所有玩家在游戏中有相同的机会。</w:t>
      </w:r>
    </w:p>
    <w:p w14:paraId="3C76E338" w14:textId="4C3024FE" w:rsidR="0053414E" w:rsidRPr="00AF6492" w:rsidRDefault="0053414E" w:rsidP="00AF6492">
      <w:pPr>
        <w:spacing w:after="0" w:line="276" w:lineRule="auto"/>
      </w:pPr>
      <w:r w:rsidRPr="00AF6492">
        <w:rPr>
          <w:rFonts w:hint="eastAsia"/>
        </w:rPr>
        <w:t>创新性：为盲人玩家设计游戏需要更多的创新和想象力。这可以促使游戏设计者思考如何利用其他感官来替代视觉，创造出独特而有趣的游戏体验。</w:t>
      </w:r>
    </w:p>
    <w:p w14:paraId="59653B04" w14:textId="37F7ABF8" w:rsidR="007C201F" w:rsidRPr="00AF6492" w:rsidRDefault="0053414E" w:rsidP="00AF6492">
      <w:pPr>
        <w:spacing w:after="0" w:line="276" w:lineRule="auto"/>
      </w:pPr>
      <w:r w:rsidRPr="00AF6492">
        <w:rPr>
          <w:rFonts w:hint="eastAsia"/>
        </w:rPr>
        <w:t>社交性：游戏是一种社交活动，能够促进玩家之间的交流和互动。通过设计以非视觉为中心的游戏，可以鼓励玩家之间的合作和沟通，增强游戏的社交性。</w:t>
      </w:r>
    </w:p>
    <w:p w14:paraId="1D7135CA" w14:textId="77777777" w:rsidR="00FD3616" w:rsidRPr="00AF6492" w:rsidRDefault="0053414E" w:rsidP="00AF6492">
      <w:pPr>
        <w:spacing w:after="0" w:line="276" w:lineRule="auto"/>
        <w:rPr>
          <w:sz w:val="32"/>
          <w:szCs w:val="32"/>
        </w:rPr>
      </w:pPr>
      <w:r w:rsidRPr="00AF6492">
        <w:rPr>
          <w:rFonts w:hint="eastAsia"/>
          <w:sz w:val="32"/>
          <w:szCs w:val="32"/>
        </w:rPr>
        <w:t>相关工作：</w:t>
      </w:r>
    </w:p>
    <w:p w14:paraId="5ACF204C" w14:textId="5CE672FE" w:rsidR="0077441A" w:rsidRPr="00AF6492" w:rsidRDefault="007C201F" w:rsidP="00AF6492">
      <w:pPr>
        <w:spacing w:after="0" w:line="276" w:lineRule="auto"/>
      </w:pPr>
      <w:r w:rsidRPr="00AF6492">
        <w:rPr>
          <w:rFonts w:hint="eastAsia"/>
        </w:rPr>
        <w:t>为盲人玩家玩游戏的研究由来已久，早在2001年法制日报社主办的《金剑》杂志报道称“盲人也可玩电脑游戏”。但是</w:t>
      </w:r>
      <w:r w:rsidR="0053414E" w:rsidRPr="00AF6492">
        <w:rPr>
          <w:rFonts w:hint="eastAsia"/>
        </w:rPr>
        <w:t>市面上的主流游戏通常围绕视觉体验而设计，行为和交互高度依赖于视觉。尽管如此，盲人仍然在玩主流游戏，同时处理和克服无法访问的内容。先前的研究主要集中在叙述盲人玩家对无障碍（例如音频）游戏的体验</w:t>
      </w:r>
      <w:r w:rsidR="0053414E" w:rsidRPr="00AF6492">
        <w:t>，或仅识别表面水平的障碍。</w:t>
      </w:r>
    </w:p>
    <w:p w14:paraId="7B4DCFEF" w14:textId="17DBD6A8" w:rsidR="00BA5631" w:rsidRPr="00AF6492" w:rsidRDefault="00197F0C" w:rsidP="00AF6492">
      <w:pPr>
        <w:spacing w:after="0" w:line="276" w:lineRule="auto"/>
      </w:pPr>
      <w:r w:rsidRPr="00AF6492">
        <w:rPr>
          <w:rFonts w:hint="eastAsia"/>
        </w:rPr>
        <w:t>对于盲人无障碍游戏设计研究（</w:t>
      </w:r>
      <w:r w:rsidRPr="00AF6492">
        <w:t>Research on blind-accessible game design</w:t>
      </w:r>
      <w:r w:rsidRPr="00AF6492">
        <w:rPr>
          <w:rFonts w:hint="eastAsia"/>
        </w:rPr>
        <w:t>），已经研究了使用音频反馈的多种方式，以在二维和三维环境中提供更易</w:t>
      </w:r>
      <w:proofErr w:type="gramStart"/>
      <w:r w:rsidRPr="00AF6492">
        <w:rPr>
          <w:rFonts w:hint="eastAsia"/>
        </w:rPr>
        <w:t>于访问</w:t>
      </w:r>
      <w:proofErr w:type="gramEnd"/>
      <w:r w:rsidRPr="00AF6492">
        <w:rPr>
          <w:rFonts w:hint="eastAsia"/>
        </w:rPr>
        <w:t>的体验</w:t>
      </w:r>
      <w:r w:rsidR="00BA5631" w:rsidRPr="00AF6492">
        <w:rPr>
          <w:rFonts w:hint="eastAsia"/>
        </w:rPr>
        <w:t>。一些较为成功的游戏探索了不同的渲染策略来创建无障碍导航。一些工具的使用也使得盲人无障碍游戏设计变得容易：如</w:t>
      </w:r>
      <w:proofErr w:type="spellStart"/>
      <w:r w:rsidR="00BA5631" w:rsidRPr="00AF6492">
        <w:t>NavStick</w:t>
      </w:r>
      <w:proofErr w:type="spellEnd"/>
      <w:r w:rsidR="00BA5631" w:rsidRPr="00AF6492">
        <w:rPr>
          <w:rFonts w:hint="eastAsia"/>
        </w:rPr>
        <w:t>，它</w:t>
      </w:r>
      <w:r w:rsidR="00BA5631" w:rsidRPr="00AF6492">
        <w:t>是一种基于音频的工具，它使盲人玩家能够按照自己的节奏探测周围环境，方法是使用控制器操纵杆一次扫描特定方向。该工具显示出使三维导航在主流游戏中更容易获得的潜</w:t>
      </w:r>
      <w:r w:rsidR="00BA5631" w:rsidRPr="00AF6492">
        <w:rPr>
          <w:rFonts w:hint="eastAsia"/>
        </w:rPr>
        <w:t>力。</w:t>
      </w:r>
      <w:r w:rsidR="00BA5631" w:rsidRPr="00AF6492">
        <w:t>研究还利用触觉与定制设备进行游戏导航，这为创建无障碍游戏玩法提供了新方法</w:t>
      </w:r>
      <w:r w:rsidR="00BA5631" w:rsidRPr="00AF6492">
        <w:rPr>
          <w:rFonts w:hint="eastAsia"/>
        </w:rPr>
        <w:t>。然而</w:t>
      </w:r>
      <w:r w:rsidR="00EC0141" w:rsidRPr="00AF6492">
        <w:rPr>
          <w:rFonts w:hint="eastAsia"/>
        </w:rPr>
        <w:t>盲人无障碍游戏设计研究也有挑战：开发</w:t>
      </w:r>
      <w:r w:rsidR="00BA5631" w:rsidRPr="00AF6492">
        <w:rPr>
          <w:rFonts w:hint="eastAsia"/>
        </w:rPr>
        <w:t>包容性多人游戏</w:t>
      </w:r>
      <w:r w:rsidR="00EC0141" w:rsidRPr="00AF6492">
        <w:rPr>
          <w:rFonts w:hint="eastAsia"/>
        </w:rPr>
        <w:t>。这</w:t>
      </w:r>
      <w:r w:rsidR="00BA5631" w:rsidRPr="00AF6492">
        <w:rPr>
          <w:rFonts w:hint="eastAsia"/>
        </w:rPr>
        <w:t>通常被工业界和研究界的可访问性工作所忽视</w:t>
      </w:r>
      <w:r w:rsidR="00BA5631" w:rsidRPr="00AF6492">
        <w:t>。以前的著作从残疾人的角度强调了与他人一起玩耍的难题，不公平感是避免共享经验的主要原因。通用游戏设计提出了基于多模态和适应的策略，人们可以使用适合他们需求的界面进行游戏，但仅在简单的游戏（例如国际象棋）中成功应用。</w:t>
      </w:r>
    </w:p>
    <w:p w14:paraId="5C3C022C" w14:textId="5CDEB8BE" w:rsidR="00EC0141" w:rsidRPr="00AF6492" w:rsidRDefault="00EC0141" w:rsidP="00AF6492">
      <w:pPr>
        <w:spacing w:after="0" w:line="276" w:lineRule="auto"/>
      </w:pPr>
      <w:r w:rsidRPr="00AF6492">
        <w:rPr>
          <w:rFonts w:hint="eastAsia"/>
        </w:rPr>
        <w:t>盲人在虚拟环境中的导航（</w:t>
      </w:r>
      <w:r w:rsidRPr="00AF6492">
        <w:t>Navigation in virtual environments for blind people</w:t>
      </w:r>
      <w:r w:rsidRPr="00AF6492">
        <w:rPr>
          <w:rFonts w:hint="eastAsia"/>
        </w:rPr>
        <w:t>）</w:t>
      </w:r>
    </w:p>
    <w:p w14:paraId="6A789E71" w14:textId="0C22CBF0" w:rsidR="00EC0141" w:rsidRPr="00AF6492" w:rsidRDefault="00EC0141" w:rsidP="00AF6492">
      <w:pPr>
        <w:spacing w:after="0" w:line="276" w:lineRule="auto"/>
      </w:pPr>
      <w:r w:rsidRPr="00AF6492">
        <w:rPr>
          <w:rFonts w:hint="eastAsia"/>
        </w:rPr>
        <w:t>根据文献，导航</w:t>
      </w:r>
      <w:r w:rsidR="00153FFD" w:rsidRPr="00AF6492">
        <w:rPr>
          <w:rFonts w:hint="eastAsia"/>
        </w:rPr>
        <w:t>（</w:t>
      </w:r>
      <w:r w:rsidR="00153FFD" w:rsidRPr="00AF6492">
        <w:t>Navigation</w:t>
      </w:r>
      <w:r w:rsidR="00153FFD" w:rsidRPr="00AF6492">
        <w:rPr>
          <w:rFonts w:hint="eastAsia"/>
        </w:rPr>
        <w:t>）</w:t>
      </w:r>
      <w:r w:rsidRPr="00AF6492">
        <w:rPr>
          <w:rFonts w:hint="eastAsia"/>
        </w:rPr>
        <w:t>是盲人玩家进入主流游戏的主要障碍之一</w:t>
      </w:r>
      <w:r w:rsidRPr="00AF6492">
        <w:t>。目前使用虚拟环境的解决方案侧重于支持移动训练和真实世界位置的心理映射。</w:t>
      </w:r>
      <w:r w:rsidRPr="00AF6492">
        <w:rPr>
          <w:rFonts w:hint="eastAsia"/>
        </w:rPr>
        <w:t>然而研究</w:t>
      </w:r>
      <w:r w:rsidRPr="00AF6492">
        <w:t>表明</w:t>
      </w:r>
      <w:r w:rsidRPr="00AF6492">
        <w:rPr>
          <w:rFonts w:hint="eastAsia"/>
        </w:rPr>
        <w:t>，</w:t>
      </w:r>
      <w:r w:rsidRPr="00AF6492">
        <w:t>签名者和开发人员可能不需要复制用户的真实技术和行为，以使他们能够成功地与虚拟环境进行交互</w:t>
      </w:r>
      <w:r w:rsidRPr="00AF6492">
        <w:rPr>
          <w:rFonts w:hint="eastAsia"/>
        </w:rPr>
        <w:t>，因此鼓励他们探索开箱即用的解决方案。然而，对于游戏世界，我</w:t>
      </w:r>
      <w:r w:rsidRPr="00AF6492">
        <w:rPr>
          <w:rFonts w:hint="eastAsia"/>
        </w:rPr>
        <w:lastRenderedPageBreak/>
        <w:t>们尚未了解实用、可访问和沉浸式导航解决方案之间的权衡。</w:t>
      </w:r>
    </w:p>
    <w:p w14:paraId="3429671F" w14:textId="1FFDF251" w:rsidR="00EC0141" w:rsidRPr="00AF6492" w:rsidRDefault="00FD3616" w:rsidP="00AF6492">
      <w:pPr>
        <w:spacing w:after="0" w:line="276" w:lineRule="auto"/>
        <w:rPr>
          <w:rFonts w:hint="eastAsia"/>
        </w:rPr>
      </w:pPr>
      <w:proofErr w:type="gramStart"/>
      <w:r w:rsidRPr="00AF6492">
        <w:rPr>
          <w:rFonts w:hint="eastAsia"/>
        </w:rPr>
        <w:t>本文章</w:t>
      </w:r>
      <w:proofErr w:type="gramEnd"/>
      <w:r w:rsidRPr="00AF6492">
        <w:rPr>
          <w:rFonts w:hint="eastAsia"/>
        </w:rPr>
        <w:t>所从事的研究</w:t>
      </w:r>
      <w:r w:rsidR="0077441A" w:rsidRPr="00AF6492">
        <w:rPr>
          <w:rFonts w:hint="eastAsia"/>
        </w:rPr>
        <w:t>分析了超过</w:t>
      </w:r>
      <w:r w:rsidR="0077441A" w:rsidRPr="00AF6492">
        <w:t xml:space="preserve"> 70 小时的 YouTube 视频，其中盲人内容创作者玩以视觉为中心的游戏</w:t>
      </w:r>
      <w:r w:rsidRPr="00AF6492">
        <w:rPr>
          <w:rFonts w:hint="eastAsia"/>
        </w:rPr>
        <w:t>，</w:t>
      </w:r>
      <w:r w:rsidR="0077441A" w:rsidRPr="00AF6492">
        <w:t>指出了玩家采用的各种策略</w:t>
      </w:r>
      <w:r w:rsidR="0077441A" w:rsidRPr="00AF6492">
        <w:rPr>
          <w:rFonts w:hint="eastAsia"/>
        </w:rPr>
        <w:t>克服主流游戏中</w:t>
      </w:r>
      <w:r w:rsidRPr="00AF6492">
        <w:rPr>
          <w:rFonts w:hint="eastAsia"/>
        </w:rPr>
        <w:t>的</w:t>
      </w:r>
      <w:r w:rsidR="0077441A" w:rsidRPr="00AF6492">
        <w:rPr>
          <w:rFonts w:hint="eastAsia"/>
        </w:rPr>
        <w:t>障碍</w:t>
      </w:r>
      <w:r w:rsidRPr="00AF6492">
        <w:rPr>
          <w:rFonts w:hint="eastAsia"/>
        </w:rPr>
        <w:t>，并</w:t>
      </w:r>
      <w:r w:rsidR="0077441A" w:rsidRPr="00AF6492">
        <w:rPr>
          <w:rFonts w:hint="eastAsia"/>
        </w:rPr>
        <w:t>思考了如何启用和改善盲人玩家对这些游戏的体验，阐明了看似良性的设计选择的积极和消极后果。</w:t>
      </w:r>
      <w:r w:rsidRPr="00AF6492">
        <w:rPr>
          <w:rFonts w:hint="eastAsia"/>
        </w:rPr>
        <w:t>研究人员</w:t>
      </w:r>
      <w:r w:rsidR="0077441A" w:rsidRPr="00AF6492">
        <w:rPr>
          <w:rFonts w:hint="eastAsia"/>
        </w:rPr>
        <w:t>的观察强调了游戏元素如何被用于可访问性、音频设计的附带条件以及可访问性、代理性和参与度之间的权衡。</w:t>
      </w:r>
    </w:p>
    <w:p w14:paraId="4BFA71C9" w14:textId="77777777" w:rsidR="00482E50" w:rsidRPr="00AF6492" w:rsidRDefault="00482E50" w:rsidP="00AF6492">
      <w:pPr>
        <w:spacing w:after="0" w:line="276" w:lineRule="auto"/>
        <w:rPr>
          <w:sz w:val="32"/>
          <w:szCs w:val="32"/>
        </w:rPr>
      </w:pPr>
      <w:r w:rsidRPr="00AF6492">
        <w:rPr>
          <w:rFonts w:hint="eastAsia"/>
          <w:sz w:val="32"/>
          <w:szCs w:val="32"/>
        </w:rPr>
        <w:t>研究方法：</w:t>
      </w:r>
    </w:p>
    <w:p w14:paraId="75982331" w14:textId="11ACC554" w:rsidR="00482E50" w:rsidRPr="00AF6492" w:rsidRDefault="00482E50" w:rsidP="00AF6492">
      <w:pPr>
        <w:spacing w:after="0" w:line="276" w:lineRule="auto"/>
      </w:pPr>
      <w:r w:rsidRPr="00AF6492">
        <w:rPr>
          <w:rFonts w:hint="eastAsia"/>
        </w:rPr>
        <w:t>在线民族志研究：研究者通过观察在线视频，了解盲人如何玩主流数字游戏。这种研究方法是一种民族志研究，通过观察和记录人们的行为来了解他们在特定环境中的文化实践和习惯。</w:t>
      </w:r>
    </w:p>
    <w:p w14:paraId="388C5964" w14:textId="6A01B816" w:rsidR="00482E50" w:rsidRPr="00AF6492" w:rsidRDefault="00482E50" w:rsidP="00AF6492">
      <w:pPr>
        <w:spacing w:after="0" w:line="276" w:lineRule="auto"/>
      </w:pPr>
      <w:r w:rsidRPr="00AF6492">
        <w:rPr>
          <w:rFonts w:hint="eastAsia"/>
        </w:rPr>
        <w:t>观察和分析视频内容：</w:t>
      </w:r>
      <w:r w:rsidR="00153FFD" w:rsidRPr="00AF6492">
        <w:t>在线视频共享平台中很常见，盲人用户可以广泛地投射和分享他们在主流游戏中的体验。</w:t>
      </w:r>
      <w:r w:rsidRPr="00AF6492">
        <w:rPr>
          <w:rFonts w:hint="eastAsia"/>
        </w:rPr>
        <w:t>研究者观察了由盲人上传到</w:t>
      </w:r>
      <w:r w:rsidRPr="00AF6492">
        <w:t>YouTube的游戏视频，并分析了这些视频中盲人玩家在主流游戏中面对的挑战、采取的策略以及创新的游戏方式。这种方法允许研究者直接观察到实际行为，并从中获取数据和见解。</w:t>
      </w:r>
    </w:p>
    <w:p w14:paraId="0607DE84" w14:textId="32F43342" w:rsidR="00153FFD" w:rsidRPr="00AF6492" w:rsidRDefault="00482E50" w:rsidP="00AF6492">
      <w:pPr>
        <w:spacing w:after="0" w:line="276" w:lineRule="auto"/>
        <w:rPr>
          <w:rFonts w:hint="eastAsia"/>
        </w:rPr>
      </w:pPr>
      <w:r w:rsidRPr="00AF6492">
        <w:rPr>
          <w:rFonts w:hint="eastAsia"/>
        </w:rPr>
        <w:t>定性分析：研究者对观察到的现象进行了深入的定性分析，以理解盲人玩家在面对视觉挑战时是如何应对的，他们使用了什么样的策略和工具来克服游戏的不可访问性。这种分析方法帮助研究者深入理解盲人玩家的游戏体验，并从中提取有价值的见解。</w:t>
      </w:r>
    </w:p>
    <w:p w14:paraId="1E86FAA7" w14:textId="2BF37B78" w:rsidR="00153FFD" w:rsidRPr="00AF6492" w:rsidRDefault="00153FFD" w:rsidP="00AF6492">
      <w:pPr>
        <w:spacing w:after="0" w:line="276" w:lineRule="auto"/>
        <w:rPr>
          <w:rFonts w:ascii="Segoe UI" w:hAnsi="Segoe UI" w:cs="Segoe UI"/>
          <w:color w:val="0D0D0D"/>
          <w:shd w:val="clear" w:color="auto" w:fill="FFFFFF"/>
        </w:rPr>
      </w:pPr>
      <w:r w:rsidRPr="00AF6492">
        <w:rPr>
          <w:rFonts w:hint="eastAsia"/>
        </w:rPr>
        <w:t>然而我们可以清楚地知道，受限于样本容量，在对于YouTube上的视频进行分析时很容易造成偏差，即视频只代表个体的游戏体验，</w:t>
      </w:r>
      <w:r w:rsidRPr="00AF6492">
        <w:rPr>
          <w:rFonts w:ascii="Segoe UI" w:hAnsi="Segoe UI" w:cs="Segoe UI"/>
          <w:color w:val="0D0D0D"/>
          <w:shd w:val="clear" w:color="auto" w:fill="FFFFFF"/>
        </w:rPr>
        <w:t>而不是整个群体的代表性</w:t>
      </w:r>
      <w:r w:rsidRPr="00AF6492">
        <w:rPr>
          <w:rFonts w:ascii="Segoe UI" w:hAnsi="Segoe UI" w:cs="Segoe UI" w:hint="eastAsia"/>
          <w:color w:val="0D0D0D"/>
          <w:shd w:val="clear" w:color="auto" w:fill="FFFFFF"/>
        </w:rPr>
        <w:t>。而且，主观因素也会对于数据的解释和理解产生影响，依据主观的观点和经验，不同的研究人员可能会有不同的结论。</w:t>
      </w:r>
    </w:p>
    <w:p w14:paraId="07CCC28F" w14:textId="13EDCAC1" w:rsidR="00482E50" w:rsidRPr="00AF6492" w:rsidRDefault="001116FF" w:rsidP="00AF6492">
      <w:pPr>
        <w:spacing w:after="0" w:line="276" w:lineRule="auto"/>
        <w:rPr>
          <w:sz w:val="32"/>
          <w:szCs w:val="32"/>
        </w:rPr>
      </w:pPr>
      <w:r w:rsidRPr="00AF6492">
        <w:rPr>
          <w:rFonts w:hint="eastAsia"/>
          <w:sz w:val="32"/>
          <w:szCs w:val="32"/>
        </w:rPr>
        <w:t>实验</w:t>
      </w:r>
      <w:r w:rsidR="00482E50" w:rsidRPr="00AF6492">
        <w:rPr>
          <w:rFonts w:hint="eastAsia"/>
          <w:sz w:val="32"/>
          <w:szCs w:val="32"/>
        </w:rPr>
        <w:t>结果</w:t>
      </w:r>
      <w:r w:rsidR="00AF6492">
        <w:rPr>
          <w:rFonts w:hint="eastAsia"/>
          <w:sz w:val="32"/>
          <w:szCs w:val="32"/>
        </w:rPr>
        <w:t>:</w:t>
      </w:r>
    </w:p>
    <w:p w14:paraId="0672FE2D" w14:textId="3BEF7F0F" w:rsidR="00482E50" w:rsidRPr="00AF6492" w:rsidRDefault="00482E50" w:rsidP="00AF6492">
      <w:pPr>
        <w:spacing w:after="0" w:line="276" w:lineRule="auto"/>
      </w:pPr>
      <w:r w:rsidRPr="00AF6492">
        <w:t>包容性设计至关重要，随着游戏已成为最受欢迎的娱乐媒介之一并持续增长，更是如此。在本文中，</w:t>
      </w:r>
      <w:r w:rsidR="001116FF" w:rsidRPr="00AF6492">
        <w:rPr>
          <w:rFonts w:hint="eastAsia"/>
        </w:rPr>
        <w:t>研究人员</w:t>
      </w:r>
      <w:r w:rsidRPr="00AF6492">
        <w:t>描述了多位盲人内容创作者玩主流游戏的录制体验，特别关注为克服其缺乏可访问性而实施的策略。</w:t>
      </w:r>
      <w:r w:rsidR="001116FF" w:rsidRPr="00AF6492">
        <w:rPr>
          <w:rFonts w:hint="eastAsia"/>
        </w:rPr>
        <w:t>研究人员</w:t>
      </w:r>
      <w:r w:rsidRPr="00AF6492">
        <w:t>描述了盲人玩家如何利用</w:t>
      </w:r>
      <w:r w:rsidRPr="00AF6492">
        <w:rPr>
          <w:rFonts w:hint="eastAsia"/>
        </w:rPr>
        <w:t>特定游</w:t>
      </w:r>
      <w:r w:rsidRPr="00AF6492">
        <w:t>戏功能和机制来简化或自动化任务，并接收额外的声音信息。有些人能够创造自己的游戏方式，克服游戏带来的许多可访问性障碍，有时甚至变得相当熟练。这些策略展示了设计游戏的潜在新方法，使其易于访问，同时保持核心游戏体验。</w:t>
      </w:r>
    </w:p>
    <w:p w14:paraId="79BB250F" w14:textId="6ED938FD" w:rsidR="00482E50" w:rsidRPr="00AF6492" w:rsidRDefault="001116FF" w:rsidP="00AF6492">
      <w:pPr>
        <w:spacing w:after="0" w:line="276" w:lineRule="auto"/>
        <w:rPr>
          <w:rFonts w:hint="eastAsia"/>
        </w:rPr>
      </w:pPr>
      <w:r w:rsidRPr="00AF6492">
        <w:rPr>
          <w:rFonts w:hint="eastAsia"/>
        </w:rPr>
        <w:t>在未来，针对</w:t>
      </w:r>
      <w:r w:rsidRPr="00AF6492">
        <w:rPr>
          <w:rFonts w:hint="eastAsia"/>
        </w:rPr>
        <w:t>游戏环境中的定向和移动策略</w:t>
      </w:r>
      <w:r w:rsidRPr="00AF6492">
        <w:rPr>
          <w:rFonts w:hint="eastAsia"/>
        </w:rPr>
        <w:t>（</w:t>
      </w:r>
      <w:r w:rsidRPr="00AF6492">
        <w:t>Orientation and mobility strategies in game environments</w:t>
      </w:r>
      <w:r w:rsidRPr="00AF6492">
        <w:rPr>
          <w:rFonts w:hint="eastAsia"/>
        </w:rPr>
        <w:t>）、</w:t>
      </w:r>
      <w:r w:rsidRPr="00AF6492">
        <w:rPr>
          <w:rFonts w:hint="eastAsia"/>
        </w:rPr>
        <w:t>音频设计和游戏机制作为辅助技术</w:t>
      </w:r>
      <w:r w:rsidRPr="00AF6492">
        <w:rPr>
          <w:rFonts w:hint="eastAsia"/>
        </w:rPr>
        <w:t>（</w:t>
      </w:r>
      <w:r w:rsidRPr="00AF6492">
        <w:t>Audio design and game mechanics as assistive technologies</w:t>
      </w:r>
      <w:r w:rsidRPr="00AF6492">
        <w:rPr>
          <w:rFonts w:hint="eastAsia"/>
        </w:rPr>
        <w:t>）和如何</w:t>
      </w:r>
      <w:r w:rsidRPr="00AF6492">
        <w:rPr>
          <w:rFonts w:hint="eastAsia"/>
        </w:rPr>
        <w:t>感知大局</w:t>
      </w:r>
      <w:r w:rsidRPr="00AF6492">
        <w:rPr>
          <w:rFonts w:hint="eastAsia"/>
        </w:rPr>
        <w:t>（How to</w:t>
      </w:r>
      <w:r w:rsidRPr="00AF6492">
        <w:t xml:space="preserve"> percei</w:t>
      </w:r>
      <w:r w:rsidRPr="00AF6492">
        <w:rPr>
          <w:rFonts w:hint="eastAsia"/>
        </w:rPr>
        <w:t>ve</w:t>
      </w:r>
      <w:r w:rsidRPr="00AF6492">
        <w:t xml:space="preserve"> the bigger picture</w:t>
      </w:r>
      <w:r w:rsidRPr="00AF6492">
        <w:rPr>
          <w:rFonts w:hint="eastAsia"/>
        </w:rPr>
        <w:t>）等方面还需要更深入的研究。</w:t>
      </w:r>
    </w:p>
    <w:p w14:paraId="0C9E2498" w14:textId="70E10E19" w:rsidR="00482E50" w:rsidRPr="00AF6492" w:rsidRDefault="00482E50" w:rsidP="00AF6492">
      <w:pPr>
        <w:spacing w:after="0" w:line="276" w:lineRule="auto"/>
        <w:rPr>
          <w:sz w:val="32"/>
          <w:szCs w:val="32"/>
        </w:rPr>
      </w:pPr>
      <w:r w:rsidRPr="00AF6492">
        <w:rPr>
          <w:rFonts w:hint="eastAsia"/>
          <w:sz w:val="32"/>
          <w:szCs w:val="32"/>
        </w:rPr>
        <w:t>感悟：</w:t>
      </w:r>
      <w:r w:rsidR="00AF6492" w:rsidRPr="00AF6492">
        <w:rPr>
          <w:sz w:val="32"/>
          <w:szCs w:val="32"/>
        </w:rPr>
        <w:t xml:space="preserve"> </w:t>
      </w:r>
    </w:p>
    <w:p w14:paraId="3AA6CC58" w14:textId="17A909A7" w:rsidR="00AF6492" w:rsidRPr="00AF6492" w:rsidRDefault="00AF6492" w:rsidP="00AF6492">
      <w:pPr>
        <w:spacing w:after="0" w:line="276" w:lineRule="auto"/>
        <w:rPr>
          <w:rFonts w:hint="eastAsia"/>
        </w:rPr>
      </w:pPr>
      <w:r w:rsidRPr="00AF6492">
        <w:rPr>
          <w:rFonts w:hint="eastAsia"/>
        </w:rPr>
        <w:t>这篇读书报告聚焦于研究盲人玩家在数字游戏中的体验，这是一个在人机交互领域具有重要意义的课题。报告通过观察在线视频、分析视频内容以及进行定性分析等方法，深入探讨了盲人玩家在主流游戏中所面临的挑战以及他们采取的应对策略。</w:t>
      </w:r>
    </w:p>
    <w:p w14:paraId="35D15026" w14:textId="31148B2D" w:rsidR="00AF6492" w:rsidRPr="00AF6492" w:rsidRDefault="00AF6492" w:rsidP="00AF6492">
      <w:pPr>
        <w:spacing w:after="0" w:line="276" w:lineRule="auto"/>
        <w:rPr>
          <w:rFonts w:hint="eastAsia"/>
        </w:rPr>
      </w:pPr>
      <w:r w:rsidRPr="00AF6492">
        <w:rPr>
          <w:rFonts w:hint="eastAsia"/>
        </w:rPr>
        <w:lastRenderedPageBreak/>
        <w:t>研究方法的选择十分关键。通过在线民族志研究方法，研究者们直接观察和记录了盲人玩家在特定环境中的游戏行为，从而更好地理解了他们的游戏体验。此外，观察和分析视频内容以及进行定性分析等方法也为研究提供了丰富的数据支持，使他们能够从不同角度深入了解盲人玩家在游戏中的体验和策略。</w:t>
      </w:r>
    </w:p>
    <w:p w14:paraId="2A22A3AB" w14:textId="640C2503" w:rsidR="00AF6492" w:rsidRPr="00AF6492" w:rsidRDefault="00AF6492" w:rsidP="00AF6492">
      <w:pPr>
        <w:spacing w:after="0" w:line="276" w:lineRule="auto"/>
        <w:rPr>
          <w:rFonts w:hint="eastAsia"/>
        </w:rPr>
      </w:pPr>
      <w:r w:rsidRPr="00AF6492">
        <w:rPr>
          <w:rFonts w:hint="eastAsia"/>
        </w:rPr>
        <w:t>在实验结果方面，报告强调了包容性设计在数字游戏中的重要性，并描述了盲人玩家采取的各种策略来克服游戏的可访问性障碍。这些策略不仅有助于提高盲人玩家对主流游戏的参与度，还为设计更易</w:t>
      </w:r>
      <w:proofErr w:type="gramStart"/>
      <w:r w:rsidRPr="00AF6492">
        <w:rPr>
          <w:rFonts w:hint="eastAsia"/>
        </w:rPr>
        <w:t>于访问</w:t>
      </w:r>
      <w:proofErr w:type="gramEnd"/>
      <w:r w:rsidRPr="00AF6492">
        <w:rPr>
          <w:rFonts w:hint="eastAsia"/>
        </w:rPr>
        <w:t>的游戏提供了启示。报告还指出了未来需要进一步研究的方向，例如定向和移动策略、音频设计和游戏机制作为辅助技术等，这些都为未来的研究和实践提供了重要的指导。</w:t>
      </w:r>
    </w:p>
    <w:p w14:paraId="6A5CB2A1" w14:textId="2A678B28" w:rsidR="00AF6492" w:rsidRDefault="00AF6492" w:rsidP="00AF6492">
      <w:pPr>
        <w:spacing w:after="0" w:line="276" w:lineRule="auto"/>
      </w:pPr>
      <w:r w:rsidRPr="00AF6492">
        <w:rPr>
          <w:rFonts w:hint="eastAsia"/>
        </w:rPr>
        <w:t>通过这篇读书报告，我们更深入地理解了盲人玩家在数字游戏中的体验和策略，这为促进数字游戏的包容性设计提供了重要的参考和启示。在人机交互领域，我们应该更加关注不同群体的需求，致力于设计更加包容和易于访问的数字产品和服务，以实现真正意义上的普惠性。</w:t>
      </w:r>
    </w:p>
    <w:p w14:paraId="4771A406" w14:textId="77777777" w:rsidR="00AF6492" w:rsidRDefault="00AF6492" w:rsidP="00AF6492">
      <w:pPr>
        <w:spacing w:after="0" w:line="276" w:lineRule="auto"/>
      </w:pPr>
    </w:p>
    <w:p w14:paraId="51283487" w14:textId="77777777" w:rsidR="00AF6492" w:rsidRPr="00AF6492" w:rsidRDefault="00AF6492" w:rsidP="00AF6492">
      <w:pPr>
        <w:spacing w:after="0" w:line="276" w:lineRule="auto"/>
        <w:rPr>
          <w:rFonts w:hint="eastAsia"/>
        </w:rPr>
      </w:pPr>
    </w:p>
    <w:p w14:paraId="6D979AD0" w14:textId="77777777" w:rsidR="00AF6492" w:rsidRPr="00AF6492" w:rsidRDefault="00AF6492" w:rsidP="00AF6492">
      <w:pPr>
        <w:spacing w:after="0" w:line="276" w:lineRule="auto"/>
        <w:rPr>
          <w:rFonts w:ascii="Calibri" w:hAnsi="宋体" w:cs="Calibri"/>
          <w:color w:val="0A2F41" w:themeColor="accent1" w:themeShade="80"/>
          <w:kern w:val="24"/>
          <w14:ligatures w14:val="none"/>
        </w:rPr>
      </w:pPr>
      <w:r w:rsidRPr="00AF6492">
        <w:rPr>
          <w:rFonts w:ascii="Calibri" w:hAnsi="宋体" w:cs="Calibri" w:hint="eastAsia"/>
          <w:color w:val="0A2F41" w:themeColor="accent1" w:themeShade="80"/>
          <w:kern w:val="24"/>
          <w14:ligatures w14:val="none"/>
        </w:rPr>
        <w:t>/*</w:t>
      </w:r>
    </w:p>
    <w:p w14:paraId="0DF4617E" w14:textId="7DACE9F0" w:rsidR="007C201F" w:rsidRPr="00AF6492" w:rsidRDefault="007C201F" w:rsidP="00AF6492">
      <w:pPr>
        <w:spacing w:after="0" w:line="276" w:lineRule="auto"/>
        <w:rPr>
          <w:rFonts w:ascii="宋体" w:eastAsia="宋体" w:hAnsi="宋体" w:cs="宋体"/>
          <w:kern w:val="0"/>
          <w14:ligatures w14:val="none"/>
        </w:rPr>
      </w:pPr>
      <w:r w:rsidRPr="00AF6492">
        <w:rPr>
          <w:rFonts w:ascii="Calibri" w:hAnsi="宋体" w:cs="Calibri" w:hint="eastAsia"/>
          <w:color w:val="0A2F41" w:themeColor="accent1" w:themeShade="80"/>
          <w:kern w:val="24"/>
          <w14:ligatures w14:val="none"/>
        </w:rPr>
        <w:t>引言：介绍选定的研究方向的背景和重要性</w:t>
      </w:r>
    </w:p>
    <w:p w14:paraId="3639D98E" w14:textId="4209D31A" w:rsidR="007C201F" w:rsidRPr="00AF6492" w:rsidRDefault="007C201F" w:rsidP="00AF6492">
      <w:pPr>
        <w:spacing w:after="0" w:line="276" w:lineRule="auto"/>
        <w:rPr>
          <w:rFonts w:ascii="宋体" w:eastAsia="宋体" w:hAnsi="宋体" w:cs="宋体"/>
          <w:kern w:val="0"/>
          <w14:ligatures w14:val="none"/>
        </w:rPr>
      </w:pPr>
      <w:r w:rsidRPr="00AF6492">
        <w:rPr>
          <w:rFonts w:ascii="Calibri" w:hAnsi="宋体" w:cs="Calibri" w:hint="eastAsia"/>
          <w:color w:val="0A2F41" w:themeColor="accent1" w:themeShade="80"/>
          <w:kern w:val="24"/>
          <w14:ligatures w14:val="none"/>
        </w:rPr>
        <w:t>相关工作：回顾与该研究方向相关的已有研究工作，总结其优点和不足</w:t>
      </w:r>
    </w:p>
    <w:p w14:paraId="645BDCF3" w14:textId="77777777" w:rsidR="007C201F" w:rsidRPr="00AF6492" w:rsidRDefault="007C201F" w:rsidP="00AF6492">
      <w:pPr>
        <w:spacing w:after="0" w:line="276" w:lineRule="auto"/>
        <w:rPr>
          <w:rFonts w:ascii="宋体" w:eastAsia="宋体" w:hAnsi="宋体" w:cs="宋体"/>
          <w:kern w:val="0"/>
          <w14:ligatures w14:val="none"/>
        </w:rPr>
      </w:pPr>
      <w:r w:rsidRPr="00AF6492">
        <w:rPr>
          <w:rFonts w:ascii="Calibri" w:hAnsi="宋体" w:cs="Calibri" w:hint="eastAsia"/>
          <w:color w:val="0A2F41" w:themeColor="accent1" w:themeShade="80"/>
          <w:kern w:val="24"/>
          <w14:ligatures w14:val="none"/>
        </w:rPr>
        <w:t>研究方法：介绍常用的研究方法和实验设计，讨论其适用性和局限性</w:t>
      </w:r>
    </w:p>
    <w:p w14:paraId="3338313E" w14:textId="77777777" w:rsidR="007C201F" w:rsidRPr="00AF6492" w:rsidRDefault="007C201F" w:rsidP="00AF6492">
      <w:pPr>
        <w:spacing w:after="0" w:line="276" w:lineRule="auto"/>
        <w:rPr>
          <w:rFonts w:ascii="宋体" w:eastAsia="宋体" w:hAnsi="宋体" w:cs="宋体"/>
          <w:kern w:val="0"/>
          <w14:ligatures w14:val="none"/>
        </w:rPr>
      </w:pPr>
      <w:r w:rsidRPr="00AF6492">
        <w:rPr>
          <w:rFonts w:ascii="Calibri" w:hAnsi="宋体" w:cs="Calibri" w:hint="eastAsia"/>
          <w:color w:val="0A2F41" w:themeColor="accent1" w:themeShade="80"/>
          <w:kern w:val="24"/>
          <w14:ligatures w14:val="none"/>
        </w:rPr>
        <w:t>实验结果：总结已有研究的实验结果和发现，分析其对研究方向的影响。对该研究方向进行评价和讨论，提出未来可能的发展方向和挑战</w:t>
      </w:r>
    </w:p>
    <w:p w14:paraId="042CF3A0" w14:textId="10240736" w:rsidR="007C201F" w:rsidRPr="00AF6492" w:rsidRDefault="007C201F" w:rsidP="00AF6492">
      <w:pPr>
        <w:spacing w:after="0" w:line="276" w:lineRule="auto"/>
        <w:rPr>
          <w:rFonts w:ascii="Calibri" w:hAnsi="宋体" w:cs="Calibri"/>
          <w:color w:val="9933FF"/>
          <w:kern w:val="24"/>
          <w14:ligatures w14:val="none"/>
        </w:rPr>
      </w:pPr>
      <w:r w:rsidRPr="00AF6492">
        <w:rPr>
          <w:rFonts w:ascii="Calibri" w:hAnsi="宋体" w:cs="Calibri" w:hint="eastAsia"/>
          <w:color w:val="9933FF"/>
          <w:kern w:val="24"/>
          <w14:ligatures w14:val="none"/>
        </w:rPr>
        <w:t>你的感悟</w:t>
      </w:r>
    </w:p>
    <w:p w14:paraId="4728C40C" w14:textId="3F83924F" w:rsidR="00AF6492" w:rsidRPr="00AF6492" w:rsidRDefault="00AF6492" w:rsidP="00AF6492">
      <w:pPr>
        <w:spacing w:after="0" w:line="276" w:lineRule="auto"/>
        <w:rPr>
          <w:rFonts w:ascii="宋体" w:eastAsia="宋体" w:hAnsi="宋体" w:cs="宋体" w:hint="eastAsia"/>
          <w:kern w:val="0"/>
          <w14:ligatures w14:val="none"/>
        </w:rPr>
      </w:pPr>
      <w:r w:rsidRPr="00AF6492">
        <w:rPr>
          <w:rFonts w:ascii="宋体" w:eastAsia="宋体" w:hAnsi="宋体" w:cs="宋体" w:hint="eastAsia"/>
          <w:kern w:val="0"/>
          <w14:ligatures w14:val="none"/>
        </w:rPr>
        <w:t>*/</w:t>
      </w:r>
    </w:p>
    <w:sectPr w:rsidR="00AF6492" w:rsidRPr="00AF649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35D97"/>
    <w:multiLevelType w:val="hybridMultilevel"/>
    <w:tmpl w:val="68CCB670"/>
    <w:lvl w:ilvl="0" w:tplc="7AE66EF2">
      <w:start w:val="1"/>
      <w:numFmt w:val="bullet"/>
      <w:lvlText w:val="–"/>
      <w:lvlJc w:val="left"/>
      <w:pPr>
        <w:tabs>
          <w:tab w:val="num" w:pos="720"/>
        </w:tabs>
        <w:ind w:left="720" w:hanging="360"/>
      </w:pPr>
      <w:rPr>
        <w:rFonts w:ascii="Arial" w:hAnsi="Arial" w:hint="default"/>
      </w:rPr>
    </w:lvl>
    <w:lvl w:ilvl="1" w:tplc="A17A30E2">
      <w:start w:val="1"/>
      <w:numFmt w:val="bullet"/>
      <w:lvlText w:val="–"/>
      <w:lvlJc w:val="left"/>
      <w:pPr>
        <w:tabs>
          <w:tab w:val="num" w:pos="1440"/>
        </w:tabs>
        <w:ind w:left="1440" w:hanging="360"/>
      </w:pPr>
      <w:rPr>
        <w:rFonts w:ascii="Arial" w:hAnsi="Arial" w:hint="default"/>
      </w:rPr>
    </w:lvl>
    <w:lvl w:ilvl="2" w:tplc="BE6A707E" w:tentative="1">
      <w:start w:val="1"/>
      <w:numFmt w:val="bullet"/>
      <w:lvlText w:val="–"/>
      <w:lvlJc w:val="left"/>
      <w:pPr>
        <w:tabs>
          <w:tab w:val="num" w:pos="2160"/>
        </w:tabs>
        <w:ind w:left="2160" w:hanging="360"/>
      </w:pPr>
      <w:rPr>
        <w:rFonts w:ascii="Arial" w:hAnsi="Arial" w:hint="default"/>
      </w:rPr>
    </w:lvl>
    <w:lvl w:ilvl="3" w:tplc="01C67128" w:tentative="1">
      <w:start w:val="1"/>
      <w:numFmt w:val="bullet"/>
      <w:lvlText w:val="–"/>
      <w:lvlJc w:val="left"/>
      <w:pPr>
        <w:tabs>
          <w:tab w:val="num" w:pos="2880"/>
        </w:tabs>
        <w:ind w:left="2880" w:hanging="360"/>
      </w:pPr>
      <w:rPr>
        <w:rFonts w:ascii="Arial" w:hAnsi="Arial" w:hint="default"/>
      </w:rPr>
    </w:lvl>
    <w:lvl w:ilvl="4" w:tplc="A2365DC0" w:tentative="1">
      <w:start w:val="1"/>
      <w:numFmt w:val="bullet"/>
      <w:lvlText w:val="–"/>
      <w:lvlJc w:val="left"/>
      <w:pPr>
        <w:tabs>
          <w:tab w:val="num" w:pos="3600"/>
        </w:tabs>
        <w:ind w:left="3600" w:hanging="360"/>
      </w:pPr>
      <w:rPr>
        <w:rFonts w:ascii="Arial" w:hAnsi="Arial" w:hint="default"/>
      </w:rPr>
    </w:lvl>
    <w:lvl w:ilvl="5" w:tplc="F00A5B50" w:tentative="1">
      <w:start w:val="1"/>
      <w:numFmt w:val="bullet"/>
      <w:lvlText w:val="–"/>
      <w:lvlJc w:val="left"/>
      <w:pPr>
        <w:tabs>
          <w:tab w:val="num" w:pos="4320"/>
        </w:tabs>
        <w:ind w:left="4320" w:hanging="360"/>
      </w:pPr>
      <w:rPr>
        <w:rFonts w:ascii="Arial" w:hAnsi="Arial" w:hint="default"/>
      </w:rPr>
    </w:lvl>
    <w:lvl w:ilvl="6" w:tplc="753CF6DE" w:tentative="1">
      <w:start w:val="1"/>
      <w:numFmt w:val="bullet"/>
      <w:lvlText w:val="–"/>
      <w:lvlJc w:val="left"/>
      <w:pPr>
        <w:tabs>
          <w:tab w:val="num" w:pos="5040"/>
        </w:tabs>
        <w:ind w:left="5040" w:hanging="360"/>
      </w:pPr>
      <w:rPr>
        <w:rFonts w:ascii="Arial" w:hAnsi="Arial" w:hint="default"/>
      </w:rPr>
    </w:lvl>
    <w:lvl w:ilvl="7" w:tplc="62A27D1A" w:tentative="1">
      <w:start w:val="1"/>
      <w:numFmt w:val="bullet"/>
      <w:lvlText w:val="–"/>
      <w:lvlJc w:val="left"/>
      <w:pPr>
        <w:tabs>
          <w:tab w:val="num" w:pos="5760"/>
        </w:tabs>
        <w:ind w:left="5760" w:hanging="360"/>
      </w:pPr>
      <w:rPr>
        <w:rFonts w:ascii="Arial" w:hAnsi="Arial" w:hint="default"/>
      </w:rPr>
    </w:lvl>
    <w:lvl w:ilvl="8" w:tplc="F59C0586" w:tentative="1">
      <w:start w:val="1"/>
      <w:numFmt w:val="bullet"/>
      <w:lvlText w:val="–"/>
      <w:lvlJc w:val="left"/>
      <w:pPr>
        <w:tabs>
          <w:tab w:val="num" w:pos="6480"/>
        </w:tabs>
        <w:ind w:left="6480" w:hanging="360"/>
      </w:pPr>
      <w:rPr>
        <w:rFonts w:ascii="Arial" w:hAnsi="Arial" w:hint="default"/>
      </w:rPr>
    </w:lvl>
  </w:abstractNum>
  <w:num w:numId="1" w16cid:durableId="8216982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01F"/>
    <w:rsid w:val="001116FF"/>
    <w:rsid w:val="00153FFD"/>
    <w:rsid w:val="00197F0C"/>
    <w:rsid w:val="00482E50"/>
    <w:rsid w:val="0053414E"/>
    <w:rsid w:val="0077441A"/>
    <w:rsid w:val="007C201F"/>
    <w:rsid w:val="00AF6492"/>
    <w:rsid w:val="00BA5631"/>
    <w:rsid w:val="00EC0141"/>
    <w:rsid w:val="00FD36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7AB32"/>
  <w15:chartTrackingRefBased/>
  <w15:docId w15:val="{21962D7C-E028-48D6-85D0-0584556D1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C201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C201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C201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C201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C201F"/>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C201F"/>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C201F"/>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C201F"/>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C201F"/>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201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C201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C201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C201F"/>
    <w:rPr>
      <w:rFonts w:cstheme="majorBidi"/>
      <w:color w:val="0F4761" w:themeColor="accent1" w:themeShade="BF"/>
      <w:sz w:val="28"/>
      <w:szCs w:val="28"/>
    </w:rPr>
  </w:style>
  <w:style w:type="character" w:customStyle="1" w:styleId="50">
    <w:name w:val="标题 5 字符"/>
    <w:basedOn w:val="a0"/>
    <w:link w:val="5"/>
    <w:uiPriority w:val="9"/>
    <w:semiHidden/>
    <w:rsid w:val="007C201F"/>
    <w:rPr>
      <w:rFonts w:cstheme="majorBidi"/>
      <w:color w:val="0F4761" w:themeColor="accent1" w:themeShade="BF"/>
      <w:sz w:val="24"/>
    </w:rPr>
  </w:style>
  <w:style w:type="character" w:customStyle="1" w:styleId="60">
    <w:name w:val="标题 6 字符"/>
    <w:basedOn w:val="a0"/>
    <w:link w:val="6"/>
    <w:uiPriority w:val="9"/>
    <w:semiHidden/>
    <w:rsid w:val="007C201F"/>
    <w:rPr>
      <w:rFonts w:cstheme="majorBidi"/>
      <w:b/>
      <w:bCs/>
      <w:color w:val="0F4761" w:themeColor="accent1" w:themeShade="BF"/>
    </w:rPr>
  </w:style>
  <w:style w:type="character" w:customStyle="1" w:styleId="70">
    <w:name w:val="标题 7 字符"/>
    <w:basedOn w:val="a0"/>
    <w:link w:val="7"/>
    <w:uiPriority w:val="9"/>
    <w:semiHidden/>
    <w:rsid w:val="007C201F"/>
    <w:rPr>
      <w:rFonts w:cstheme="majorBidi"/>
      <w:b/>
      <w:bCs/>
      <w:color w:val="595959" w:themeColor="text1" w:themeTint="A6"/>
    </w:rPr>
  </w:style>
  <w:style w:type="character" w:customStyle="1" w:styleId="80">
    <w:name w:val="标题 8 字符"/>
    <w:basedOn w:val="a0"/>
    <w:link w:val="8"/>
    <w:uiPriority w:val="9"/>
    <w:semiHidden/>
    <w:rsid w:val="007C201F"/>
    <w:rPr>
      <w:rFonts w:cstheme="majorBidi"/>
      <w:color w:val="595959" w:themeColor="text1" w:themeTint="A6"/>
    </w:rPr>
  </w:style>
  <w:style w:type="character" w:customStyle="1" w:styleId="90">
    <w:name w:val="标题 9 字符"/>
    <w:basedOn w:val="a0"/>
    <w:link w:val="9"/>
    <w:uiPriority w:val="9"/>
    <w:semiHidden/>
    <w:rsid w:val="007C201F"/>
    <w:rPr>
      <w:rFonts w:eastAsiaTheme="majorEastAsia" w:cstheme="majorBidi"/>
      <w:color w:val="595959" w:themeColor="text1" w:themeTint="A6"/>
    </w:rPr>
  </w:style>
  <w:style w:type="paragraph" w:styleId="a3">
    <w:name w:val="Title"/>
    <w:basedOn w:val="a"/>
    <w:next w:val="a"/>
    <w:link w:val="a4"/>
    <w:uiPriority w:val="10"/>
    <w:qFormat/>
    <w:rsid w:val="007C201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C201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C201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C201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C201F"/>
    <w:pPr>
      <w:spacing w:before="160"/>
      <w:jc w:val="center"/>
    </w:pPr>
    <w:rPr>
      <w:i/>
      <w:iCs/>
      <w:color w:val="404040" w:themeColor="text1" w:themeTint="BF"/>
    </w:rPr>
  </w:style>
  <w:style w:type="character" w:customStyle="1" w:styleId="a8">
    <w:name w:val="引用 字符"/>
    <w:basedOn w:val="a0"/>
    <w:link w:val="a7"/>
    <w:uiPriority w:val="29"/>
    <w:rsid w:val="007C201F"/>
    <w:rPr>
      <w:i/>
      <w:iCs/>
      <w:color w:val="404040" w:themeColor="text1" w:themeTint="BF"/>
    </w:rPr>
  </w:style>
  <w:style w:type="paragraph" w:styleId="a9">
    <w:name w:val="List Paragraph"/>
    <w:basedOn w:val="a"/>
    <w:uiPriority w:val="34"/>
    <w:qFormat/>
    <w:rsid w:val="007C201F"/>
    <w:pPr>
      <w:ind w:left="720"/>
      <w:contextualSpacing/>
    </w:pPr>
  </w:style>
  <w:style w:type="character" w:styleId="aa">
    <w:name w:val="Intense Emphasis"/>
    <w:basedOn w:val="a0"/>
    <w:uiPriority w:val="21"/>
    <w:qFormat/>
    <w:rsid w:val="007C201F"/>
    <w:rPr>
      <w:i/>
      <w:iCs/>
      <w:color w:val="0F4761" w:themeColor="accent1" w:themeShade="BF"/>
    </w:rPr>
  </w:style>
  <w:style w:type="paragraph" w:styleId="ab">
    <w:name w:val="Intense Quote"/>
    <w:basedOn w:val="a"/>
    <w:next w:val="a"/>
    <w:link w:val="ac"/>
    <w:uiPriority w:val="30"/>
    <w:qFormat/>
    <w:rsid w:val="007C20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C201F"/>
    <w:rPr>
      <w:i/>
      <w:iCs/>
      <w:color w:val="0F4761" w:themeColor="accent1" w:themeShade="BF"/>
    </w:rPr>
  </w:style>
  <w:style w:type="character" w:styleId="ad">
    <w:name w:val="Intense Reference"/>
    <w:basedOn w:val="a0"/>
    <w:uiPriority w:val="32"/>
    <w:qFormat/>
    <w:rsid w:val="007C20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8340">
      <w:bodyDiv w:val="1"/>
      <w:marLeft w:val="0"/>
      <w:marRight w:val="0"/>
      <w:marTop w:val="0"/>
      <w:marBottom w:val="0"/>
      <w:divBdr>
        <w:top w:val="none" w:sz="0" w:space="0" w:color="auto"/>
        <w:left w:val="none" w:sz="0" w:space="0" w:color="auto"/>
        <w:bottom w:val="none" w:sz="0" w:space="0" w:color="auto"/>
        <w:right w:val="none" w:sz="0" w:space="0" w:color="auto"/>
      </w:divBdr>
    </w:div>
    <w:div w:id="1015688254">
      <w:bodyDiv w:val="1"/>
      <w:marLeft w:val="0"/>
      <w:marRight w:val="0"/>
      <w:marTop w:val="0"/>
      <w:marBottom w:val="0"/>
      <w:divBdr>
        <w:top w:val="none" w:sz="0" w:space="0" w:color="auto"/>
        <w:left w:val="none" w:sz="0" w:space="0" w:color="auto"/>
        <w:bottom w:val="none" w:sz="0" w:space="0" w:color="auto"/>
        <w:right w:val="none" w:sz="0" w:space="0" w:color="auto"/>
      </w:divBdr>
      <w:divsChild>
        <w:div w:id="603467043">
          <w:marLeft w:val="1166"/>
          <w:marRight w:val="0"/>
          <w:marTop w:val="115"/>
          <w:marBottom w:val="0"/>
          <w:divBdr>
            <w:top w:val="none" w:sz="0" w:space="0" w:color="auto"/>
            <w:left w:val="none" w:sz="0" w:space="0" w:color="auto"/>
            <w:bottom w:val="none" w:sz="0" w:space="0" w:color="auto"/>
            <w:right w:val="none" w:sz="0" w:space="0" w:color="auto"/>
          </w:divBdr>
        </w:div>
        <w:div w:id="853348128">
          <w:marLeft w:val="1166"/>
          <w:marRight w:val="0"/>
          <w:marTop w:val="115"/>
          <w:marBottom w:val="0"/>
          <w:divBdr>
            <w:top w:val="none" w:sz="0" w:space="0" w:color="auto"/>
            <w:left w:val="none" w:sz="0" w:space="0" w:color="auto"/>
            <w:bottom w:val="none" w:sz="0" w:space="0" w:color="auto"/>
            <w:right w:val="none" w:sz="0" w:space="0" w:color="auto"/>
          </w:divBdr>
        </w:div>
        <w:div w:id="1625579245">
          <w:marLeft w:val="1166"/>
          <w:marRight w:val="0"/>
          <w:marTop w:val="115"/>
          <w:marBottom w:val="0"/>
          <w:divBdr>
            <w:top w:val="none" w:sz="0" w:space="0" w:color="auto"/>
            <w:left w:val="none" w:sz="0" w:space="0" w:color="auto"/>
            <w:bottom w:val="none" w:sz="0" w:space="0" w:color="auto"/>
            <w:right w:val="none" w:sz="0" w:space="0" w:color="auto"/>
          </w:divBdr>
        </w:div>
        <w:div w:id="972565393">
          <w:marLeft w:val="1166"/>
          <w:marRight w:val="0"/>
          <w:marTop w:val="115"/>
          <w:marBottom w:val="0"/>
          <w:divBdr>
            <w:top w:val="none" w:sz="0" w:space="0" w:color="auto"/>
            <w:left w:val="none" w:sz="0" w:space="0" w:color="auto"/>
            <w:bottom w:val="none" w:sz="0" w:space="0" w:color="auto"/>
            <w:right w:val="none" w:sz="0" w:space="0" w:color="auto"/>
          </w:divBdr>
        </w:div>
        <w:div w:id="1757555173">
          <w:marLeft w:val="1166"/>
          <w:marRight w:val="0"/>
          <w:marTop w:val="115"/>
          <w:marBottom w:val="0"/>
          <w:divBdr>
            <w:top w:val="none" w:sz="0" w:space="0" w:color="auto"/>
            <w:left w:val="none" w:sz="0" w:space="0" w:color="auto"/>
            <w:bottom w:val="none" w:sz="0" w:space="0" w:color="auto"/>
            <w:right w:val="none" w:sz="0" w:space="0" w:color="auto"/>
          </w:divBdr>
        </w:div>
      </w:divsChild>
    </w:div>
    <w:div w:id="1614245707">
      <w:bodyDiv w:val="1"/>
      <w:marLeft w:val="0"/>
      <w:marRight w:val="0"/>
      <w:marTop w:val="0"/>
      <w:marBottom w:val="0"/>
      <w:divBdr>
        <w:top w:val="none" w:sz="0" w:space="0" w:color="auto"/>
        <w:left w:val="none" w:sz="0" w:space="0" w:color="auto"/>
        <w:bottom w:val="none" w:sz="0" w:space="0" w:color="auto"/>
        <w:right w:val="none" w:sz="0" w:space="0" w:color="auto"/>
      </w:divBdr>
    </w:div>
    <w:div w:id="2048213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462</Words>
  <Characters>2638</Characters>
  <Application>Microsoft Office Word</Application>
  <DocSecurity>0</DocSecurity>
  <Lines>21</Lines>
  <Paragraphs>6</Paragraphs>
  <ScaleCrop>false</ScaleCrop>
  <Company/>
  <LinksUpToDate>false</LinksUpToDate>
  <CharactersWithSpaces>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睿康 张</dc:creator>
  <cp:keywords/>
  <dc:description/>
  <cp:lastModifiedBy>睿康 张</cp:lastModifiedBy>
  <cp:revision>2</cp:revision>
  <dcterms:created xsi:type="dcterms:W3CDTF">2024-03-16T06:08:00Z</dcterms:created>
  <dcterms:modified xsi:type="dcterms:W3CDTF">2024-03-16T08:10:00Z</dcterms:modified>
</cp:coreProperties>
</file>