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Result에서 Secured Value와 최종 비교한다. Inventory 요약에는 표시하지 않는다.</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회복 불가능한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r>
        <w:t xml:space="preserve">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r>
        <w:t xml:space="preserve"/>
      </w:r>
    </w:p>
    <w:p w14:paraId="5C69AFE9"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맵별 활성 작품 20점, 일반 작품 M01 51점·M02 53점·M03 61점과 12종 전시 패턴을 배치한다. 통과 폭과 15~25분 플레이 시간은 실제 멀티플레이로 검증한다.</w:t>
      </w:r>
      <w:r>
        <w:t xml:space="preserve"> 작품 발견과 다음 전시 구역 진입이 연달아 끝나지 않도록 맵별 바닥 면적을 이전 배치의 약 2배로 확장한다. 활성 작품 20점과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w:t>
      </w:r>
      <w:r>
        <w:t xml:space="preserve"> 초반 전시실과 필수 작품 전시실에는 높이 3.2m의 벽 연결형 차폐벽을 총 8개 배치해 한 자리에서 여러 작품을 연속 확인하는 시야를 나누고, 벽 끝의 열린 통로로 우회하도록 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120×88m의 고전미술관이다. 약 34.3×27.5m 중앙 홀을 방향 기준점으로 두고, 북측 5개와 남측 5개 전시실을 두 순환 루프로 연결한다. 서측 진입 전실과 동측 증거실·구금실을 분리하고 북·남 끝 5.5m 관리 회랑으로 우회한다. 18개 구역과 27개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108×88m의 중정형 동양미술관이다. 30×27.5m 정원과 폭 5.5~6m 순환 회랑을 중심으로 21개 구역을 28개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30×27.5m 중정, 5.5~6m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132×80m의 현대미술관이다. 북측 전시 레인, 불투명 벽으로 구획한 중앙 레인, 남측 복원·서비스 레인을 19개 구역과 30개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