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Result에서 Secured Value와 최종 비교한다. Inventory 요약에는 표시하지 않는다.</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r>
        <w:t xml:space="preserve">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r>
        <w:t xml:space="preserve">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w:t>
      </w:r>
    </w:p>
    <w:p w14:paraId="5C69AFE9" w14:textId="77777777" w:rsidR="004F1F69" w:rsidRDefault="00115A37">
      <w:pPr>
        <w:pStyle w:val="a0"/>
      </w:pPr>
      <w:r>
        <w:t>전시실은 작품 벽과 관람 공간을 함께 설계한다. 승인 평면도 기준 외벽 0.40m, 내벽 0.24m, 연결 문 3~4m, 후면 관리 회랑 4m를 사용한다. 작품 앞 작업 공간은 2.2m를 확보하며 활성 작품은 벽에서 1.6m 떨어진 접근점으로 진입할 수 있어야 한다. 맵별 활성 작품 20점, 일반 작품 M01 51점·M02 53점·M03 61점과 12종 전시 패턴을 배치한다. 통과 폭과 15~25분 플레이 시간은 실제 멀티플레이로 검증한다.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84×64m의 고전미술관이다. 24×20m 중앙 홀을 방향 기준점으로 두고, 북측 5개와 남측 5개 전시실을 두 순환 루프로 연결한다. 서측 진입 전실과 동측 증거실·구금실을 분리하고 북·남 끝 4m 관리 회랑으로 우회한다. 18개 구역과 30개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72×64m의 중정형 동양미술관이다. 20×20m 정원과 폭 4m 순환 회랑을 중심으로 21개 구역을 29개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20×20m 중정, 4m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96×56m의 현대미술관이다. 북측 전시 레인, 불투명 벽으로 구획한 중앙 레인, 남측 복원·서비스 레인을 19개 구역과 33개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