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황금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전시실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Crown/Sword/Vase/Necklace 등 5종 이상</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경계 막대 10칸</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경계 막대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r>
        <w:lastRenderedPageBreak/>
        <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경계 막대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Eligible Case이며 중복되지 않음</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Map/Family Pool에 속하고 현재 Assignment 내 중복 금지</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세 맵 각각 활성 Painting Case 12개에 기존 공용 BP_PaintingDisplayCase를 유지한다. 비활성 Case 숨김을 장식 전시물 구현으로 사용하지 않는다. 세 맵의 액자는 03a/05a의 표시 메시 균등 Scale을 2/3/4, 04a를 4/6/8로 고정한다. 상호작용 Actor와 Box는 Scale 1을 유지하며 표시 메시만 확대한다. 확장된 맵의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Required 1개 포함 활성 Painting 세 맵 각각 12개</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