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56" w:type="dxa"/>
        <w:tblInd w:w="-9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23"/>
        <w:gridCol w:w="433"/>
      </w:tblGrid>
      <w:tr w:rsidR="00DF3905" w:rsidRPr="00A3675A" w14:paraId="6C08B3A9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noWrap/>
            <w:vAlign w:val="center"/>
            <w:hideMark/>
          </w:tcPr>
          <w:p w14:paraId="21FA85BC" w14:textId="3E95574C" w:rsidR="00DF3905" w:rsidRPr="00926899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Residence permit for purpose of </w:t>
            </w:r>
            <w:r w:rsidR="00656BC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intercompany transfer</w:t>
            </w:r>
          </w:p>
        </w:tc>
        <w:tc>
          <w:tcPr>
            <w:tcW w:w="433" w:type="dxa"/>
            <w:vAlign w:val="center"/>
            <w:hideMark/>
          </w:tcPr>
          <w:p w14:paraId="22E95258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18908F88" w14:textId="77777777" w:rsidTr="00F449D4">
        <w:trPr>
          <w:trHeight w:val="300"/>
        </w:trPr>
        <w:tc>
          <w:tcPr>
            <w:tcW w:w="1062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4E1555B" w14:textId="77777777" w:rsidR="00DF3905" w:rsidRPr="00926899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3A61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103549" w:rsidRPr="00A3675A" w14:paraId="282DBCB8" w14:textId="77777777" w:rsidTr="009B53C0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6A02A6" w14:textId="7247A80D" w:rsidR="00103549" w:rsidRPr="000076D9" w:rsidRDefault="00103549" w:rsidP="009C69CA">
            <w:pPr>
              <w:tabs>
                <w:tab w:val="left" w:pos="346"/>
              </w:tabs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1.</w:t>
            </w:r>
            <w:r w:rsidR="009C69C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Client sends the filled questionnaire and a scan of </w:t>
            </w:r>
            <w:r w:rsidR="00BC4F2E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the 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passport</w:t>
            </w:r>
          </w:p>
          <w:p w14:paraId="3547E723" w14:textId="4206F947" w:rsidR="0061271D" w:rsidRPr="000076D9" w:rsidRDefault="009C69CA" w:rsidP="009C69CA">
            <w:pPr>
              <w:tabs>
                <w:tab w:val="left" w:pos="346"/>
              </w:tabs>
              <w:spacing w:after="0"/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GB" w:eastAsia="sk-SK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GB" w:eastAsia="sk-SK"/>
              </w:rPr>
              <w:tab/>
            </w:r>
            <w:r w:rsidR="00013F8C" w:rsidRPr="000076D9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GB" w:eastAsia="sk-SK"/>
              </w:rPr>
              <w:t>*</w:t>
            </w:r>
            <w:r w:rsidR="0061271D" w:rsidRPr="000076D9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GB" w:eastAsia="sk-SK"/>
              </w:rPr>
              <w:t xml:space="preserve">Client </w:t>
            </w:r>
            <w:r w:rsidR="003B23DB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remains</w:t>
            </w:r>
            <w:r w:rsidR="00013F8C" w:rsidRPr="000076D9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under the </w:t>
            </w:r>
            <w:r w:rsidR="003B23DB" w:rsidRPr="000076D9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employment</w:t>
            </w:r>
            <w:r w:rsidR="00013F8C" w:rsidRPr="000076D9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agreement with the company in </w:t>
            </w:r>
            <w:r w:rsidR="003B23DB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</w:p>
          <w:p w14:paraId="56406A6F" w14:textId="06EB9EDB" w:rsidR="00656BCE" w:rsidRPr="000076D9" w:rsidRDefault="009C69CA" w:rsidP="006160E4">
            <w:pPr>
              <w:tabs>
                <w:tab w:val="left" w:pos="346"/>
              </w:tabs>
              <w:spacing w:after="0"/>
              <w:ind w:left="346" w:hanging="346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GB" w:eastAsia="sk-SK"/>
              </w:rPr>
              <w:tab/>
            </w:r>
            <w:r w:rsidR="00BF4291" w:rsidRPr="000076D9">
              <w:rPr>
                <w:rFonts w:ascii="Arial" w:eastAsia="Times New Roman" w:hAnsi="Arial" w:cs="Arial"/>
                <w:color w:val="FF0000"/>
                <w:sz w:val="20"/>
                <w:szCs w:val="20"/>
                <w:lang w:val="en-GB" w:eastAsia="sk-SK"/>
              </w:rPr>
              <w:t>*</w:t>
            </w:r>
            <w:r w:rsidR="006160E4" w:rsidRPr="006160E4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The condition to use the ICT purpose is that the employee is a holder of a university degree and that his work performance will be in a managerial (higher) position or in a position that requires special qualification or knowledge</w:t>
            </w:r>
          </w:p>
          <w:p w14:paraId="339AF64D" w14:textId="14BA83D0" w:rsidR="003B23DB" w:rsidRDefault="003B23DB" w:rsidP="009C69CA">
            <w:pPr>
              <w:tabs>
                <w:tab w:val="left" w:pos="346"/>
              </w:tabs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2. </w:t>
            </w:r>
            <w:r w:rsidR="009C69C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proofErr w:type="spellStart"/>
            <w:r w:rsidRPr="006160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Pr="006160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 xml:space="preserve"> Slovakia </w:t>
            </w:r>
            <w:r w:rsidR="006160E4" w:rsidRPr="006160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>(our company)</w:t>
            </w:r>
            <w:r w:rsidR="006160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 xml:space="preserve"> will</w:t>
            </w:r>
            <w:r w:rsidR="006160E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prepare and collect all the requested documents </w:t>
            </w:r>
          </w:p>
          <w:p w14:paraId="0CA8ACE4" w14:textId="62920F0A" w:rsidR="00103549" w:rsidRPr="000076D9" w:rsidRDefault="003B23DB" w:rsidP="006160E4">
            <w:pPr>
              <w:tabs>
                <w:tab w:val="left" w:pos="346"/>
              </w:tabs>
              <w:spacing w:after="0"/>
              <w:ind w:left="346" w:hanging="346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3</w:t>
            </w:r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.</w:t>
            </w:r>
            <w:r w:rsidR="009C69C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Employe</w:t>
            </w:r>
            <w:r w:rsidR="00042731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r</w:t>
            </w:r>
            <w:r w:rsidR="00B61E2C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in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USA</w:t>
            </w:r>
            <w:r w:rsidR="00B61E2C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401EC3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as well as </w:t>
            </w:r>
            <w:r w:rsidR="006160E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the </w:t>
            </w:r>
            <w:r w:rsidR="00401EC3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statutory </w:t>
            </w:r>
            <w:r w:rsidR="006160E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body</w:t>
            </w:r>
            <w:r w:rsidR="00401EC3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6160E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of the</w:t>
            </w:r>
            <w:r w:rsidR="00401EC3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entity in</w:t>
            </w:r>
            <w:r w:rsidR="00B61E2C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</w:t>
            </w:r>
            <w:r w:rsidR="006160E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where the employee will be assigned</w:t>
            </w:r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6160E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will </w:t>
            </w:r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sign documents necessary for </w:t>
            </w:r>
            <w:r w:rsidR="00401EC3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intercompany transfer</w:t>
            </w:r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prepared by </w:t>
            </w:r>
            <w:proofErr w:type="spellStart"/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</w:t>
            </w:r>
          </w:p>
          <w:p w14:paraId="0D2B9920" w14:textId="1857E5F3" w:rsidR="00DF4DAC" w:rsidRPr="000076D9" w:rsidRDefault="003B23DB" w:rsidP="006160E4">
            <w:pPr>
              <w:tabs>
                <w:tab w:val="left" w:pos="346"/>
              </w:tabs>
              <w:spacing w:after="0"/>
              <w:ind w:left="346" w:hanging="346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4. </w:t>
            </w:r>
            <w:r w:rsidR="009C69C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="006160E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Entity in Slovakia/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</w:t>
            </w:r>
            <w:r w:rsidR="006160E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on behalf of </w:t>
            </w:r>
            <w:proofErr w:type="spellStart"/>
            <w:r w:rsidR="006160E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PoA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will request the Labor of office to issue the consent of fulfilling the required position (15 working days)</w:t>
            </w:r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</w:p>
          <w:p w14:paraId="3EA5EFAB" w14:textId="380613EE" w:rsidR="00103549" w:rsidRDefault="003B23DB" w:rsidP="009C69CA">
            <w:pPr>
              <w:tabs>
                <w:tab w:val="left" w:pos="346"/>
              </w:tabs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5</w:t>
            </w:r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. </w:t>
            </w:r>
            <w:r w:rsidR="009C69C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Client needs to also provide </w:t>
            </w:r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GB" w:eastAsia="sk-SK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GB" w:eastAsia="sk-SK"/>
              </w:rPr>
              <w:t xml:space="preserve">following </w:t>
            </w:r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GB" w:eastAsia="sk-SK"/>
              </w:rPr>
              <w:t>documents:</w:t>
            </w:r>
          </w:p>
          <w:p w14:paraId="0371978A" w14:textId="77777777" w:rsidR="002D189B" w:rsidRPr="000076D9" w:rsidRDefault="002D189B" w:rsidP="009C69C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  <w:p w14:paraId="43EC0AE3" w14:textId="731D9E51" w:rsidR="00A4316A" w:rsidRPr="000076D9" w:rsidRDefault="009C69CA" w:rsidP="009C69CA">
            <w:pPr>
              <w:tabs>
                <w:tab w:val="left" w:pos="346"/>
              </w:tabs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="00DF4DAC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•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="00AC635C" w:rsidRPr="003B23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>Apostilled</w:t>
            </w:r>
            <w:r w:rsidR="00DF4DAC" w:rsidRPr="003B23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 xml:space="preserve"> diploma from</w:t>
            </w:r>
            <w:r w:rsidR="002D189B" w:rsidRPr="003B23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 xml:space="preserve"> the</w:t>
            </w:r>
            <w:r w:rsidR="00DF4DAC" w:rsidRPr="003B23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AC635C" w:rsidRPr="003B23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>U</w:t>
            </w:r>
            <w:r w:rsidR="00DF4DAC" w:rsidRPr="003B23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>niversity</w:t>
            </w:r>
            <w:r w:rsidR="00DF4DAC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3B23D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– the original of the document must be apostilled, a notarized copy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="003B23D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of this original diploma is done (and must be done) in Slovakia, so the client will not </w:t>
            </w:r>
            <w:r w:rsidR="00D7291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lose</w:t>
            </w:r>
            <w:r w:rsidR="003B23D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D7291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thi</w:t>
            </w:r>
            <w:r w:rsidR="002B0D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s</w:t>
            </w:r>
            <w:r w:rsidR="003B23D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original, also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="003B23D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legal translation to Slovak is arranged by </w:t>
            </w:r>
            <w:proofErr w:type="spellStart"/>
            <w:r w:rsidR="003B23D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="003B23D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</w:t>
            </w:r>
          </w:p>
          <w:p w14:paraId="38F9C624" w14:textId="0C978E05" w:rsidR="00851758" w:rsidRPr="000076D9" w:rsidRDefault="009C69CA" w:rsidP="009C69CA">
            <w:pPr>
              <w:tabs>
                <w:tab w:val="left" w:pos="346"/>
              </w:tabs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="00851758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•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="00851758" w:rsidRPr="003B23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 xml:space="preserve">Employment agreement </w:t>
            </w:r>
            <w:r w:rsidR="003B23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>with the employer in USA</w:t>
            </w:r>
            <w:r w:rsidR="00D729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D72913" w:rsidRPr="00D7291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- legal translation arranged by </w:t>
            </w:r>
            <w:proofErr w:type="spellStart"/>
            <w:r w:rsidR="00D72913" w:rsidRPr="00D7291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="00D72913" w:rsidRPr="00D7291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</w:t>
            </w:r>
          </w:p>
          <w:p w14:paraId="7EE84564" w14:textId="4226B9E4" w:rsidR="00103549" w:rsidRPr="000076D9" w:rsidRDefault="009C69CA" w:rsidP="009C69CA">
            <w:pPr>
              <w:tabs>
                <w:tab w:val="left" w:pos="346"/>
              </w:tabs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•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="003B23DB" w:rsidRPr="003B23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>FBI</w:t>
            </w:r>
            <w:r w:rsidR="00103549" w:rsidRPr="003B23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 xml:space="preserve"> criminal record</w:t>
            </w:r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3B23D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– no need of apostille, legal translation arranged by </w:t>
            </w:r>
            <w:proofErr w:type="spellStart"/>
            <w:r w:rsidR="003B23D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="003B23D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</w:t>
            </w:r>
          </w:p>
          <w:p w14:paraId="260E9796" w14:textId="2EE1E983" w:rsidR="00A4316A" w:rsidRPr="003B23DB" w:rsidRDefault="009C69CA" w:rsidP="009C69CA">
            <w:pPr>
              <w:tabs>
                <w:tab w:val="left" w:pos="346"/>
              </w:tabs>
              <w:spacing w:after="0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ab/>
            </w:r>
            <w:r w:rsidR="003B23DB" w:rsidRPr="003B23D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•</w:t>
            </w:r>
            <w:r w:rsidR="003B23D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ab/>
            </w:r>
            <w:r w:rsidR="003B23D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if applicable – criminal record</w:t>
            </w:r>
            <w:r w:rsidR="00A4316A" w:rsidRPr="003B23D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from the country where the applicant has stayed longer than 90 days</w:t>
            </w:r>
            <w:r w:rsidR="003B23D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within 6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ab/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ab/>
            </w:r>
            <w:r w:rsidR="003B23D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consecutive months in the</w:t>
            </w:r>
            <w:r w:rsidR="002D189B" w:rsidRPr="003B23D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3 years</w:t>
            </w:r>
            <w:r w:rsidR="003B23D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(apart from EU countries)</w:t>
            </w:r>
          </w:p>
          <w:p w14:paraId="7CDF0448" w14:textId="66253531" w:rsidR="00926899" w:rsidRPr="000076D9" w:rsidRDefault="009C69CA" w:rsidP="009C69CA">
            <w:pPr>
              <w:tabs>
                <w:tab w:val="left" w:pos="346"/>
              </w:tabs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="00103549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•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 w:rsidR="003B23DB" w:rsidRPr="003B23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>Proof of accommodation</w:t>
            </w:r>
            <w:r w:rsidR="00103549" w:rsidRPr="003B23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sk-SK"/>
              </w:rPr>
              <w:t xml:space="preserve"> in Slovakia</w:t>
            </w:r>
            <w:r w:rsidR="00A4316A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042731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(</w:t>
            </w:r>
            <w:proofErr w:type="spellStart"/>
            <w:r w:rsidR="00042731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="007C3EC5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</w:t>
            </w:r>
            <w:r w:rsidR="00042731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can assist)</w:t>
            </w:r>
          </w:p>
        </w:tc>
        <w:tc>
          <w:tcPr>
            <w:tcW w:w="433" w:type="dxa"/>
            <w:vAlign w:val="center"/>
            <w:hideMark/>
          </w:tcPr>
          <w:p w14:paraId="12B440FC" w14:textId="77777777" w:rsidR="00103549" w:rsidRPr="00A3675A" w:rsidRDefault="00103549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103549" w:rsidRPr="00A3675A" w14:paraId="72A84E33" w14:textId="77777777" w:rsidTr="009B53C0">
        <w:trPr>
          <w:trHeight w:val="300"/>
        </w:trPr>
        <w:tc>
          <w:tcPr>
            <w:tcW w:w="10623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ADA905" w14:textId="5860DA3A" w:rsidR="00103549" w:rsidRPr="000076D9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0A3A1E47" w14:textId="77777777" w:rsidR="00103549" w:rsidRPr="00A3675A" w:rsidRDefault="00103549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103549" w:rsidRPr="00A3675A" w14:paraId="289223C6" w14:textId="77777777" w:rsidTr="009B53C0">
        <w:trPr>
          <w:trHeight w:val="643"/>
        </w:trPr>
        <w:tc>
          <w:tcPr>
            <w:tcW w:w="106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DCCF483" w14:textId="4D2E682E" w:rsidR="00103549" w:rsidRPr="000076D9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7ACD1456" w14:textId="77777777" w:rsidR="00103549" w:rsidRPr="00A3675A" w:rsidRDefault="00103549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65C08AAC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09733894" w14:textId="619AA2C7" w:rsidR="00DF3905" w:rsidRPr="000076D9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Submitting of the application for </w:t>
            </w:r>
            <w:r w:rsidR="00B618E3" w:rsidRPr="000076D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residence permit </w:t>
            </w:r>
            <w:r w:rsidR="000076D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for purpose of ICT </w:t>
            </w:r>
            <w:r w:rsidR="00B618E3" w:rsidRPr="000076D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at the Embassy</w:t>
            </w:r>
          </w:p>
        </w:tc>
        <w:tc>
          <w:tcPr>
            <w:tcW w:w="433" w:type="dxa"/>
            <w:vAlign w:val="center"/>
            <w:hideMark/>
          </w:tcPr>
          <w:p w14:paraId="244E2A7C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3A3340A0" w14:textId="77777777" w:rsidTr="00F449D4">
        <w:trPr>
          <w:trHeight w:val="300"/>
        </w:trPr>
        <w:tc>
          <w:tcPr>
            <w:tcW w:w="1062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694C818" w14:textId="77777777" w:rsidR="00DF3905" w:rsidRPr="000076D9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11DE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41F4EFA4" w14:textId="77777777" w:rsidTr="00D72913">
        <w:trPr>
          <w:trHeight w:val="1529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B42FED5" w14:textId="7C7D5D4A" w:rsidR="00DF3905" w:rsidRPr="000076D9" w:rsidRDefault="006E0B1B" w:rsidP="00D72913">
            <w:pPr>
              <w:tabs>
                <w:tab w:val="left" w:pos="204"/>
              </w:tabs>
              <w:spacing w:after="0"/>
              <w:ind w:left="346" w:hanging="346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1. </w:t>
            </w:r>
            <w:r w:rsidR="006160E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D7291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proofErr w:type="gramStart"/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Submit an application</w:t>
            </w:r>
            <w:proofErr w:type="gramEnd"/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for </w:t>
            </w:r>
            <w:r w:rsidR="00741B7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a 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residence permit for the purpose of </w:t>
            </w:r>
            <w:r w:rsidR="00F0572E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ICT 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at </w:t>
            </w:r>
            <w:r w:rsidR="00EE6CDE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the </w:t>
            </w:r>
            <w:r w:rsidR="00EE6CDE" w:rsidRPr="000076D9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respective Embassy of</w:t>
            </w:r>
            <w:r w:rsidR="00D7291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the</w:t>
            </w:r>
            <w:r w:rsidR="00EE6CDE" w:rsidRPr="000076D9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Slovak Republic</w:t>
            </w:r>
            <w:r w:rsidR="007D080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in </w:t>
            </w:r>
            <w:r w:rsidR="00D7291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the </w:t>
            </w:r>
            <w:r w:rsidR="003B23DB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USA – either Washington or New York</w:t>
            </w:r>
            <w:r w:rsidR="00EE6CDE" w:rsidRPr="000076D9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.  </w:t>
            </w:r>
            <w:r w:rsidR="007D080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                                               </w:t>
            </w:r>
            <w:r w:rsidR="00EE6CDE" w:rsidRPr="000076D9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         </w:t>
            </w: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* 90 days validity of documents</w:t>
            </w:r>
            <w:r w:rsidR="001F40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– FBI record, proof of accommodation, confirmation of the Labor office and documents prepared by </w:t>
            </w:r>
            <w:proofErr w:type="spellStart"/>
            <w:r w:rsidR="001F40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="001F40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Slovakia re. intercompany transfer</w:t>
            </w: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* </w:t>
            </w:r>
            <w:r w:rsidR="001F40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2-4</w:t>
            </w: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weeks until the documents </w:t>
            </w:r>
            <w:r w:rsidR="007D6E9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will be</w:t>
            </w:r>
            <w:r w:rsidR="0086084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delivered</w:t>
            </w: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from the Embassy to the Foreign Police</w:t>
            </w:r>
            <w:r w:rsidR="0086084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department</w:t>
            </w: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in Slovakia</w:t>
            </w:r>
            <w:r w:rsidR="001F40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– the documents are always sent to Slovakia by diplomatic post – how fast depends on the Embassy</w:t>
            </w:r>
            <w:r w:rsidR="00E00BB5"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                                  </w:t>
            </w:r>
            <w:r w:rsidR="00DF3905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br/>
            </w:r>
          </w:p>
        </w:tc>
        <w:tc>
          <w:tcPr>
            <w:tcW w:w="433" w:type="dxa"/>
            <w:vAlign w:val="center"/>
            <w:hideMark/>
          </w:tcPr>
          <w:p w14:paraId="343720E0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E00BB5" w:rsidRPr="00A3675A" w14:paraId="255B2122" w14:textId="77777777" w:rsidTr="00CD664C">
        <w:trPr>
          <w:trHeight w:val="49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0F0BF0F6" w14:textId="0DA21AD2" w:rsidR="0068035F" w:rsidRPr="0068035F" w:rsidRDefault="0068035F" w:rsidP="00D72913">
            <w:pPr>
              <w:tabs>
                <w:tab w:val="left" w:pos="346"/>
                <w:tab w:val="left" w:pos="487"/>
              </w:tabs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68035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2. </w:t>
            </w:r>
            <w:r w:rsidR="00D7291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</w:t>
            </w:r>
            <w:r w:rsidRPr="0068035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The application is sent to Foreign Police in Slovakia             </w:t>
            </w:r>
          </w:p>
          <w:p w14:paraId="6C9A3E3E" w14:textId="7B83B8F3" w:rsidR="00E00BB5" w:rsidRPr="0068035F" w:rsidRDefault="00D72913" w:rsidP="00D72913">
            <w:pPr>
              <w:spacing w:after="0"/>
              <w:ind w:left="346" w:hanging="142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68035F" w:rsidRPr="0068035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* </w:t>
            </w:r>
            <w:proofErr w:type="gramStart"/>
            <w:r w:rsidR="001F4003" w:rsidRPr="0068035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from</w:t>
            </w:r>
            <w:proofErr w:type="gramEnd"/>
            <w:r w:rsidR="001F4003" w:rsidRPr="0068035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the moment </w:t>
            </w:r>
            <w:r w:rsidR="001F40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the documents are delivered to the Foreign police t</w:t>
            </w:r>
            <w:r w:rsidR="0068035F" w:rsidRPr="0068035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he approval </w:t>
            </w:r>
            <w:r w:rsidR="0068035F" w:rsidRPr="00D729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process </w:t>
            </w:r>
            <w:r w:rsidR="002B0D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GB" w:eastAsia="sk-SK"/>
              </w:rPr>
              <w:t>takes</w:t>
            </w:r>
            <w:r w:rsidR="0068035F" w:rsidRPr="00D729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1F4003" w:rsidRPr="00D729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GB" w:eastAsia="sk-SK"/>
              </w:rPr>
              <w:t>3</w:t>
            </w:r>
            <w:r w:rsidR="0068035F" w:rsidRPr="00D729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GB" w:eastAsia="sk-SK"/>
              </w:rPr>
              <w:t>0 days</w:t>
            </w:r>
            <w:r w:rsidR="0068035F" w:rsidRPr="0068035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</w:p>
        </w:tc>
        <w:tc>
          <w:tcPr>
            <w:tcW w:w="433" w:type="dxa"/>
            <w:vAlign w:val="center"/>
            <w:hideMark/>
          </w:tcPr>
          <w:p w14:paraId="7452BE4A" w14:textId="77777777" w:rsidR="00E00BB5" w:rsidRPr="00A3675A" w:rsidRDefault="00E00BB5" w:rsidP="00E00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68035F" w:rsidRPr="00A3675A" w14:paraId="612F51DE" w14:textId="77777777" w:rsidTr="00CD411E">
        <w:trPr>
          <w:trHeight w:val="11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BBD43AB" w14:textId="77777777" w:rsidR="00D72913" w:rsidRDefault="0068035F" w:rsidP="00D72913">
            <w:pPr>
              <w:tabs>
                <w:tab w:val="left" w:pos="346"/>
              </w:tabs>
              <w:spacing w:after="0"/>
              <w:ind w:left="346" w:hanging="346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3. </w:t>
            </w:r>
            <w:r w:rsidR="00D7291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Once the residence permit is approved, Foreign Police will inform the Embassy</w:t>
            </w:r>
            <w:r w:rsidR="001F400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as well as </w:t>
            </w:r>
            <w:proofErr w:type="spellStart"/>
            <w:r w:rsidR="001F400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="001F400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 as the representative of the Client </w:t>
            </w:r>
            <w:r w:rsidRPr="000A31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  <w:p w14:paraId="3412DFC2" w14:textId="57240413" w:rsidR="0068035F" w:rsidRPr="00CD664C" w:rsidRDefault="0068035F" w:rsidP="00D72913">
            <w:pPr>
              <w:tabs>
                <w:tab w:val="left" w:pos="346"/>
              </w:tabs>
              <w:spacing w:after="0"/>
              <w:ind w:left="346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* </w:t>
            </w:r>
            <w:proofErr w:type="gramStart"/>
            <w:r w:rsidR="001F40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during</w:t>
            </w:r>
            <w:proofErr w:type="gramEnd"/>
            <w:r w:rsidR="001F40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the approval process, the Client can travel to Slovakia, as </w:t>
            </w:r>
            <w:r w:rsidR="00D7291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citizens from </w:t>
            </w:r>
            <w:r w:rsidR="001F40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USA do not need a visa to enter the country, </w:t>
            </w:r>
            <w:r w:rsidR="00D7291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they</w:t>
            </w:r>
            <w:r w:rsidR="001F40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may stay in Slovakia </w:t>
            </w:r>
            <w:r w:rsidR="00D7291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without permit </w:t>
            </w:r>
            <w:r w:rsidR="001F40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for 90 days within 6 months</w:t>
            </w:r>
          </w:p>
        </w:tc>
        <w:tc>
          <w:tcPr>
            <w:tcW w:w="433" w:type="dxa"/>
            <w:vAlign w:val="center"/>
            <w:hideMark/>
          </w:tcPr>
          <w:p w14:paraId="531ED71D" w14:textId="77777777" w:rsidR="0068035F" w:rsidRPr="00A3675A" w:rsidRDefault="0068035F" w:rsidP="00E00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68035F" w:rsidRPr="00A3675A" w14:paraId="3C8F8AB7" w14:textId="77777777" w:rsidTr="0025661A">
        <w:trPr>
          <w:trHeight w:val="242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F64A5C9" w14:textId="42569B94" w:rsidR="0068035F" w:rsidRPr="000076D9" w:rsidRDefault="001F4003" w:rsidP="00D72913">
            <w:pPr>
              <w:tabs>
                <w:tab w:val="left" w:pos="346"/>
              </w:tabs>
              <w:spacing w:after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4. </w:t>
            </w:r>
            <w:r w:rsidR="00D7291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Residence permit for</w:t>
            </w:r>
            <w:r w:rsidR="00D7291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employment purposes – ICT will be granted for </w:t>
            </w:r>
            <w:r w:rsidR="002B0D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maximum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3 years </w:t>
            </w:r>
            <w:r w:rsidR="0068035F"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</w:p>
        </w:tc>
        <w:tc>
          <w:tcPr>
            <w:tcW w:w="433" w:type="dxa"/>
            <w:vAlign w:val="center"/>
            <w:hideMark/>
          </w:tcPr>
          <w:p w14:paraId="0338FEB1" w14:textId="77777777" w:rsidR="0068035F" w:rsidRPr="00A3675A" w:rsidRDefault="0068035F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68035F" w:rsidRPr="00A3675A" w14:paraId="2ACB6864" w14:textId="77777777" w:rsidTr="00CD411E">
        <w:trPr>
          <w:trHeight w:val="300"/>
        </w:trPr>
        <w:tc>
          <w:tcPr>
            <w:tcW w:w="10623" w:type="dxa"/>
            <w:vAlign w:val="center"/>
            <w:hideMark/>
          </w:tcPr>
          <w:p w14:paraId="69C97415" w14:textId="1D20CE7E" w:rsidR="0068035F" w:rsidRPr="000076D9" w:rsidRDefault="0068035F" w:rsidP="003961C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70774628" w14:textId="77777777" w:rsidR="0068035F" w:rsidRPr="00A3675A" w:rsidRDefault="0068035F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</w:tbl>
    <w:p w14:paraId="56FDE04B" w14:textId="1442B1A5" w:rsidR="006F144B" w:rsidRPr="00A3675A" w:rsidRDefault="006F144B" w:rsidP="002B0D32">
      <w:pPr>
        <w:tabs>
          <w:tab w:val="left" w:pos="5340"/>
        </w:tabs>
        <w:rPr>
          <w:rFonts w:ascii="Arial" w:hAnsi="Arial" w:cs="Arial"/>
          <w:sz w:val="20"/>
          <w:szCs w:val="20"/>
          <w:lang w:val="en-GB"/>
        </w:rPr>
      </w:pPr>
    </w:p>
    <w:sectPr w:rsidR="006F144B" w:rsidRPr="00A3675A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2E0E6" w14:textId="77777777" w:rsidR="000C2003" w:rsidRDefault="000C2003" w:rsidP="00320257">
      <w:pPr>
        <w:spacing w:after="0" w:line="240" w:lineRule="auto"/>
      </w:pPr>
      <w:r>
        <w:separator/>
      </w:r>
    </w:p>
  </w:endnote>
  <w:endnote w:type="continuationSeparator" w:id="0">
    <w:p w14:paraId="3F7FD166" w14:textId="77777777" w:rsidR="000C2003" w:rsidRDefault="000C2003" w:rsidP="00320257">
      <w:pPr>
        <w:spacing w:after="0" w:line="240" w:lineRule="auto"/>
      </w:pPr>
      <w:r>
        <w:continuationSeparator/>
      </w:r>
    </w:p>
  </w:endnote>
  <w:endnote w:type="continuationNotice" w:id="1">
    <w:p w14:paraId="4AE1C16E" w14:textId="77777777" w:rsidR="000C2003" w:rsidRDefault="000C20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D6B65" w14:textId="77777777" w:rsidR="00A54296" w:rsidRPr="001B0A3F" w:rsidRDefault="00A54296" w:rsidP="00A54296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law office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>, I</w:t>
    </w:r>
    <w:r>
      <w:rPr>
        <w:rFonts w:asciiTheme="majorHAnsi" w:hAnsiTheme="majorHAnsi" w:cstheme="majorHAnsi"/>
        <w:color w:val="00AAAD"/>
        <w:sz w:val="18"/>
        <w:szCs w:val="18"/>
      </w:rPr>
      <w:t>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>
      <w:rPr>
        <w:rFonts w:asciiTheme="majorHAnsi" w:hAnsiTheme="majorHAnsi" w:cstheme="majorHAnsi"/>
        <w:color w:val="00AAAD"/>
        <w:sz w:val="18"/>
        <w:szCs w:val="18"/>
      </w:rPr>
      <w:t>TAX ID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VAT ID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r</w:t>
    </w:r>
    <w:r w:rsidRPr="00851AC2">
      <w:rPr>
        <w:rFonts w:asciiTheme="majorHAnsi" w:hAnsiTheme="majorHAnsi" w:cstheme="majorHAnsi"/>
        <w:color w:val="00AAAD"/>
        <w:sz w:val="18"/>
        <w:szCs w:val="18"/>
      </w:rPr>
      <w:t>egistered in the Commercial register of District Court Bratislava I, Section: Sro, Insert Nr. 137688/B</w:t>
    </w:r>
  </w:p>
  <w:p w14:paraId="060D7BC7" w14:textId="3B78CD76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D16F5" w14:textId="77777777" w:rsidR="000C2003" w:rsidRDefault="000C2003" w:rsidP="00320257">
      <w:pPr>
        <w:spacing w:after="0" w:line="240" w:lineRule="auto"/>
      </w:pPr>
      <w:r>
        <w:separator/>
      </w:r>
    </w:p>
  </w:footnote>
  <w:footnote w:type="continuationSeparator" w:id="0">
    <w:p w14:paraId="53F74082" w14:textId="77777777" w:rsidR="000C2003" w:rsidRDefault="000C2003" w:rsidP="00320257">
      <w:pPr>
        <w:spacing w:after="0" w:line="240" w:lineRule="auto"/>
      </w:pPr>
      <w:r>
        <w:continuationSeparator/>
      </w:r>
    </w:p>
  </w:footnote>
  <w:footnote w:type="continuationNotice" w:id="1">
    <w:p w14:paraId="783DF0D2" w14:textId="77777777" w:rsidR="000C2003" w:rsidRDefault="000C20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fický objekt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4408C7C1" w14:textId="77777777" w:rsidR="00A54296" w:rsidRDefault="00A5429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4408C7C1" w14:textId="77777777" w:rsidR="00A54296" w:rsidRDefault="00A54296"/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54B2"/>
    <w:multiLevelType w:val="hybridMultilevel"/>
    <w:tmpl w:val="5636AAD2"/>
    <w:lvl w:ilvl="0" w:tplc="F47E3B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665F"/>
    <w:multiLevelType w:val="hybridMultilevel"/>
    <w:tmpl w:val="21B47106"/>
    <w:lvl w:ilvl="0" w:tplc="95BA72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1062D"/>
    <w:multiLevelType w:val="hybridMultilevel"/>
    <w:tmpl w:val="F14209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21406A3"/>
    <w:multiLevelType w:val="hybridMultilevel"/>
    <w:tmpl w:val="79788DE0"/>
    <w:lvl w:ilvl="0" w:tplc="7B0A94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77DF8"/>
    <w:multiLevelType w:val="hybridMultilevel"/>
    <w:tmpl w:val="28F6EC48"/>
    <w:lvl w:ilvl="0" w:tplc="652A5CA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D0D56"/>
    <w:multiLevelType w:val="hybridMultilevel"/>
    <w:tmpl w:val="0F1C0A8E"/>
    <w:lvl w:ilvl="0" w:tplc="7B1A0D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7"/>
  </w:num>
  <w:num w:numId="2" w16cid:durableId="1227691162">
    <w:abstractNumId w:val="7"/>
  </w:num>
  <w:num w:numId="3" w16cid:durableId="1033505185">
    <w:abstractNumId w:val="3"/>
  </w:num>
  <w:num w:numId="4" w16cid:durableId="737628437">
    <w:abstractNumId w:val="1"/>
  </w:num>
  <w:num w:numId="5" w16cid:durableId="281037898">
    <w:abstractNumId w:val="0"/>
  </w:num>
  <w:num w:numId="6" w16cid:durableId="178934547">
    <w:abstractNumId w:val="6"/>
  </w:num>
  <w:num w:numId="7" w16cid:durableId="1447895051">
    <w:abstractNumId w:val="2"/>
  </w:num>
  <w:num w:numId="8" w16cid:durableId="1576162317">
    <w:abstractNumId w:val="4"/>
  </w:num>
  <w:num w:numId="9" w16cid:durableId="870412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76D9"/>
    <w:rsid w:val="00011B01"/>
    <w:rsid w:val="00013F8C"/>
    <w:rsid w:val="00042731"/>
    <w:rsid w:val="00054812"/>
    <w:rsid w:val="00061B83"/>
    <w:rsid w:val="000A31D7"/>
    <w:rsid w:val="000C2003"/>
    <w:rsid w:val="000C78B1"/>
    <w:rsid w:val="000D0116"/>
    <w:rsid w:val="00103549"/>
    <w:rsid w:val="00104F5C"/>
    <w:rsid w:val="00104FD3"/>
    <w:rsid w:val="00111CEF"/>
    <w:rsid w:val="0012477F"/>
    <w:rsid w:val="001332BB"/>
    <w:rsid w:val="00133318"/>
    <w:rsid w:val="001609F7"/>
    <w:rsid w:val="00181765"/>
    <w:rsid w:val="001948DE"/>
    <w:rsid w:val="001A0D89"/>
    <w:rsid w:val="001B0A3F"/>
    <w:rsid w:val="001B752B"/>
    <w:rsid w:val="001F0F1D"/>
    <w:rsid w:val="001F4003"/>
    <w:rsid w:val="00201397"/>
    <w:rsid w:val="00216DEE"/>
    <w:rsid w:val="00226161"/>
    <w:rsid w:val="0025661A"/>
    <w:rsid w:val="00265BC2"/>
    <w:rsid w:val="00290433"/>
    <w:rsid w:val="002A119C"/>
    <w:rsid w:val="002B0D32"/>
    <w:rsid w:val="002D189B"/>
    <w:rsid w:val="002E689D"/>
    <w:rsid w:val="002F4E94"/>
    <w:rsid w:val="0030603B"/>
    <w:rsid w:val="00314C60"/>
    <w:rsid w:val="00320257"/>
    <w:rsid w:val="003249A9"/>
    <w:rsid w:val="003961C2"/>
    <w:rsid w:val="003B0F27"/>
    <w:rsid w:val="003B23DB"/>
    <w:rsid w:val="003B28AB"/>
    <w:rsid w:val="003D0841"/>
    <w:rsid w:val="003E5701"/>
    <w:rsid w:val="00401EC3"/>
    <w:rsid w:val="004133FF"/>
    <w:rsid w:val="0042304C"/>
    <w:rsid w:val="00432576"/>
    <w:rsid w:val="00456D5C"/>
    <w:rsid w:val="00466421"/>
    <w:rsid w:val="004B2F3F"/>
    <w:rsid w:val="004D5F0F"/>
    <w:rsid w:val="004E5796"/>
    <w:rsid w:val="004F5849"/>
    <w:rsid w:val="00501C84"/>
    <w:rsid w:val="00501F8B"/>
    <w:rsid w:val="005B4D52"/>
    <w:rsid w:val="005C33AB"/>
    <w:rsid w:val="005E16BD"/>
    <w:rsid w:val="005F0572"/>
    <w:rsid w:val="0061200A"/>
    <w:rsid w:val="00612424"/>
    <w:rsid w:val="0061271D"/>
    <w:rsid w:val="006160E4"/>
    <w:rsid w:val="00627F64"/>
    <w:rsid w:val="00656BCE"/>
    <w:rsid w:val="00663537"/>
    <w:rsid w:val="0068035F"/>
    <w:rsid w:val="006C1F22"/>
    <w:rsid w:val="006C6C50"/>
    <w:rsid w:val="006D71C2"/>
    <w:rsid w:val="006E0B1B"/>
    <w:rsid w:val="006F144B"/>
    <w:rsid w:val="00741B79"/>
    <w:rsid w:val="00745C55"/>
    <w:rsid w:val="00755B56"/>
    <w:rsid w:val="00786907"/>
    <w:rsid w:val="007C3EC5"/>
    <w:rsid w:val="007D080C"/>
    <w:rsid w:val="007D6E90"/>
    <w:rsid w:val="007E7836"/>
    <w:rsid w:val="007F3537"/>
    <w:rsid w:val="00820CCF"/>
    <w:rsid w:val="008435DD"/>
    <w:rsid w:val="00851758"/>
    <w:rsid w:val="00860848"/>
    <w:rsid w:val="008617A0"/>
    <w:rsid w:val="00867870"/>
    <w:rsid w:val="008766CC"/>
    <w:rsid w:val="008B79B0"/>
    <w:rsid w:val="008D4412"/>
    <w:rsid w:val="008F5964"/>
    <w:rsid w:val="008F6B42"/>
    <w:rsid w:val="0090169D"/>
    <w:rsid w:val="009129C7"/>
    <w:rsid w:val="00922C8C"/>
    <w:rsid w:val="00926899"/>
    <w:rsid w:val="00932708"/>
    <w:rsid w:val="009438B6"/>
    <w:rsid w:val="00950DF3"/>
    <w:rsid w:val="00963C8C"/>
    <w:rsid w:val="00987096"/>
    <w:rsid w:val="00995B99"/>
    <w:rsid w:val="009A151A"/>
    <w:rsid w:val="009C69CA"/>
    <w:rsid w:val="00A11A3B"/>
    <w:rsid w:val="00A350B5"/>
    <w:rsid w:val="00A3675A"/>
    <w:rsid w:val="00A4316A"/>
    <w:rsid w:val="00A54296"/>
    <w:rsid w:val="00A5594D"/>
    <w:rsid w:val="00A7336E"/>
    <w:rsid w:val="00AB7060"/>
    <w:rsid w:val="00AC635C"/>
    <w:rsid w:val="00AE5916"/>
    <w:rsid w:val="00AF465C"/>
    <w:rsid w:val="00B136B6"/>
    <w:rsid w:val="00B55660"/>
    <w:rsid w:val="00B618E3"/>
    <w:rsid w:val="00B61E2C"/>
    <w:rsid w:val="00B65EE5"/>
    <w:rsid w:val="00B82748"/>
    <w:rsid w:val="00BC4F2E"/>
    <w:rsid w:val="00BC7568"/>
    <w:rsid w:val="00BF4291"/>
    <w:rsid w:val="00BF6E0F"/>
    <w:rsid w:val="00C22DD7"/>
    <w:rsid w:val="00C4662D"/>
    <w:rsid w:val="00C625F1"/>
    <w:rsid w:val="00C8592A"/>
    <w:rsid w:val="00CB2C61"/>
    <w:rsid w:val="00CB5361"/>
    <w:rsid w:val="00CD59F2"/>
    <w:rsid w:val="00CD664C"/>
    <w:rsid w:val="00CF567C"/>
    <w:rsid w:val="00D002A9"/>
    <w:rsid w:val="00D106FE"/>
    <w:rsid w:val="00D2735A"/>
    <w:rsid w:val="00D31B04"/>
    <w:rsid w:val="00D40AE8"/>
    <w:rsid w:val="00D42BB2"/>
    <w:rsid w:val="00D50FF7"/>
    <w:rsid w:val="00D53F57"/>
    <w:rsid w:val="00D673DC"/>
    <w:rsid w:val="00D72913"/>
    <w:rsid w:val="00D92BE6"/>
    <w:rsid w:val="00DD6167"/>
    <w:rsid w:val="00DF3905"/>
    <w:rsid w:val="00DF4DAC"/>
    <w:rsid w:val="00E00BB5"/>
    <w:rsid w:val="00E13A3A"/>
    <w:rsid w:val="00E24073"/>
    <w:rsid w:val="00E36F2B"/>
    <w:rsid w:val="00E37D45"/>
    <w:rsid w:val="00E80064"/>
    <w:rsid w:val="00EE2D8F"/>
    <w:rsid w:val="00EE33EE"/>
    <w:rsid w:val="00EE450D"/>
    <w:rsid w:val="00EE6CDE"/>
    <w:rsid w:val="00EF6091"/>
    <w:rsid w:val="00F0572E"/>
    <w:rsid w:val="00F449D4"/>
    <w:rsid w:val="00F51747"/>
    <w:rsid w:val="00FA0E3F"/>
    <w:rsid w:val="00FC0967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4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8ACF-8CBB-4066-AFAA-7783A3B7F34D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4FF9A6C3-FF44-4207-8D22-F2216BAA8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Patricia Tothova</cp:lastModifiedBy>
  <cp:revision>2</cp:revision>
  <cp:lastPrinted>2023-01-19T15:03:00Z</cp:lastPrinted>
  <dcterms:created xsi:type="dcterms:W3CDTF">2024-12-12T09:57:00Z</dcterms:created>
  <dcterms:modified xsi:type="dcterms:W3CDTF">2024-12-12T09:57:00Z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