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71E8" w14:textId="7C02B9CB" w:rsidR="00FA671B" w:rsidRPr="00340CC1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4F6F306E" w14:textId="18B9752B" w:rsidR="00FA671B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 xml:space="preserve">Úrad hraničnej a cudzineckej polície </w:t>
      </w:r>
    </w:p>
    <w:p w14:paraId="2463B1D6" w14:textId="2EC34C0E" w:rsidR="00EB742F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Prezídia Policajného zboru</w:t>
      </w:r>
    </w:p>
    <w:p w14:paraId="1FAA2481" w14:textId="38A03BA4" w:rsidR="00EB742F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Ružinovská 1/B,</w:t>
      </w:r>
    </w:p>
    <w:p w14:paraId="7B63A2A2" w14:textId="66AB53BC" w:rsidR="00ED0A4D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812 72 Bratislava</w:t>
      </w:r>
    </w:p>
    <w:p w14:paraId="32C35C40" w14:textId="77777777" w:rsidR="00340CC1" w:rsidRPr="00340CC1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1CFF1C30" w14:textId="77777777" w:rsidR="009C0F2F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02522143" w14:textId="016001B7" w:rsidR="00340CC1" w:rsidRPr="009C0F2F" w:rsidRDefault="009C0F2F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340CC1" w:rsidRPr="009C0F2F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6A6279">
        <w:rPr>
          <w:rFonts w:ascii="Arial" w:hAnsi="Arial" w:cs="Arial"/>
          <w:color w:val="323232"/>
          <w:sz w:val="20"/>
          <w:szCs w:val="20"/>
        </w:rPr>
        <w:t>10.10.</w:t>
      </w:r>
      <w:r w:rsidR="00A96809">
        <w:rPr>
          <w:rFonts w:ascii="Arial" w:hAnsi="Arial" w:cs="Arial"/>
          <w:color w:val="323232"/>
          <w:sz w:val="20"/>
          <w:szCs w:val="20"/>
        </w:rPr>
        <w:t>2024</w:t>
      </w:r>
    </w:p>
    <w:p w14:paraId="3016904A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5A39EE1C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41DF50B3" w14:textId="0CB5202B" w:rsidR="00C8592A" w:rsidRPr="00340CC1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3D580905" w14:textId="15348FEA" w:rsidR="00340CC1" w:rsidRPr="00340CC1" w:rsidRDefault="006A6279" w:rsidP="006A6279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Odpoveď na Váš list č. </w:t>
      </w:r>
      <w:r w:rsidRPr="006A627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PPZ-HCP-OCP1-2024/003885-017 </w:t>
      </w:r>
      <w:r w:rsidR="00340CC1"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–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vo veci </w:t>
      </w:r>
      <w:r w:rsidR="00A9680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účel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u</w:t>
      </w:r>
      <w:r w:rsidR="00A9680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registrácie občana EÚ</w:t>
      </w:r>
      <w:r w:rsidR="00FC0A47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1CD88311" w14:textId="662E9C1A" w:rsidR="00A96809" w:rsidRPr="00F959E0" w:rsidRDefault="00A96809" w:rsidP="00A96809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</w:p>
    <w:p w14:paraId="3928DFA5" w14:textId="77777777" w:rsidR="00A96809" w:rsidRPr="00F959E0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701886D1" w14:textId="021428C1" w:rsidR="00A96809" w:rsidRDefault="006A6279" w:rsidP="006A6279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V nadväznosti na Váš list č. </w:t>
      </w:r>
      <w:r w:rsidRPr="006A6279">
        <w:rPr>
          <w:rFonts w:ascii="Arial" w:hAnsi="Arial" w:cs="Arial"/>
          <w:color w:val="000000" w:themeColor="text1"/>
          <w:sz w:val="22"/>
          <w:szCs w:val="22"/>
        </w:rPr>
        <w:t>PPZ-HCP-OCP1-2024/003885-017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zo dňa 23.09.2024, ktorým ste odpovedali na našu žiadosť o usmernenie v súvislosti s</w:t>
      </w:r>
      <w:r w:rsidR="00EB360E">
        <w:rPr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Fonts w:ascii="Arial" w:hAnsi="Arial" w:cs="Arial"/>
          <w:color w:val="000000" w:themeColor="text1"/>
          <w:sz w:val="22"/>
          <w:szCs w:val="22"/>
        </w:rPr>
        <w:t>registráci</w:t>
      </w:r>
      <w:r w:rsidR="00EB360E">
        <w:rPr>
          <w:rFonts w:ascii="Arial" w:hAnsi="Arial" w:cs="Arial"/>
          <w:color w:val="000000" w:themeColor="text1"/>
          <w:sz w:val="22"/>
          <w:szCs w:val="22"/>
        </w:rPr>
        <w:t xml:space="preserve">ou </w:t>
      </w:r>
      <w:r>
        <w:rPr>
          <w:rFonts w:ascii="Arial" w:hAnsi="Arial" w:cs="Arial"/>
          <w:color w:val="000000" w:themeColor="text1"/>
          <w:sz w:val="22"/>
          <w:szCs w:val="22"/>
        </w:rPr>
        <w:t>občana EÚ</w:t>
      </w:r>
      <w:r w:rsidR="00EB360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by sme Vás chceli požiadať, aby ste nás konkrétnejšie usmernili, aké dokumenty má mať teda občan EÚ u seba, keď pôjde na príslušné oddelenie cudzineckej polície na registráciu. Máme za to, že zákon jasne definuje jednotlivé účely registrácie ako </w:t>
      </w:r>
      <w:r w:rsidR="00D630EB">
        <w:rPr>
          <w:rFonts w:ascii="Arial" w:hAnsi="Arial" w:cs="Arial"/>
          <w:color w:val="000000" w:themeColor="text1"/>
          <w:sz w:val="22"/>
          <w:szCs w:val="22"/>
        </w:rPr>
        <w:t xml:space="preserve">aj </w:t>
      </w:r>
      <w:r>
        <w:rPr>
          <w:rFonts w:ascii="Arial" w:hAnsi="Arial" w:cs="Arial"/>
          <w:color w:val="000000" w:themeColor="text1"/>
          <w:sz w:val="22"/>
          <w:szCs w:val="22"/>
        </w:rPr>
        <w:t>za to, že všetky oddelenia cudzineckej polície SR by mali mať jednotné metodické usmernenia v tejto veci, nakoľko nie je správne, že majú odlišný postup v </w:t>
      </w:r>
      <w:r w:rsidR="001B55EA">
        <w:rPr>
          <w:rFonts w:ascii="Arial" w:hAnsi="Arial" w:cs="Arial"/>
          <w:color w:val="000000" w:themeColor="text1"/>
          <w:sz w:val="22"/>
          <w:szCs w:val="22"/>
        </w:rPr>
        <w:t>prijímaní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žiadostí o registráciu občana EÚ. Napríklad ak občan EÚ, ktorý sem prišiel pracovať a je teda tu za účelom zamestnania, k žiadosti prikladá pracovnú zmluvu alebo potvrdenie od zamestnávateľa a nemusí preukázať zdravotné poistenie, nakoľko tu bude platiteľom zamestnávateľ a nemusí mať pri sebe ani hotovosť na preukázanie</w:t>
      </w:r>
      <w:r w:rsidR="009267F7">
        <w:rPr>
          <w:rFonts w:ascii="Arial" w:hAnsi="Arial" w:cs="Arial"/>
          <w:color w:val="000000" w:themeColor="text1"/>
          <w:sz w:val="22"/>
          <w:szCs w:val="22"/>
        </w:rPr>
        <w:t xml:space="preserve"> dostatočných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finančných prostriedkov. Avšak stalo sa, že od takéhoto občana </w:t>
      </w:r>
      <w:r w:rsidR="001B55EA">
        <w:rPr>
          <w:rFonts w:ascii="Arial" w:hAnsi="Arial" w:cs="Arial"/>
          <w:color w:val="000000" w:themeColor="text1"/>
          <w:sz w:val="22"/>
          <w:szCs w:val="22"/>
        </w:rPr>
        <w:t>príslušník cudzineckej polície žiadal potvrdenie o poistení a preukázanie finančných prostriedkov a nebral do úvahy vôbec účel jeho registrácie. A pritom mal u seba riadnu pracovnú zmluvu. Potom tu vznikol problém kvôli poisteniu a tak mu prepadol termín a musel čakať na ďalší mesiac</w:t>
      </w:r>
      <w:r w:rsidR="00836C8C">
        <w:rPr>
          <w:rFonts w:ascii="Arial" w:hAnsi="Arial" w:cs="Arial"/>
          <w:color w:val="000000" w:themeColor="text1"/>
          <w:sz w:val="22"/>
          <w:szCs w:val="22"/>
        </w:rPr>
        <w:t>.</w:t>
      </w:r>
      <w:r w:rsidR="001B55E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54FB2A3" w14:textId="1C2E8377" w:rsidR="001B55EA" w:rsidRDefault="001B55EA" w:rsidP="006A6279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Z vlastných skúseností vieme, že OCP PZ v Bratislave vždy berie do úvahy účel pobytu</w:t>
      </w:r>
      <w:r w:rsidR="00836C8C">
        <w:rPr>
          <w:rFonts w:ascii="Arial" w:hAnsi="Arial" w:cs="Arial"/>
          <w:color w:val="000000" w:themeColor="text1"/>
          <w:sz w:val="22"/>
          <w:szCs w:val="22"/>
        </w:rPr>
        <w:t xml:space="preserve"> občana EÚ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 sami nás usmernili</w:t>
      </w:r>
      <w:r w:rsidR="00836C8C"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v ktorých prípadoch netreba preukázať zdravotné poistenie. </w:t>
      </w:r>
    </w:p>
    <w:p w14:paraId="5BE6FBE1" w14:textId="6ADB8D12" w:rsidR="001B55EA" w:rsidRDefault="001B55EA" w:rsidP="006A6279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Ostatné oddelenia cudzineckej polície však majú svoj vlastný postup. Preto </w:t>
      </w:r>
      <w:r w:rsidR="00C34BC0">
        <w:rPr>
          <w:rFonts w:ascii="Arial" w:hAnsi="Arial" w:cs="Arial"/>
          <w:color w:val="000000" w:themeColor="text1"/>
          <w:sz w:val="22"/>
          <w:szCs w:val="22"/>
        </w:rPr>
        <w:t>si myslíme</w:t>
      </w:r>
      <w:r>
        <w:rPr>
          <w:rFonts w:ascii="Arial" w:hAnsi="Arial" w:cs="Arial"/>
          <w:color w:val="000000" w:themeColor="text1"/>
          <w:sz w:val="22"/>
          <w:szCs w:val="22"/>
        </w:rPr>
        <w:t>, že bolo by správne, aby všetky oddelenia cudzineckej polície mali jednotné metodické usmernenia a predovšetkým vychádzali zo zákona o pobyte cudzincov.</w:t>
      </w:r>
    </w:p>
    <w:p w14:paraId="77F903DF" w14:textId="77777777" w:rsidR="00A96809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27167D45" w14:textId="1DC1C28A" w:rsidR="00A96809" w:rsidRPr="00A96809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Prosíme Vás teda o usmernenie, či </w:t>
      </w:r>
      <w:r w:rsidRPr="00A96809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oddelenie cudzineckej polície má povinnosť pri registrácii občana EÚ vždy si overiť účel jeho pobytu a tak vyžadovať k žiadosti o registráciu doklady v zmysle § 66 zákona č. 404/2011 </w:t>
      </w:r>
      <w:proofErr w:type="spellStart"/>
      <w:r w:rsidRPr="00A96809">
        <w:rPr>
          <w:rFonts w:ascii="Arial" w:hAnsi="Arial" w:cs="Arial"/>
          <w:color w:val="000000" w:themeColor="text1"/>
          <w:sz w:val="22"/>
          <w:szCs w:val="22"/>
          <w:u w:val="single"/>
        </w:rPr>
        <w:t>Z.z</w:t>
      </w:r>
      <w:proofErr w:type="spellEnd"/>
      <w:r w:rsidRPr="00A96809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. o pobyte cudzincov. </w:t>
      </w:r>
    </w:p>
    <w:p w14:paraId="24D09244" w14:textId="77777777" w:rsidR="00A96809" w:rsidRPr="00F959E0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7087F824" w14:textId="77777777" w:rsidR="00A96809" w:rsidRPr="00F959E0" w:rsidRDefault="00A96809" w:rsidP="00A96809">
      <w:pPr>
        <w:pStyle w:val="Body"/>
        <w:spacing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>Prosím Vás o odpoveď na adresu našej advokátskej kancelár</w:t>
      </w:r>
      <w:r>
        <w:rPr>
          <w:rFonts w:ascii="Arial" w:hAnsi="Arial" w:cs="Arial"/>
          <w:color w:val="000000" w:themeColor="text1"/>
          <w:sz w:val="22"/>
          <w:szCs w:val="22"/>
        </w:rPr>
        <w:t>ie prípadne do elektronickej schránky našej kancelárie</w:t>
      </w:r>
      <w:r w:rsidRPr="00F959E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B477B2F" w14:textId="77777777" w:rsidR="00A96809" w:rsidRPr="00F959E0" w:rsidRDefault="00A96809" w:rsidP="00A96809">
      <w:pPr>
        <w:pStyle w:val="Body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704D8886" w14:textId="77777777" w:rsidR="00A96809" w:rsidRPr="00F959E0" w:rsidRDefault="00A96809" w:rsidP="00A96809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>Za Vaše usmernenie Vám vopred veľmi pekne ďakujeme!</w:t>
      </w:r>
    </w:p>
    <w:p w14:paraId="697B5D56" w14:textId="77777777" w:rsidR="00A96809" w:rsidRPr="00F959E0" w:rsidRDefault="00A96809" w:rsidP="00A96809">
      <w:pPr>
        <w:rPr>
          <w:rFonts w:ascii="Arial" w:hAnsi="Arial" w:cs="Arial"/>
          <w:color w:val="000000" w:themeColor="text1"/>
        </w:rPr>
      </w:pPr>
    </w:p>
    <w:p w14:paraId="3CB8925F" w14:textId="77777777" w:rsidR="00A96809" w:rsidRPr="00F959E0" w:rsidRDefault="00A96809" w:rsidP="00A96809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>S úctou,</w:t>
      </w:r>
    </w:p>
    <w:p w14:paraId="0FD41018" w14:textId="77777777" w:rsidR="00A96809" w:rsidRPr="00F959E0" w:rsidRDefault="00A96809" w:rsidP="00A96809">
      <w:pPr>
        <w:pStyle w:val="Body"/>
        <w:ind w:firstLine="0"/>
        <w:rPr>
          <w:rFonts w:ascii="Arial" w:hAnsi="Arial" w:cs="Arial"/>
          <w:color w:val="323232"/>
          <w:sz w:val="22"/>
          <w:szCs w:val="22"/>
        </w:rPr>
      </w:pPr>
    </w:p>
    <w:p w14:paraId="557A2A6E" w14:textId="77777777" w:rsidR="00A96809" w:rsidRPr="00F959E0" w:rsidRDefault="00A96809" w:rsidP="00A96809">
      <w:pPr>
        <w:pStyle w:val="Body"/>
        <w:ind w:firstLine="0"/>
        <w:rPr>
          <w:rFonts w:ascii="Arial" w:hAnsi="Arial" w:cs="Arial"/>
          <w:color w:val="323232"/>
          <w:sz w:val="22"/>
          <w:szCs w:val="22"/>
        </w:rPr>
      </w:pPr>
    </w:p>
    <w:p w14:paraId="4ABAA343" w14:textId="77777777" w:rsidR="00A96809" w:rsidRPr="00F959E0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sz w:val="22"/>
          <w:szCs w:val="22"/>
        </w:rPr>
      </w:pP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  <w:t>.............................</w:t>
      </w:r>
      <w:r>
        <w:rPr>
          <w:rFonts w:ascii="Arial" w:hAnsi="Arial" w:cs="Arial"/>
          <w:sz w:val="22"/>
          <w:szCs w:val="22"/>
        </w:rPr>
        <w:t>...............</w:t>
      </w:r>
      <w:r w:rsidRPr="00F959E0">
        <w:rPr>
          <w:rFonts w:ascii="Arial" w:hAnsi="Arial" w:cs="Arial"/>
          <w:sz w:val="22"/>
          <w:szCs w:val="22"/>
        </w:rPr>
        <w:t>.............................</w:t>
      </w:r>
    </w:p>
    <w:p w14:paraId="7516315B" w14:textId="77777777" w:rsidR="00A96809" w:rsidRPr="00F959E0" w:rsidRDefault="00A96809" w:rsidP="00A96809">
      <w:pPr>
        <w:spacing w:after="0" w:line="360" w:lineRule="auto"/>
        <w:ind w:left="142"/>
        <w:rPr>
          <w:rFonts w:ascii="Arial" w:hAnsi="Arial" w:cs="Arial"/>
          <w:b/>
          <w:bCs/>
        </w:rPr>
      </w:pP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  <w:b/>
          <w:bCs/>
        </w:rPr>
        <w:t>ProfiDeCon Slovakia s.r.o. advokátska kancelária</w:t>
      </w:r>
    </w:p>
    <w:p w14:paraId="6F705F1A" w14:textId="77777777" w:rsidR="00A96809" w:rsidRPr="00F959E0" w:rsidRDefault="00A96809" w:rsidP="00A96809">
      <w:pPr>
        <w:spacing w:after="0" w:line="360" w:lineRule="auto"/>
        <w:ind w:left="142"/>
        <w:jc w:val="center"/>
        <w:rPr>
          <w:rFonts w:ascii="Arial" w:hAnsi="Arial" w:cs="Arial"/>
          <w:b/>
          <w:bCs/>
        </w:rPr>
      </w:pPr>
      <w:r w:rsidRPr="00F959E0">
        <w:rPr>
          <w:rFonts w:ascii="Arial" w:hAnsi="Arial" w:cs="Arial"/>
          <w:b/>
          <w:bCs/>
        </w:rPr>
        <w:t xml:space="preserve">                                            </w:t>
      </w:r>
      <w:r>
        <w:rPr>
          <w:rFonts w:ascii="Arial" w:hAnsi="Arial" w:cs="Arial"/>
          <w:b/>
          <w:bCs/>
        </w:rPr>
        <w:t xml:space="preserve">  </w:t>
      </w:r>
      <w:r w:rsidRPr="00F959E0">
        <w:rPr>
          <w:rFonts w:ascii="Arial" w:hAnsi="Arial" w:cs="Arial"/>
          <w:b/>
          <w:bCs/>
        </w:rPr>
        <w:t>JUDr. Patrícia Tóthová, LL.M, konateľ a advokát</w:t>
      </w:r>
    </w:p>
    <w:p w14:paraId="44FD49C7" w14:textId="77777777" w:rsidR="00A96809" w:rsidRPr="00F959E0" w:rsidRDefault="00A96809" w:rsidP="00A96809">
      <w:pPr>
        <w:rPr>
          <w:rFonts w:ascii="Arial" w:hAnsi="Arial" w:cs="Arial"/>
        </w:rPr>
      </w:pPr>
    </w:p>
    <w:p w14:paraId="3CC5FBE7" w14:textId="77777777" w:rsidR="00CA3C57" w:rsidRDefault="00CA3C57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2677B8A" w14:textId="77777777" w:rsidR="00EE450D" w:rsidRPr="00340CC1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340CC1" w:rsidSect="00140940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77B00" w14:textId="77777777" w:rsidR="00276DD1" w:rsidRDefault="00276DD1" w:rsidP="00320257">
      <w:pPr>
        <w:spacing w:after="0" w:line="240" w:lineRule="auto"/>
      </w:pPr>
      <w:r>
        <w:separator/>
      </w:r>
    </w:p>
  </w:endnote>
  <w:endnote w:type="continuationSeparator" w:id="0">
    <w:p w14:paraId="699A18B0" w14:textId="77777777" w:rsidR="00276DD1" w:rsidRDefault="00276DD1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FB16A" w14:textId="77777777" w:rsidR="00276DD1" w:rsidRDefault="00276DD1" w:rsidP="00320257">
      <w:pPr>
        <w:spacing w:after="0" w:line="240" w:lineRule="auto"/>
      </w:pPr>
      <w:r>
        <w:separator/>
      </w:r>
    </w:p>
  </w:footnote>
  <w:footnote w:type="continuationSeparator" w:id="0">
    <w:p w14:paraId="153FE751" w14:textId="77777777" w:rsidR="00276DD1" w:rsidRDefault="00276DD1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1D35"/>
    <w:rsid w:val="00047545"/>
    <w:rsid w:val="00082646"/>
    <w:rsid w:val="000E0B15"/>
    <w:rsid w:val="000F53E5"/>
    <w:rsid w:val="00104FD3"/>
    <w:rsid w:val="0012477F"/>
    <w:rsid w:val="00133318"/>
    <w:rsid w:val="00140940"/>
    <w:rsid w:val="001948DE"/>
    <w:rsid w:val="001963E9"/>
    <w:rsid w:val="001B059F"/>
    <w:rsid w:val="001B0A3F"/>
    <w:rsid w:val="001B26F7"/>
    <w:rsid w:val="001B52FF"/>
    <w:rsid w:val="001B55EA"/>
    <w:rsid w:val="001B6E36"/>
    <w:rsid w:val="001B752B"/>
    <w:rsid w:val="001E3274"/>
    <w:rsid w:val="001E7E66"/>
    <w:rsid w:val="001F0F1D"/>
    <w:rsid w:val="0021459D"/>
    <w:rsid w:val="002165AC"/>
    <w:rsid w:val="00216DEE"/>
    <w:rsid w:val="00222D86"/>
    <w:rsid w:val="0022374C"/>
    <w:rsid w:val="00233D6E"/>
    <w:rsid w:val="002455E0"/>
    <w:rsid w:val="00276DD1"/>
    <w:rsid w:val="00290433"/>
    <w:rsid w:val="002A119C"/>
    <w:rsid w:val="002B5A6D"/>
    <w:rsid w:val="002C079F"/>
    <w:rsid w:val="002C7461"/>
    <w:rsid w:val="002D0EA7"/>
    <w:rsid w:val="002D3E98"/>
    <w:rsid w:val="002E689D"/>
    <w:rsid w:val="002E7AA1"/>
    <w:rsid w:val="002F3A09"/>
    <w:rsid w:val="00320257"/>
    <w:rsid w:val="00340CC1"/>
    <w:rsid w:val="0035433F"/>
    <w:rsid w:val="00363C7F"/>
    <w:rsid w:val="00383D21"/>
    <w:rsid w:val="003967D7"/>
    <w:rsid w:val="00397CA9"/>
    <w:rsid w:val="003A3525"/>
    <w:rsid w:val="003D3F7E"/>
    <w:rsid w:val="003E0375"/>
    <w:rsid w:val="003E5701"/>
    <w:rsid w:val="003F2FA5"/>
    <w:rsid w:val="004133FF"/>
    <w:rsid w:val="0042304C"/>
    <w:rsid w:val="00432576"/>
    <w:rsid w:val="00435235"/>
    <w:rsid w:val="004436B0"/>
    <w:rsid w:val="0045629E"/>
    <w:rsid w:val="0047766E"/>
    <w:rsid w:val="004B2F3F"/>
    <w:rsid w:val="004D5F0F"/>
    <w:rsid w:val="004E5796"/>
    <w:rsid w:val="00500203"/>
    <w:rsid w:val="00501C84"/>
    <w:rsid w:val="00572193"/>
    <w:rsid w:val="00587026"/>
    <w:rsid w:val="005A5EB6"/>
    <w:rsid w:val="005B3F63"/>
    <w:rsid w:val="005C33AB"/>
    <w:rsid w:val="005D1DAA"/>
    <w:rsid w:val="005E16BD"/>
    <w:rsid w:val="005E527A"/>
    <w:rsid w:val="006023C1"/>
    <w:rsid w:val="00612424"/>
    <w:rsid w:val="00627F64"/>
    <w:rsid w:val="00680A4B"/>
    <w:rsid w:val="006A6279"/>
    <w:rsid w:val="006C1F22"/>
    <w:rsid w:val="006C6B4B"/>
    <w:rsid w:val="006F6AE5"/>
    <w:rsid w:val="007159EB"/>
    <w:rsid w:val="00755B56"/>
    <w:rsid w:val="00757357"/>
    <w:rsid w:val="00771B3F"/>
    <w:rsid w:val="00786907"/>
    <w:rsid w:val="007B640E"/>
    <w:rsid w:val="007C3912"/>
    <w:rsid w:val="007E5B7A"/>
    <w:rsid w:val="007E7836"/>
    <w:rsid w:val="007F33F1"/>
    <w:rsid w:val="007F7E9A"/>
    <w:rsid w:val="008024DB"/>
    <w:rsid w:val="00836C8C"/>
    <w:rsid w:val="00842F36"/>
    <w:rsid w:val="00871E01"/>
    <w:rsid w:val="00873D80"/>
    <w:rsid w:val="008861F5"/>
    <w:rsid w:val="008B5FAD"/>
    <w:rsid w:val="008D2E09"/>
    <w:rsid w:val="008E39D4"/>
    <w:rsid w:val="008F5964"/>
    <w:rsid w:val="008F6B42"/>
    <w:rsid w:val="008F70EC"/>
    <w:rsid w:val="0090681F"/>
    <w:rsid w:val="00923726"/>
    <w:rsid w:val="009267F7"/>
    <w:rsid w:val="00942925"/>
    <w:rsid w:val="009438B6"/>
    <w:rsid w:val="00950DF3"/>
    <w:rsid w:val="0095404E"/>
    <w:rsid w:val="00963ABB"/>
    <w:rsid w:val="00963C8C"/>
    <w:rsid w:val="0098160B"/>
    <w:rsid w:val="00987096"/>
    <w:rsid w:val="00995B99"/>
    <w:rsid w:val="009B6FE6"/>
    <w:rsid w:val="009C0F2F"/>
    <w:rsid w:val="009F17C7"/>
    <w:rsid w:val="00A00BE1"/>
    <w:rsid w:val="00A37907"/>
    <w:rsid w:val="00A5594D"/>
    <w:rsid w:val="00A925E2"/>
    <w:rsid w:val="00A96809"/>
    <w:rsid w:val="00AB0465"/>
    <w:rsid w:val="00AE5916"/>
    <w:rsid w:val="00AF465C"/>
    <w:rsid w:val="00B0184C"/>
    <w:rsid w:val="00B106CA"/>
    <w:rsid w:val="00B25906"/>
    <w:rsid w:val="00B65EE5"/>
    <w:rsid w:val="00B762EB"/>
    <w:rsid w:val="00B7797E"/>
    <w:rsid w:val="00BA3111"/>
    <w:rsid w:val="00BB1275"/>
    <w:rsid w:val="00BB2BC2"/>
    <w:rsid w:val="00BC4F34"/>
    <w:rsid w:val="00BC7568"/>
    <w:rsid w:val="00BD63EC"/>
    <w:rsid w:val="00BE7730"/>
    <w:rsid w:val="00BF6E0F"/>
    <w:rsid w:val="00C0069A"/>
    <w:rsid w:val="00C34BC0"/>
    <w:rsid w:val="00C65BAA"/>
    <w:rsid w:val="00C66892"/>
    <w:rsid w:val="00C66AF5"/>
    <w:rsid w:val="00C8592A"/>
    <w:rsid w:val="00CA3C57"/>
    <w:rsid w:val="00CA4A66"/>
    <w:rsid w:val="00CB5361"/>
    <w:rsid w:val="00CD2065"/>
    <w:rsid w:val="00CE32A2"/>
    <w:rsid w:val="00CF567C"/>
    <w:rsid w:val="00D03E93"/>
    <w:rsid w:val="00D076BD"/>
    <w:rsid w:val="00D1218D"/>
    <w:rsid w:val="00D30E2E"/>
    <w:rsid w:val="00D31B04"/>
    <w:rsid w:val="00D35452"/>
    <w:rsid w:val="00D42609"/>
    <w:rsid w:val="00D50FF7"/>
    <w:rsid w:val="00D53F57"/>
    <w:rsid w:val="00D62C60"/>
    <w:rsid w:val="00D630EB"/>
    <w:rsid w:val="00D673DC"/>
    <w:rsid w:val="00D9514F"/>
    <w:rsid w:val="00DE3C55"/>
    <w:rsid w:val="00DE6227"/>
    <w:rsid w:val="00E250B0"/>
    <w:rsid w:val="00E37D45"/>
    <w:rsid w:val="00E553C2"/>
    <w:rsid w:val="00E56F60"/>
    <w:rsid w:val="00EA6CA1"/>
    <w:rsid w:val="00EB0453"/>
    <w:rsid w:val="00EB360E"/>
    <w:rsid w:val="00EB742F"/>
    <w:rsid w:val="00ED0A4D"/>
    <w:rsid w:val="00EE2D8F"/>
    <w:rsid w:val="00EE33EE"/>
    <w:rsid w:val="00EE450D"/>
    <w:rsid w:val="00EE57EE"/>
    <w:rsid w:val="00EF6091"/>
    <w:rsid w:val="00EF6263"/>
    <w:rsid w:val="00F35408"/>
    <w:rsid w:val="00F51747"/>
    <w:rsid w:val="00F60969"/>
    <w:rsid w:val="00F65729"/>
    <w:rsid w:val="00F807B4"/>
    <w:rsid w:val="00F94F8C"/>
    <w:rsid w:val="00F959E0"/>
    <w:rsid w:val="00FA671B"/>
    <w:rsid w:val="00FC0A47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EE5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BD54C-0CEA-4BC5-ADA7-98A20B010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9</cp:revision>
  <cp:lastPrinted>2023-05-03T12:44:00Z</cp:lastPrinted>
  <dcterms:created xsi:type="dcterms:W3CDTF">2024-10-14T13:06:00Z</dcterms:created>
  <dcterms:modified xsi:type="dcterms:W3CDTF">2024-10-15T07:38:00Z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