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DD3" w:rsidRDefault="000C569E" w:rsidP="00240156">
      <w:pPr>
        <w:pStyle w:val="1"/>
      </w:pPr>
      <w:r>
        <w:fldChar w:fldCharType="begin"/>
      </w:r>
      <w:r>
        <w:instrText xml:space="preserve"> MACROBUTTON MTEditEquationSection2 </w:instrText>
      </w:r>
      <w:r w:rsidRPr="000C56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40156">
        <w:rPr>
          <w:rFonts w:hint="eastAsia"/>
        </w:rPr>
        <w:t>IMU</w:t>
      </w:r>
      <w:r w:rsidR="00240156">
        <w:rPr>
          <w:rFonts w:hint="eastAsia"/>
        </w:rPr>
        <w:t>姿态解算</w:t>
      </w:r>
    </w:p>
    <w:p w:rsidR="00595D23" w:rsidRPr="00595D23" w:rsidRDefault="00595D23" w:rsidP="00595D23">
      <w:pPr>
        <w:pStyle w:val="2"/>
      </w:pPr>
      <w:r>
        <w:rPr>
          <w:rFonts w:hint="eastAsia"/>
        </w:rPr>
        <w:t>介绍</w:t>
      </w:r>
    </w:p>
    <w:p w:rsidR="00240156" w:rsidRDefault="00240156" w:rsidP="00240156">
      <w:r>
        <w:rPr>
          <w:rFonts w:hint="eastAsia"/>
        </w:rPr>
        <w:t>在航天航空、机器人、导航、人体运动分析、人机交互等领域里面，姿态的高精度测量扮演着至关重要的角色。一些技术的应用使得惯性传感器可以通过自身数据就能够对姿态进行测量，而不需要依赖于运动方式，环境以及位置。</w:t>
      </w:r>
      <w:r>
        <w:rPr>
          <w:rFonts w:hint="eastAsia"/>
        </w:rPr>
        <w:t>IMU(</w:t>
      </w:r>
      <w:r>
        <w:rPr>
          <w:rFonts w:hint="eastAsia"/>
        </w:rPr>
        <w:t>惯性测量元件</w:t>
      </w:r>
      <w:r>
        <w:rPr>
          <w:rFonts w:hint="eastAsia"/>
        </w:rPr>
        <w:t>)</w:t>
      </w:r>
      <w:r w:rsidR="00B50551">
        <w:rPr>
          <w:rFonts w:hint="eastAsia"/>
        </w:rPr>
        <w:t>由三轴加速度计和三轴陀螺仪组成，可以测量物体的旋转运动和平移运动。</w:t>
      </w:r>
      <w:r w:rsidR="00B50551">
        <w:rPr>
          <w:rFonts w:hint="eastAsia"/>
        </w:rPr>
        <w:t>MARG(</w:t>
      </w:r>
      <w:r w:rsidR="00B50551">
        <w:rPr>
          <w:rFonts w:hint="eastAsia"/>
        </w:rPr>
        <w:t>磁场，角速度和重力</w:t>
      </w:r>
      <w:r w:rsidR="00B50551">
        <w:rPr>
          <w:rFonts w:hint="eastAsia"/>
        </w:rPr>
        <w:t>)</w:t>
      </w:r>
      <w:r w:rsidR="00B50551">
        <w:rPr>
          <w:rFonts w:hint="eastAsia"/>
        </w:rPr>
        <w:t>传感器是一个整合</w:t>
      </w:r>
      <w:r w:rsidR="00B50551">
        <w:rPr>
          <w:rFonts w:hint="eastAsia"/>
        </w:rPr>
        <w:t>3</w:t>
      </w:r>
      <w:r w:rsidR="00B50551">
        <w:rPr>
          <w:rFonts w:hint="eastAsia"/>
        </w:rPr>
        <w:t>轴磁罗盘的</w:t>
      </w:r>
      <w:r w:rsidR="00B50551">
        <w:rPr>
          <w:rFonts w:hint="eastAsia"/>
        </w:rPr>
        <w:t>IMU</w:t>
      </w:r>
      <w:r w:rsidR="00B50551">
        <w:rPr>
          <w:rFonts w:hint="eastAsia"/>
        </w:rPr>
        <w:t>。对于多数应用，只需要</w:t>
      </w:r>
      <w:r w:rsidR="00B50551">
        <w:rPr>
          <w:rFonts w:hint="eastAsia"/>
        </w:rPr>
        <w:t>IMU</w:t>
      </w:r>
      <w:r w:rsidR="00B50551">
        <w:rPr>
          <w:rFonts w:hint="eastAsia"/>
        </w:rPr>
        <w:t>来计算相对重力方向的姿态已经足够了。</w:t>
      </w:r>
      <w:r w:rsidR="00B50551">
        <w:rPr>
          <w:rFonts w:hint="eastAsia"/>
        </w:rPr>
        <w:t>MARC</w:t>
      </w:r>
      <w:r w:rsidR="00B50551">
        <w:rPr>
          <w:rFonts w:hint="eastAsia"/>
        </w:rPr>
        <w:t>系统，也称为</w:t>
      </w:r>
      <w:r w:rsidR="00B50551">
        <w:rPr>
          <w:rFonts w:hint="eastAsia"/>
        </w:rPr>
        <w:t>AHRS(</w:t>
      </w:r>
      <w:r w:rsidR="00B50551">
        <w:rPr>
          <w:rFonts w:hint="eastAsia"/>
        </w:rPr>
        <w:t>姿态和方向参考系统</w:t>
      </w:r>
      <w:r w:rsidR="00B50551">
        <w:rPr>
          <w:rFonts w:hint="eastAsia"/>
        </w:rPr>
        <w:t>)</w:t>
      </w:r>
      <w:r w:rsidR="00B50551">
        <w:rPr>
          <w:rFonts w:hint="eastAsia"/>
        </w:rPr>
        <w:t>可以提供相对于重力和地球磁场方向的完整姿态测量。</w:t>
      </w:r>
    </w:p>
    <w:p w:rsidR="00B50551" w:rsidRDefault="00B50551" w:rsidP="00240156">
      <w:r>
        <w:rPr>
          <w:rFonts w:hint="eastAsia"/>
        </w:rPr>
        <w:t>陀螺仪用于测量旋转角速度，并且可以通过对积分得到传感器的姿态。</w:t>
      </w:r>
      <w:r w:rsidR="005F2642">
        <w:rPr>
          <w:rFonts w:hint="eastAsia"/>
        </w:rPr>
        <w:t>由于高精度陀螺仪价格昂贵，并且体积庞大，所以像低精度的陀螺仪</w:t>
      </w:r>
      <w:r w:rsidR="005F2642">
        <w:rPr>
          <w:rFonts w:hint="eastAsia"/>
        </w:rPr>
        <w:t>MEMS(Micro  Electrical Mechanical System)</w:t>
      </w:r>
      <w:r w:rsidR="005F2642">
        <w:rPr>
          <w:rFonts w:hint="eastAsia"/>
        </w:rPr>
        <w:t>得以在大多数情况下应用。陀螺仪的积分误差使得姿态的估计产生累积偏差。因此，单独使用陀螺仪并不能得到绝对的姿态数据。通过引进加速度计和磁力传感器对重力和地磁场的测量，系统可以计算出觉对的姿态数据。然而，加速计和磁传感器也更容易受到噪声的干扰。姿态滤波器是用于通过对陀螺仪、加速计和磁力计的融合得到姿态的。</w:t>
      </w:r>
    </w:p>
    <w:p w:rsidR="005F2642" w:rsidRDefault="006B2CEF" w:rsidP="00240156">
      <w:r>
        <w:rPr>
          <w:rFonts w:hint="eastAsia"/>
        </w:rPr>
        <w:t>卡尔曼滤波器是大多数主要应用里面公认的方向滤波器。高效和高精度使得卡尔曼滤波器在这些应用里面使用得非常广泛，但是卡尔曼滤波器也存在一些缺陷。比如线性卡尔曼适用的带宽受限，尔扩展卡尔曼因基于向量设计，需要的计算量相当大。</w:t>
      </w:r>
    </w:p>
    <w:p w:rsidR="006B2CEF" w:rsidRDefault="006B2CEF" w:rsidP="00240156">
      <w:r>
        <w:rPr>
          <w:rFonts w:hint="eastAsia"/>
        </w:rPr>
        <w:t>本次使用的方法</w:t>
      </w:r>
      <w:r w:rsidR="00595D23">
        <w:rPr>
          <w:rFonts w:hint="eastAsia"/>
        </w:rPr>
        <w:t>是梯度下降算法。</w:t>
      </w:r>
      <w:r>
        <w:rPr>
          <w:rFonts w:hint="eastAsia"/>
        </w:rPr>
        <w:t>可以适用于</w:t>
      </w:r>
      <w:r>
        <w:rPr>
          <w:rFonts w:hint="eastAsia"/>
        </w:rPr>
        <w:t>IMU</w:t>
      </w:r>
      <w:r>
        <w:rPr>
          <w:rFonts w:hint="eastAsia"/>
        </w:rPr>
        <w:t>也适用于</w:t>
      </w:r>
      <w:r>
        <w:rPr>
          <w:rFonts w:hint="eastAsia"/>
        </w:rPr>
        <w:t>MARG</w:t>
      </w:r>
      <w:r>
        <w:rPr>
          <w:rFonts w:hint="eastAsia"/>
        </w:rPr>
        <w:t>传感器阵列。使用具有耦合性质的四元素表示方向而不是</w:t>
      </w:r>
      <w:r>
        <w:rPr>
          <w:rFonts w:hint="eastAsia"/>
        </w:rPr>
        <w:t>3</w:t>
      </w:r>
      <w:r>
        <w:rPr>
          <w:rFonts w:hint="eastAsia"/>
        </w:rPr>
        <w:t>个相互独立的欧拉角表示。</w:t>
      </w:r>
    </w:p>
    <w:p w:rsidR="00595D23" w:rsidRDefault="00595D23" w:rsidP="00595D23">
      <w:pPr>
        <w:pStyle w:val="2"/>
      </w:pPr>
      <w:r>
        <w:rPr>
          <w:rFonts w:hint="eastAsia"/>
        </w:rPr>
        <w:t>方向表示</w:t>
      </w:r>
    </w:p>
    <w:p w:rsidR="009E2D14" w:rsidRDefault="00595D23" w:rsidP="00595D23">
      <w:pPr>
        <w:rPr>
          <w:rFonts w:hint="eastAsia"/>
        </w:rPr>
      </w:pPr>
      <w:r>
        <w:rPr>
          <w:rFonts w:hint="eastAsia"/>
        </w:rPr>
        <w:t>四元</w:t>
      </w:r>
      <w:r w:rsidR="00C978D8">
        <w:rPr>
          <w:rFonts w:hint="eastAsia"/>
        </w:rPr>
        <w:t>数</w:t>
      </w:r>
      <w:r>
        <w:rPr>
          <w:rFonts w:hint="eastAsia"/>
        </w:rPr>
        <w:t>是用于表示刚体或坐标系在三位空间里面的姿态的四维复数。任意两个坐标系</w:t>
      </w:r>
      <w:r>
        <w:rPr>
          <w:rFonts w:hint="eastAsia"/>
        </w:rPr>
        <w:t>B</w:t>
      </w:r>
      <w:r>
        <w:rPr>
          <w:rFonts w:hint="eastAsia"/>
        </w:rPr>
        <w:t>和</w:t>
      </w:r>
      <w:r>
        <w:rPr>
          <w:rFonts w:hint="eastAsia"/>
        </w:rPr>
        <w:t>A</w:t>
      </w:r>
      <w:r>
        <w:rPr>
          <w:rFonts w:hint="eastAsia"/>
        </w:rPr>
        <w:t>，从</w:t>
      </w:r>
      <w:r>
        <w:rPr>
          <w:rFonts w:hint="eastAsia"/>
        </w:rPr>
        <w:t>B</w:t>
      </w:r>
      <w:r w:rsidR="003951DB">
        <w:rPr>
          <w:rFonts w:hint="eastAsia"/>
        </w:rPr>
        <w:t>在</w:t>
      </w:r>
      <w:r>
        <w:rPr>
          <w:rFonts w:hint="eastAsia"/>
        </w:rPr>
        <w:t>A</w:t>
      </w:r>
      <w:r w:rsidR="003951DB">
        <w:rPr>
          <w:rFonts w:hint="eastAsia"/>
        </w:rPr>
        <w:t>中</w:t>
      </w:r>
      <w:r>
        <w:rPr>
          <w:rFonts w:hint="eastAsia"/>
        </w:rPr>
        <w:t>的</w:t>
      </w:r>
      <w:r w:rsidR="003951DB">
        <w:rPr>
          <w:rFonts w:hint="eastAsia"/>
        </w:rPr>
        <w:t>表示</w:t>
      </w:r>
      <w:r>
        <w:rPr>
          <w:rFonts w:hint="eastAsia"/>
        </w:rPr>
        <w:t>，可以通过对</w:t>
      </w:r>
      <w:r w:rsidR="003951DB">
        <w:rPr>
          <w:rFonts w:hint="eastAsia"/>
        </w:rPr>
        <w:t>A</w:t>
      </w:r>
      <w:r>
        <w:rPr>
          <w:rFonts w:hint="eastAsia"/>
        </w:rPr>
        <w:t>绕某个轴</w:t>
      </w:r>
      <w:r w:rsidR="003951DB" w:rsidRPr="003951DB">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ole="">
            <v:imagedata r:id="rId7" o:title=""/>
          </v:shape>
          <o:OLEObject Type="Embed" ProgID="Equation.DSMT4" ShapeID="_x0000_i1029" DrawAspect="Content" ObjectID="_1598193570" r:id="rId8"/>
        </w:object>
      </w:r>
      <w:r>
        <w:rPr>
          <w:rFonts w:hint="eastAsia"/>
        </w:rPr>
        <w:t>旋转一个角度</w:t>
      </w:r>
      <w:r w:rsidR="003951DB" w:rsidRPr="003951DB">
        <w:rPr>
          <w:position w:val="-6"/>
        </w:rPr>
        <w:object w:dxaOrig="200" w:dyaOrig="279">
          <v:shape id="_x0000_i1030" type="#_x0000_t75" style="width:10.15pt;height:14.15pt" o:ole="">
            <v:imagedata r:id="rId9" o:title=""/>
          </v:shape>
          <o:OLEObject Type="Embed" ProgID="Equation.DSMT4" ShapeID="_x0000_i1030" DrawAspect="Content" ObjectID="_1598193571" r:id="rId10"/>
        </w:object>
      </w:r>
      <w:r>
        <w:rPr>
          <w:rFonts w:hint="eastAsia"/>
        </w:rPr>
        <w:t>实现。</w:t>
      </w:r>
      <w:r w:rsidR="00C978D8">
        <w:rPr>
          <w:rFonts w:hint="eastAsia"/>
        </w:rPr>
        <w:t>如图</w:t>
      </w:r>
      <w:r w:rsidR="00C978D8">
        <w:rPr>
          <w:rFonts w:hint="eastAsia"/>
        </w:rPr>
        <w:t>1</w:t>
      </w:r>
      <w:r w:rsidR="003951DB">
        <w:rPr>
          <w:rFonts w:hint="eastAsia"/>
        </w:rPr>
        <w:t>所示。此方向的四元数表示为</w:t>
      </w:r>
      <w:r w:rsidR="003951DB" w:rsidRPr="003951DB">
        <w:rPr>
          <w:position w:val="-12"/>
        </w:rPr>
        <w:object w:dxaOrig="320" w:dyaOrig="380">
          <v:shape id="_x0000_i1031" type="#_x0000_t75" style="width:15.9pt;height:19pt" o:ole="">
            <v:imagedata r:id="rId11" o:title=""/>
          </v:shape>
          <o:OLEObject Type="Embed" ProgID="Equation.DSMT4" ShapeID="_x0000_i1031" DrawAspect="Content" ObjectID="_1598193572" r:id="rId12"/>
        </w:object>
      </w:r>
      <w:r w:rsidR="003951DB">
        <w:t xml:space="preserve"> </w:t>
      </w:r>
      <w:r w:rsidR="00C978D8">
        <w:rPr>
          <w:rFonts w:hint="eastAsia"/>
        </w:rPr>
        <w:t>，如式</w:t>
      </w:r>
      <w:r w:rsidR="003951DB">
        <w:rPr>
          <w:rFonts w:hint="eastAsia"/>
        </w:rPr>
        <w:t>(1.1)</w:t>
      </w:r>
      <w:r w:rsidR="00C978D8">
        <w:rPr>
          <w:rFonts w:hint="eastAsia"/>
        </w:rPr>
        <w:t>所示。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y</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z</m:t>
            </m:r>
          </m:sub>
        </m:sSub>
      </m:oMath>
      <w:r w:rsidR="00C978D8">
        <w:rPr>
          <w:rFonts w:hint="eastAsia"/>
        </w:rPr>
        <w:t>，表示</w:t>
      </w:r>
      <m:oMath>
        <m:sPre>
          <m:sPrePr>
            <m:ctrlPr>
              <w:rPr>
                <w:rFonts w:ascii="Cambria Math" w:hAnsi="Cambria Math"/>
              </w:rPr>
            </m:ctrlPr>
          </m:sPrePr>
          <m:sub/>
          <m:sup>
            <m:r>
              <m:rPr>
                <m:sty m:val="p"/>
              </m:rPr>
              <w:rPr>
                <w:rFonts w:ascii="Cambria Math" w:hAnsi="Cambria Math"/>
              </w:rPr>
              <m:t>A</m:t>
            </m:r>
          </m:sup>
          <m:e>
            <m:r>
              <m:rPr>
                <m:sty m:val="p"/>
              </m:rPr>
              <w:rPr>
                <w:rFonts w:ascii="Cambria Math" w:hAnsi="Cambria Math" w:hint="eastAsia"/>
              </w:rPr>
              <m:t>r</m:t>
            </m:r>
          </m:e>
        </m:sPre>
      </m:oMath>
      <w:r w:rsidR="00C978D8">
        <w:rPr>
          <w:rFonts w:hint="eastAsia"/>
        </w:rPr>
        <w:t>在三个方向上的分量。</w:t>
      </w:r>
      <w:r w:rsidR="000C569E">
        <w:rPr>
          <w:rFonts w:hint="eastAsia"/>
        </w:rPr>
        <w:t>为了方便计算和表示方向，四元数一般要求模长为</w:t>
      </w:r>
      <w:r w:rsidR="000C569E">
        <w:rPr>
          <w:rFonts w:hint="eastAsia"/>
        </w:rPr>
        <w:t>1</w:t>
      </w:r>
      <w:r w:rsidR="000C569E">
        <w:rPr>
          <w:rFonts w:hint="eastAsia"/>
        </w:rPr>
        <w:t>。</w:t>
      </w:r>
    </w:p>
    <w:p w:rsidR="00595D23" w:rsidRDefault="009E2D14" w:rsidP="009E2D14">
      <w:pPr>
        <w:pStyle w:val="MTDisplayEquation"/>
      </w:pPr>
      <w:r>
        <w:tab/>
      </w:r>
      <w:r w:rsidRPr="009E2D14">
        <w:rPr>
          <w:position w:val="-28"/>
        </w:rPr>
        <w:object w:dxaOrig="6360" w:dyaOrig="680">
          <v:shape id="_x0000_i1028" type="#_x0000_t75" style="width:318.05pt;height:34pt" o:ole="">
            <v:imagedata r:id="rId13" o:title=""/>
          </v:shape>
          <o:OLEObject Type="Embed" ProgID="Equation.DSMT4" ShapeID="_x0000_i1028" DrawAspect="Content" ObjectID="_1598193573"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tbl>
      <w:tblPr>
        <w:tblStyle w:val="MTEBNumberedEquation"/>
        <w:tblW w:w="338" w:type="pct"/>
        <w:jc w:val="center"/>
        <w:tblCellMar>
          <w:top w:w="60" w:type="dxa"/>
          <w:left w:w="0" w:type="dxa"/>
          <w:bottom w:w="60" w:type="dxa"/>
          <w:right w:w="0" w:type="dxa"/>
        </w:tblCellMar>
        <w:tblLook w:val="0600"/>
      </w:tblPr>
      <w:tblGrid>
        <w:gridCol w:w="561"/>
      </w:tblGrid>
      <w:tr w:rsidR="009E2D14" w:rsidTr="009E2D14">
        <w:trPr>
          <w:jc w:val="center"/>
        </w:trPr>
        <w:tc>
          <w:tcPr>
            <w:tcW w:w="561" w:type="dxa"/>
            <w:tcMar>
              <w:top w:w="60" w:type="dxa"/>
              <w:bottom w:w="60" w:type="dxa"/>
            </w:tcMar>
            <w:vAlign w:val="center"/>
          </w:tcPr>
          <w:p w:rsidR="009E2D14" w:rsidRDefault="009E2D14" w:rsidP="000C569E">
            <w:pPr>
              <w:jc w:val="left"/>
              <w:rPr>
                <w:rFonts w:hint="eastAsia"/>
              </w:rPr>
            </w:pPr>
          </w:p>
        </w:tc>
      </w:tr>
    </w:tbl>
    <w:p w:rsidR="002A7ADD" w:rsidRDefault="000C569E" w:rsidP="002A7ADD">
      <w:pPr>
        <w:rPr>
          <w:rFonts w:hint="eastAsia"/>
        </w:rPr>
      </w:pPr>
      <w:r>
        <w:rPr>
          <w:rFonts w:hint="eastAsia"/>
        </w:rPr>
        <w:t>四元数的共轭，可以用来表示两个坐标系的互换。例如</w:t>
      </w:r>
      <w:r w:rsidR="002A7ADD">
        <w:rPr>
          <w:rFonts w:hint="eastAsia"/>
        </w:rPr>
        <w:t xml:space="preserve"> </w:t>
      </w:r>
      <w:r w:rsidRPr="000C569E">
        <w:rPr>
          <w:position w:val="-12"/>
        </w:rPr>
        <w:object w:dxaOrig="320" w:dyaOrig="380">
          <v:shape id="_x0000_i1025" type="#_x0000_t75" style="width:15.9pt;height:19pt" o:ole="">
            <v:imagedata r:id="rId15" o:title=""/>
          </v:shape>
          <o:OLEObject Type="Embed" ProgID="Equation.DSMT4" ShapeID="_x0000_i1025" DrawAspect="Content" ObjectID="_1598193574" r:id="rId16"/>
        </w:object>
      </w:r>
      <w:r w:rsidR="002A7ADD">
        <w:rPr>
          <w:rFonts w:hint="eastAsia"/>
        </w:rPr>
        <w:t xml:space="preserve"> </w:t>
      </w:r>
      <w:r w:rsidR="002A7ADD">
        <w:rPr>
          <w:rFonts w:hint="eastAsia"/>
        </w:rPr>
        <w:t>是</w:t>
      </w:r>
      <w:r w:rsidR="002A7ADD">
        <w:rPr>
          <w:rFonts w:hint="eastAsia"/>
        </w:rPr>
        <w:t xml:space="preserve"> </w:t>
      </w:r>
      <w:r w:rsidR="002A7ADD" w:rsidRPr="002A7ADD">
        <w:rPr>
          <w:position w:val="-12"/>
        </w:rPr>
        <w:object w:dxaOrig="320" w:dyaOrig="380">
          <v:shape id="_x0000_i1026" type="#_x0000_t75" style="width:15.9pt;height:19pt" o:ole="">
            <v:imagedata r:id="rId17" o:title=""/>
          </v:shape>
          <o:OLEObject Type="Embed" ProgID="Equation.DSMT4" ShapeID="_x0000_i1026" DrawAspect="Content" ObjectID="_1598193575" r:id="rId18"/>
        </w:object>
      </w:r>
      <w:r w:rsidR="002A7ADD">
        <w:rPr>
          <w:rFonts w:hint="eastAsia"/>
        </w:rPr>
        <w:t xml:space="preserve"> </w:t>
      </w:r>
      <w:r w:rsidR="002A7ADD">
        <w:t>的</w:t>
      </w:r>
      <w:r w:rsidR="002A7ADD">
        <w:rPr>
          <w:rFonts w:hint="eastAsia"/>
        </w:rPr>
        <w:t>共轭，表示</w:t>
      </w:r>
      <w:r w:rsidR="002A7ADD">
        <w:rPr>
          <w:rFonts w:hint="eastAsia"/>
        </w:rPr>
        <w:t>A</w:t>
      </w:r>
      <w:r w:rsidR="002A7ADD">
        <w:rPr>
          <w:rFonts w:hint="eastAsia"/>
        </w:rPr>
        <w:t>相对于</w:t>
      </w:r>
      <w:r w:rsidR="002A7ADD">
        <w:rPr>
          <w:rFonts w:hint="eastAsia"/>
        </w:rPr>
        <w:t>B</w:t>
      </w:r>
      <w:r w:rsidR="002A7ADD">
        <w:rPr>
          <w:rFonts w:hint="eastAsia"/>
        </w:rPr>
        <w:t>的转换。共轭四元数如式</w:t>
      </w:r>
      <w:r w:rsidR="009E2D14">
        <w:rPr>
          <w:rFonts w:hint="eastAsia"/>
        </w:rPr>
        <w:t>(1.2)</w:t>
      </w:r>
      <w:r w:rsidR="009E2D14">
        <w:rPr>
          <w:rFonts w:hint="eastAsia"/>
        </w:rPr>
        <w:t>所示</w:t>
      </w:r>
      <w:r w:rsidR="002A7ADD">
        <w:rPr>
          <w:rFonts w:hint="eastAsia"/>
        </w:rPr>
        <w:t>。</w:t>
      </w:r>
    </w:p>
    <w:p w:rsidR="002A7ADD" w:rsidRDefault="002A7ADD" w:rsidP="002A7ADD">
      <w:pPr>
        <w:pStyle w:val="MTDisplayEquation"/>
        <w:rPr>
          <w:rFonts w:hint="eastAsia"/>
        </w:rPr>
      </w:pPr>
      <w:r>
        <w:tab/>
      </w:r>
      <w:r w:rsidRPr="002A7ADD">
        <w:rPr>
          <w:position w:val="-14"/>
        </w:rPr>
        <w:object w:dxaOrig="3240" w:dyaOrig="400">
          <v:shape id="_x0000_i1027" type="#_x0000_t75" style="width:162.1pt;height:19.9pt" o:ole="">
            <v:imagedata r:id="rId19" o:title=""/>
          </v:shape>
          <o:OLEObject Type="Embed" ProgID="Equation.DSMT4" ShapeID="_x0000_i1027" DrawAspect="Content" ObjectID="_1598193576" r:id="rId20"/>
        </w:object>
      </w:r>
      <w:r>
        <w:t xml:space="preserve"> </w:t>
      </w:r>
      <w:r>
        <w:tab/>
      </w:r>
      <w:r w:rsidR="009E2D14">
        <w:fldChar w:fldCharType="begin"/>
      </w:r>
      <w:r w:rsidR="009E2D14">
        <w:instrText xml:space="preserve"> MACROBUTTON MTPlaceRef \* MERGEFORMAT </w:instrText>
      </w:r>
      <w:r w:rsidR="009E2D14">
        <w:fldChar w:fldCharType="begin"/>
      </w:r>
      <w:r w:rsidR="009E2D14">
        <w:instrText xml:space="preserve"> SEQ MTEqn \h \* MERGEFORMAT </w:instrText>
      </w:r>
      <w:r w:rsidR="009E2D14">
        <w:fldChar w:fldCharType="end"/>
      </w:r>
      <w:r w:rsidR="009E2D14">
        <w:instrText>(</w:instrText>
      </w:r>
      <w:fldSimple w:instr=" SEQ MTSec \c \* Arabic \* MERGEFORMAT ">
        <w:r w:rsidR="009E2D14">
          <w:rPr>
            <w:noProof/>
          </w:rPr>
          <w:instrText>1</w:instrText>
        </w:r>
      </w:fldSimple>
      <w:r w:rsidR="009E2D14">
        <w:instrText>.</w:instrText>
      </w:r>
      <w:fldSimple w:instr=" SEQ MTEqn \c \* Arabic \* MERGEFORMAT ">
        <w:r w:rsidR="009E2D14">
          <w:rPr>
            <w:noProof/>
          </w:rPr>
          <w:instrText>2</w:instrText>
        </w:r>
      </w:fldSimple>
      <w:r w:rsidR="009E2D14">
        <w:instrText>)</w:instrText>
      </w:r>
      <w:r w:rsidR="009E2D14">
        <w:fldChar w:fldCharType="end"/>
      </w:r>
    </w:p>
    <w:p w:rsidR="002A7ADD" w:rsidRDefault="006661F8" w:rsidP="002A7ADD">
      <w:pPr>
        <w:rPr>
          <w:rFonts w:hint="eastAsia"/>
        </w:rPr>
      </w:pPr>
      <w:r>
        <w:rPr>
          <w:rFonts w:hint="eastAsia"/>
          <w:noProof/>
        </w:rPr>
      </w:r>
      <w:r>
        <w:pict>
          <v:group id="_x0000_s2051" editas="canvas" style="width:357.5pt;height:211.7pt;mso-position-horizontal-relative:char;mso-position-vertical-relative:line" coordorigin="2361,-1048" coordsize="6198,3670">
            <o:lock v:ext="edit" aspectratio="t"/>
            <v:shape id="_x0000_s2050" type="#_x0000_t75" style="position:absolute;left:2361;top:-1048;width:6198;height:367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52" type="#_x0000_t32" style="position:absolute;left:4702;top:855;width:521;height:626;flip:x" o:connectortype="straight">
              <v:stroke endarrow="block"/>
            </v:shape>
            <v:shape id="_x0000_s2053" type="#_x0000_t32" style="position:absolute;left:5223;top:855;width:1083;height:1" o:connectortype="straight">
              <v:stroke endarrow="block"/>
            </v:shape>
            <v:shape id="_x0000_s2054" type="#_x0000_t32" style="position:absolute;left:5223;top:-209;width:1;height:1064;flip:y" o:connectortype="straight">
              <v:stroke endarrow="block"/>
              <o:extrusion v:ext="view" rotationangle=",-15"/>
            </v:shape>
            <v:shape id="_x0000_s2056" type="#_x0000_t32" style="position:absolute;left:5224;top:441;width:922;height:415;flip:y" o:connectortype="straight">
              <v:stroke endarrow="block"/>
            </v:shape>
            <v:shape id="_x0000_s2057" type="#_x0000_t32" style="position:absolute;left:4749;top:152;width:475;height:704;flip:x y" o:connectortype="straight">
              <v:stroke endarrow="block"/>
            </v:shape>
            <v:shape id="_x0000_s2058" type="#_x0000_t32" style="position:absolute;left:5223;top:855;width:624;height:367" o:connectortype="straight">
              <v:stroke endarrow="block"/>
            </v:shape>
            <w10:wrap type="none"/>
            <w10:anchorlock/>
          </v:group>
        </w:pict>
      </w:r>
    </w:p>
    <w:sectPr w:rsidR="002A7ADD" w:rsidSect="00C36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542" w:rsidRDefault="00E40542" w:rsidP="00240156">
      <w:r>
        <w:separator/>
      </w:r>
    </w:p>
  </w:endnote>
  <w:endnote w:type="continuationSeparator" w:id="1">
    <w:p w:rsidR="00E40542" w:rsidRDefault="00E40542" w:rsidP="002401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542" w:rsidRDefault="00E40542" w:rsidP="00240156">
      <w:r>
        <w:separator/>
      </w:r>
    </w:p>
  </w:footnote>
  <w:footnote w:type="continuationSeparator" w:id="1">
    <w:p w:rsidR="00E40542" w:rsidRDefault="00E40542" w:rsidP="002401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156"/>
    <w:rsid w:val="000C569E"/>
    <w:rsid w:val="00240156"/>
    <w:rsid w:val="002A7ADD"/>
    <w:rsid w:val="003951DB"/>
    <w:rsid w:val="00536C81"/>
    <w:rsid w:val="00595D23"/>
    <w:rsid w:val="005F2642"/>
    <w:rsid w:val="006661F8"/>
    <w:rsid w:val="006B2CEF"/>
    <w:rsid w:val="0085543A"/>
    <w:rsid w:val="009E2D14"/>
    <w:rsid w:val="00B50551"/>
    <w:rsid w:val="00C36DD3"/>
    <w:rsid w:val="00C978D8"/>
    <w:rsid w:val="00E40542"/>
  </w:rsids>
  <m:mathPr>
    <m:mathFont m:val="Cambria Math"/>
    <m:brkBin m:val="before"/>
    <m:brkBinSub m:val="--"/>
    <m:smallFrac m:val="off"/>
    <m:dispDef/>
    <m:lMargin m:val="5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 type="connector" idref="#_x0000_s2052"/>
        <o:r id="V:Rule4" type="connector" idref="#_x0000_s2053"/>
        <o:r id="V:Rule6" type="connector" idref="#_x0000_s2054"/>
        <o:r id="V:Rule10" type="connector" idref="#_x0000_s2056"/>
        <o:r id="V:Rule12" type="connector" idref="#_x0000_s2057"/>
        <o:r id="V:Rule1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DD3"/>
    <w:pPr>
      <w:widowControl w:val="0"/>
      <w:jc w:val="both"/>
    </w:pPr>
  </w:style>
  <w:style w:type="paragraph" w:styleId="1">
    <w:name w:val="heading 1"/>
    <w:basedOn w:val="a"/>
    <w:next w:val="a"/>
    <w:link w:val="1Char"/>
    <w:uiPriority w:val="9"/>
    <w:qFormat/>
    <w:rsid w:val="002401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D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156"/>
    <w:rPr>
      <w:sz w:val="18"/>
      <w:szCs w:val="18"/>
    </w:rPr>
  </w:style>
  <w:style w:type="paragraph" w:styleId="a4">
    <w:name w:val="footer"/>
    <w:basedOn w:val="a"/>
    <w:link w:val="Char0"/>
    <w:uiPriority w:val="99"/>
    <w:semiHidden/>
    <w:unhideWhenUsed/>
    <w:rsid w:val="002401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156"/>
    <w:rPr>
      <w:sz w:val="18"/>
      <w:szCs w:val="18"/>
    </w:rPr>
  </w:style>
  <w:style w:type="character" w:customStyle="1" w:styleId="1Char">
    <w:name w:val="标题 1 Char"/>
    <w:basedOn w:val="a0"/>
    <w:link w:val="1"/>
    <w:uiPriority w:val="9"/>
    <w:rsid w:val="00240156"/>
    <w:rPr>
      <w:b/>
      <w:bCs/>
      <w:kern w:val="44"/>
      <w:sz w:val="44"/>
      <w:szCs w:val="44"/>
    </w:rPr>
  </w:style>
  <w:style w:type="character" w:customStyle="1" w:styleId="2Char">
    <w:name w:val="标题 2 Char"/>
    <w:basedOn w:val="a0"/>
    <w:link w:val="2"/>
    <w:uiPriority w:val="9"/>
    <w:rsid w:val="00595D23"/>
    <w:rPr>
      <w:rFonts w:asciiTheme="majorHAnsi" w:eastAsiaTheme="majorEastAsia" w:hAnsiTheme="majorHAnsi" w:cstheme="majorBidi"/>
      <w:b/>
      <w:bCs/>
      <w:sz w:val="32"/>
      <w:szCs w:val="32"/>
    </w:rPr>
  </w:style>
  <w:style w:type="character" w:styleId="a5">
    <w:name w:val="Placeholder Text"/>
    <w:basedOn w:val="a0"/>
    <w:uiPriority w:val="99"/>
    <w:semiHidden/>
    <w:rsid w:val="00595D23"/>
    <w:rPr>
      <w:color w:val="808080"/>
    </w:rPr>
  </w:style>
  <w:style w:type="paragraph" w:styleId="a6">
    <w:name w:val="Balloon Text"/>
    <w:basedOn w:val="a"/>
    <w:link w:val="Char1"/>
    <w:uiPriority w:val="99"/>
    <w:semiHidden/>
    <w:unhideWhenUsed/>
    <w:rsid w:val="00595D23"/>
    <w:rPr>
      <w:sz w:val="18"/>
      <w:szCs w:val="18"/>
    </w:rPr>
  </w:style>
  <w:style w:type="character" w:customStyle="1" w:styleId="Char1">
    <w:name w:val="批注框文本 Char"/>
    <w:basedOn w:val="a0"/>
    <w:link w:val="a6"/>
    <w:uiPriority w:val="99"/>
    <w:semiHidden/>
    <w:rsid w:val="00595D23"/>
    <w:rPr>
      <w:sz w:val="18"/>
      <w:szCs w:val="18"/>
    </w:rPr>
  </w:style>
  <w:style w:type="paragraph" w:customStyle="1" w:styleId="MTDisplayEquation">
    <w:name w:val="MTDisplayEquation"/>
    <w:basedOn w:val="a"/>
    <w:next w:val="a"/>
    <w:link w:val="MTDisplayEquationChar"/>
    <w:rsid w:val="000C569E"/>
    <w:pPr>
      <w:tabs>
        <w:tab w:val="center" w:pos="4160"/>
        <w:tab w:val="right" w:pos="8300"/>
      </w:tabs>
    </w:pPr>
  </w:style>
  <w:style w:type="character" w:customStyle="1" w:styleId="MTDisplayEquationChar">
    <w:name w:val="MTDisplayEquation Char"/>
    <w:basedOn w:val="a0"/>
    <w:link w:val="MTDisplayEquation"/>
    <w:rsid w:val="000C569E"/>
  </w:style>
  <w:style w:type="character" w:customStyle="1" w:styleId="MTEquationSection">
    <w:name w:val="MTEquationSection"/>
    <w:basedOn w:val="a0"/>
    <w:rsid w:val="000C569E"/>
    <w:rPr>
      <w:vanish/>
      <w:color w:val="FF0000"/>
    </w:rPr>
  </w:style>
  <w:style w:type="table" w:customStyle="1" w:styleId="MTEBNumberedEquation">
    <w:name w:val="MTEBNumberedEquation"/>
    <w:basedOn w:val="a1"/>
    <w:rsid w:val="000C569E"/>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7">
    <w:name w:val="Table Grid"/>
    <w:basedOn w:val="a1"/>
    <w:uiPriority w:val="59"/>
    <w:rsid w:val="000C56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769A0-DE98-4453-8009-116C191D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Chaohua Zhao</dc:creator>
  <cp:keywords/>
  <dc:description/>
  <cp:lastModifiedBy>Chaohua Zhao</cp:lastModifiedBy>
  <cp:revision>4</cp:revision>
  <dcterms:created xsi:type="dcterms:W3CDTF">2018-09-11T06:52:00Z</dcterms:created>
  <dcterms:modified xsi:type="dcterms:W3CDTF">2018-09-11T09:52:00Z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MTEqnNumsOnRight">
    <vt:bool>true</vt:bool>
  </property>
</Properties>
</file>