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14078" w:rsidRDefault="00F14078">
      <w:pPr>
        <w:rPr>
          <w:b/>
        </w:rPr>
      </w:pPr>
    </w:p>
    <w:p w14:paraId="00000002" w14:textId="77777777" w:rsidR="00F14078" w:rsidRDefault="00000000">
      <w:pPr>
        <w:rPr>
          <w:b/>
        </w:rPr>
      </w:pPr>
      <w:r>
        <w:rPr>
          <w:b/>
        </w:rPr>
        <w:t xml:space="preserve">                    Government's policy on solid waste management</w:t>
      </w:r>
    </w:p>
    <w:p w14:paraId="00000003" w14:textId="77777777" w:rsidR="00F14078" w:rsidRDefault="00F14078">
      <w:pPr>
        <w:rPr>
          <w:b/>
        </w:rPr>
      </w:pPr>
    </w:p>
    <w:p w14:paraId="00000004" w14:textId="77777777" w:rsidR="00F14078" w:rsidRDefault="00000000">
      <w:r>
        <w:t xml:space="preserve">         Governments worldwide implement various policies to address the challenge of solid waste management, aiming to promote sustainable practices and minimize environmental impact</w:t>
      </w:r>
    </w:p>
    <w:p w14:paraId="00000005" w14:textId="77777777" w:rsidR="00F14078" w:rsidRDefault="00F14078"/>
    <w:p w14:paraId="00000006" w14:textId="77777777" w:rsidR="00F14078" w:rsidRDefault="00F14078"/>
    <w:p w14:paraId="00000007" w14:textId="77777777" w:rsidR="00F14078" w:rsidRDefault="00F14078">
      <w:pPr>
        <w:rPr>
          <w:b/>
        </w:rPr>
      </w:pPr>
    </w:p>
    <w:p w14:paraId="00000008" w14:textId="77777777" w:rsidR="00F14078" w:rsidRDefault="00000000">
      <w:pPr>
        <w:rPr>
          <w:b/>
        </w:rPr>
      </w:pPr>
      <w:r>
        <w:rPr>
          <w:b/>
        </w:rPr>
        <w:t xml:space="preserve">Waste reduction </w:t>
      </w:r>
    </w:p>
    <w:p w14:paraId="00000009" w14:textId="77777777" w:rsidR="00F14078" w:rsidRDefault="00F14078"/>
    <w:p w14:paraId="0000000A" w14:textId="77777777" w:rsidR="00F14078" w:rsidRDefault="00000000">
      <w:pPr>
        <w:numPr>
          <w:ilvl w:val="0"/>
          <w:numId w:val="10"/>
        </w:numPr>
      </w:pPr>
      <w:r>
        <w:t xml:space="preserve"> This involves minimizing the amount of waste generated in the first place. Governments promote waste reduction through measures like:</w:t>
      </w:r>
    </w:p>
    <w:p w14:paraId="0000000B" w14:textId="77777777" w:rsidR="00F14078" w:rsidRDefault="00F14078"/>
    <w:p w14:paraId="0000000C" w14:textId="77777777" w:rsidR="00F14078" w:rsidRDefault="00000000">
      <w:r>
        <w:t>-  Product Design</w:t>
      </w:r>
    </w:p>
    <w:p w14:paraId="0000000D" w14:textId="77777777" w:rsidR="00F14078" w:rsidRDefault="00000000">
      <w:r>
        <w:t>- Consumer Education</w:t>
      </w:r>
    </w:p>
    <w:p w14:paraId="0000000E" w14:textId="77777777" w:rsidR="00F14078" w:rsidRDefault="00000000">
      <w:r>
        <w:t>- Incentives</w:t>
      </w:r>
    </w:p>
    <w:p w14:paraId="0000000F" w14:textId="77777777" w:rsidR="00F14078" w:rsidRDefault="00F14078"/>
    <w:p w14:paraId="00000010" w14:textId="77777777" w:rsidR="00F14078" w:rsidRDefault="00000000">
      <w:pPr>
        <w:rPr>
          <w:b/>
        </w:rPr>
      </w:pPr>
      <w:r>
        <w:rPr>
          <w:b/>
        </w:rPr>
        <w:t>Reuse</w:t>
      </w:r>
    </w:p>
    <w:p w14:paraId="00000011" w14:textId="77777777" w:rsidR="00F14078" w:rsidRDefault="00F14078">
      <w:pPr>
        <w:rPr>
          <w:b/>
        </w:rPr>
      </w:pPr>
    </w:p>
    <w:p w14:paraId="00000012" w14:textId="77777777" w:rsidR="00F14078" w:rsidRDefault="00000000">
      <w:pPr>
        <w:numPr>
          <w:ilvl w:val="0"/>
          <w:numId w:val="1"/>
        </w:numPr>
      </w:pPr>
      <w:r>
        <w:t>This involves finding new uses for existing products or materials, extending their lifespan and reducing the need for new production. Governments support reuse through:</w:t>
      </w:r>
    </w:p>
    <w:p w14:paraId="00000013" w14:textId="77777777" w:rsidR="00F14078" w:rsidRDefault="00F14078"/>
    <w:p w14:paraId="00000014" w14:textId="77777777" w:rsidR="00F14078" w:rsidRDefault="00000000">
      <w:r>
        <w:t xml:space="preserve"> -Promoting Repair and Refurbishment</w:t>
      </w:r>
    </w:p>
    <w:p w14:paraId="00000015" w14:textId="77777777" w:rsidR="00F14078" w:rsidRDefault="00000000">
      <w:r>
        <w:t>-Supporting Second-Hand Markets</w:t>
      </w:r>
    </w:p>
    <w:p w14:paraId="00000016" w14:textId="77777777" w:rsidR="00F14078" w:rsidRDefault="00000000">
      <w:r>
        <w:t>-Promoting Sharing Economies</w:t>
      </w:r>
    </w:p>
    <w:p w14:paraId="00000017" w14:textId="77777777" w:rsidR="00F14078" w:rsidRDefault="00F14078"/>
    <w:p w14:paraId="00000018" w14:textId="77777777" w:rsidR="00F14078" w:rsidRDefault="00000000">
      <w:pPr>
        <w:rPr>
          <w:b/>
        </w:rPr>
      </w:pPr>
      <w:r>
        <w:rPr>
          <w:b/>
        </w:rPr>
        <w:t xml:space="preserve">Recycling </w:t>
      </w:r>
    </w:p>
    <w:p w14:paraId="00000019" w14:textId="77777777" w:rsidR="00F14078" w:rsidRDefault="00F14078">
      <w:pPr>
        <w:rPr>
          <w:b/>
        </w:rPr>
      </w:pPr>
    </w:p>
    <w:p w14:paraId="0000001A" w14:textId="77777777" w:rsidR="00F14078" w:rsidRDefault="00000000">
      <w:pPr>
        <w:numPr>
          <w:ilvl w:val="0"/>
          <w:numId w:val="8"/>
        </w:numPr>
      </w:pPr>
      <w:r>
        <w:t>This involves processing used materials into new products, conserving resources and reducing pollution. Governments promote recycling through:</w:t>
      </w:r>
    </w:p>
    <w:p w14:paraId="0000001B" w14:textId="77777777" w:rsidR="00F14078" w:rsidRDefault="00F14078"/>
    <w:p w14:paraId="0000001C" w14:textId="77777777" w:rsidR="00F14078" w:rsidRDefault="00000000">
      <w:r>
        <w:t xml:space="preserve"> -Mandating Source Separation</w:t>
      </w:r>
    </w:p>
    <w:p w14:paraId="0000001D" w14:textId="77777777" w:rsidR="00F14078" w:rsidRDefault="00000000">
      <w:r>
        <w:t>-Establishing Recycling Targets</w:t>
      </w:r>
    </w:p>
    <w:p w14:paraId="0000001E" w14:textId="77777777" w:rsidR="00F14078" w:rsidRDefault="00000000">
      <w:r>
        <w:t>-Developing Recycling Infrastructure</w:t>
      </w:r>
    </w:p>
    <w:p w14:paraId="0000001F" w14:textId="77777777" w:rsidR="00F14078" w:rsidRDefault="00F14078"/>
    <w:p w14:paraId="00000020" w14:textId="77777777" w:rsidR="00F14078" w:rsidRDefault="00000000">
      <w:pPr>
        <w:rPr>
          <w:b/>
        </w:rPr>
      </w:pPr>
      <w:r>
        <w:rPr>
          <w:b/>
        </w:rPr>
        <w:t>Recovery</w:t>
      </w:r>
    </w:p>
    <w:p w14:paraId="00000021" w14:textId="77777777" w:rsidR="00F14078" w:rsidRDefault="00F14078">
      <w:pPr>
        <w:rPr>
          <w:b/>
        </w:rPr>
      </w:pPr>
    </w:p>
    <w:p w14:paraId="00000022" w14:textId="77777777" w:rsidR="00F14078" w:rsidRDefault="00000000">
      <w:pPr>
        <w:numPr>
          <w:ilvl w:val="0"/>
          <w:numId w:val="9"/>
        </w:numPr>
      </w:pPr>
      <w:r>
        <w:t>This involves extracting valuable resources or energy from waste materials. Governments promote recovery through:</w:t>
      </w:r>
    </w:p>
    <w:p w14:paraId="00000023" w14:textId="77777777" w:rsidR="00F14078" w:rsidRDefault="00F14078"/>
    <w:p w14:paraId="00000024" w14:textId="77777777" w:rsidR="00F14078" w:rsidRDefault="00000000">
      <w:r>
        <w:t>-Composting</w:t>
      </w:r>
    </w:p>
    <w:p w14:paraId="00000025" w14:textId="77777777" w:rsidR="00F14078" w:rsidRDefault="00000000">
      <w:r>
        <w:t>-Anaerobic Digestion</w:t>
      </w:r>
    </w:p>
    <w:p w14:paraId="00000026" w14:textId="77777777" w:rsidR="00F14078" w:rsidRDefault="00000000">
      <w:r>
        <w:t>-Waste-to-Energy</w:t>
      </w:r>
    </w:p>
    <w:p w14:paraId="00000027" w14:textId="77777777" w:rsidR="00F14078" w:rsidRDefault="00F14078"/>
    <w:p w14:paraId="00000028" w14:textId="77777777" w:rsidR="00F14078" w:rsidRDefault="00F14078"/>
    <w:p w14:paraId="00000029" w14:textId="77777777" w:rsidR="00F14078" w:rsidRDefault="00F14078">
      <w:pPr>
        <w:rPr>
          <w:b/>
        </w:rPr>
      </w:pPr>
    </w:p>
    <w:p w14:paraId="0000002A" w14:textId="77777777" w:rsidR="00F14078" w:rsidRDefault="00000000">
      <w:pPr>
        <w:rPr>
          <w:b/>
        </w:rPr>
      </w:pPr>
      <w:r>
        <w:rPr>
          <w:b/>
        </w:rPr>
        <w:t>Disposal</w:t>
      </w:r>
    </w:p>
    <w:p w14:paraId="0000002B" w14:textId="77777777" w:rsidR="00F14078" w:rsidRDefault="00000000">
      <w:r>
        <w:t xml:space="preserve">    </w:t>
      </w:r>
    </w:p>
    <w:p w14:paraId="0000002C" w14:textId="77777777" w:rsidR="00F14078" w:rsidRDefault="00000000">
      <w:pPr>
        <w:numPr>
          <w:ilvl w:val="0"/>
          <w:numId w:val="2"/>
        </w:numPr>
      </w:pPr>
      <w:r>
        <w:t>This involves the final disposal of waste materials that cannot be reduced, reused, recycled, or recovered. Governments regulate disposal through:</w:t>
      </w:r>
    </w:p>
    <w:p w14:paraId="0000002D" w14:textId="77777777" w:rsidR="00F14078" w:rsidRDefault="00F14078"/>
    <w:p w14:paraId="0000002E" w14:textId="77777777" w:rsidR="00F14078" w:rsidRDefault="00000000">
      <w:r>
        <w:t>-Landfill Management</w:t>
      </w:r>
    </w:p>
    <w:p w14:paraId="0000002F" w14:textId="77777777" w:rsidR="00F14078" w:rsidRDefault="00000000">
      <w:r>
        <w:t>-Hazardous Waste Management</w:t>
      </w:r>
    </w:p>
    <w:p w14:paraId="00000030" w14:textId="77777777" w:rsidR="00F14078" w:rsidRDefault="00000000">
      <w:r>
        <w:t>-Incineration</w:t>
      </w:r>
    </w:p>
    <w:p w14:paraId="00000031" w14:textId="77777777" w:rsidR="00F14078" w:rsidRDefault="00F14078"/>
    <w:p w14:paraId="00000032" w14:textId="77777777" w:rsidR="00F14078" w:rsidRDefault="00000000">
      <w:pPr>
        <w:rPr>
          <w:b/>
        </w:rPr>
      </w:pPr>
      <w:r>
        <w:rPr>
          <w:b/>
        </w:rPr>
        <w:t>Extended Producer Responsibility (EPR)</w:t>
      </w:r>
    </w:p>
    <w:p w14:paraId="00000033" w14:textId="77777777" w:rsidR="00F14078" w:rsidRDefault="00000000">
      <w:r>
        <w:t xml:space="preserve"> </w:t>
      </w:r>
    </w:p>
    <w:p w14:paraId="00000034" w14:textId="77777777" w:rsidR="00F14078" w:rsidRDefault="00000000">
      <w:pPr>
        <w:numPr>
          <w:ilvl w:val="0"/>
          <w:numId w:val="7"/>
        </w:numPr>
      </w:pPr>
      <w:r>
        <w:t xml:space="preserve"> Holding producers responsible for the end-of-life management of their products, encouraging them to design for recyclability and to take back their products for recycling or disposal. </w:t>
      </w:r>
    </w:p>
    <w:p w14:paraId="00000035" w14:textId="77777777" w:rsidR="00F14078" w:rsidRDefault="00F14078">
      <w:pPr>
        <w:ind w:left="720"/>
        <w:rPr>
          <w:b/>
        </w:rPr>
      </w:pPr>
    </w:p>
    <w:p w14:paraId="00000036" w14:textId="77777777" w:rsidR="00F14078" w:rsidRDefault="00000000">
      <w:pPr>
        <w:rPr>
          <w:b/>
        </w:rPr>
      </w:pPr>
      <w:r>
        <w:rPr>
          <w:b/>
        </w:rPr>
        <w:t>Pay-As-You-Throw (PAYT)</w:t>
      </w:r>
    </w:p>
    <w:p w14:paraId="00000037" w14:textId="77777777" w:rsidR="00F14078" w:rsidRDefault="00F14078">
      <w:pPr>
        <w:rPr>
          <w:b/>
        </w:rPr>
      </w:pPr>
    </w:p>
    <w:p w14:paraId="00000038" w14:textId="77777777" w:rsidR="00F14078" w:rsidRDefault="00000000">
      <w:pPr>
        <w:numPr>
          <w:ilvl w:val="0"/>
          <w:numId w:val="5"/>
        </w:numPr>
      </w:pPr>
      <w:r>
        <w:t xml:space="preserve"> Charging residents based on the amount of waste they generate, incentivizing waste reduction and recycling.</w:t>
      </w:r>
    </w:p>
    <w:p w14:paraId="00000039" w14:textId="77777777" w:rsidR="00F14078" w:rsidRDefault="00F14078">
      <w:pPr>
        <w:ind w:left="720"/>
      </w:pPr>
    </w:p>
    <w:p w14:paraId="0000003A" w14:textId="77777777" w:rsidR="00F14078" w:rsidRDefault="00000000">
      <w:pPr>
        <w:rPr>
          <w:b/>
        </w:rPr>
      </w:pPr>
      <w:r>
        <w:rPr>
          <w:b/>
        </w:rPr>
        <w:t>Waste Collection and Disposal Regulations</w:t>
      </w:r>
    </w:p>
    <w:p w14:paraId="0000003B" w14:textId="77777777" w:rsidR="00F14078" w:rsidRDefault="00F14078"/>
    <w:p w14:paraId="0000003C" w14:textId="77777777" w:rsidR="00F14078" w:rsidRDefault="00000000">
      <w:pPr>
        <w:numPr>
          <w:ilvl w:val="0"/>
          <w:numId w:val="4"/>
        </w:numPr>
      </w:pPr>
      <w:r>
        <w:t>Establishing regulations for waste collection, transportation, and disposal, ensuring proper handling and minimizing environmental risks.</w:t>
      </w:r>
    </w:p>
    <w:p w14:paraId="0000003D" w14:textId="77777777" w:rsidR="00F14078" w:rsidRDefault="00F14078"/>
    <w:p w14:paraId="0000003E" w14:textId="77777777" w:rsidR="00F14078" w:rsidRDefault="00000000">
      <w:pPr>
        <w:rPr>
          <w:b/>
        </w:rPr>
      </w:pPr>
      <w:r>
        <w:rPr>
          <w:b/>
        </w:rPr>
        <w:t>Public-Private Partnerships</w:t>
      </w:r>
    </w:p>
    <w:p w14:paraId="0000003F" w14:textId="77777777" w:rsidR="00F14078" w:rsidRDefault="00F14078">
      <w:pPr>
        <w:rPr>
          <w:b/>
        </w:rPr>
      </w:pPr>
    </w:p>
    <w:p w14:paraId="00000040" w14:textId="77777777" w:rsidR="00F14078" w:rsidRDefault="00000000">
      <w:pPr>
        <w:numPr>
          <w:ilvl w:val="0"/>
          <w:numId w:val="3"/>
        </w:numPr>
      </w:pPr>
      <w:r>
        <w:t>Encouraging collaboration between government agencies and private companies to develop innovative solutions for waste management.</w:t>
      </w:r>
    </w:p>
    <w:p w14:paraId="00000041" w14:textId="77777777" w:rsidR="00F14078" w:rsidRDefault="00F14078"/>
    <w:p w14:paraId="00000042" w14:textId="77777777" w:rsidR="00F14078" w:rsidRDefault="00F14078"/>
    <w:p w14:paraId="00000043" w14:textId="77777777" w:rsidR="00F14078" w:rsidRDefault="00F14078"/>
    <w:p w14:paraId="00000044" w14:textId="77777777" w:rsidR="00F14078" w:rsidRDefault="00000000">
      <w:pPr>
        <w:rPr>
          <w:b/>
        </w:rPr>
      </w:pPr>
      <w:r>
        <w:rPr>
          <w:b/>
        </w:rPr>
        <w:t>What is the waste management Act of the Philippines?</w:t>
      </w:r>
    </w:p>
    <w:p w14:paraId="00000045" w14:textId="77777777" w:rsidR="00F14078" w:rsidRDefault="00F14078">
      <w:pPr>
        <w:rPr>
          <w:b/>
        </w:rPr>
      </w:pPr>
    </w:p>
    <w:p w14:paraId="00000046" w14:textId="77777777" w:rsidR="00F14078" w:rsidRDefault="00000000">
      <w:pPr>
        <w:rPr>
          <w:b/>
          <w:color w:val="FF0000"/>
        </w:rPr>
      </w:pPr>
      <w:r>
        <w:rPr>
          <w:b/>
        </w:rPr>
        <w:t xml:space="preserve">          </w:t>
      </w:r>
      <w:r>
        <w:rPr>
          <w:b/>
          <w:color w:val="FF0000"/>
        </w:rPr>
        <w:t>Ecological Solid Waste Management Act No. 9003 of 2000</w:t>
      </w:r>
    </w:p>
    <w:p w14:paraId="00000047" w14:textId="77777777" w:rsidR="00F14078" w:rsidRDefault="00F14078">
      <w:pPr>
        <w:rPr>
          <w:b/>
        </w:rPr>
      </w:pPr>
    </w:p>
    <w:p w14:paraId="00000048" w14:textId="77777777" w:rsidR="00F14078" w:rsidRDefault="00000000">
      <w:pPr>
        <w:numPr>
          <w:ilvl w:val="0"/>
          <w:numId w:val="6"/>
        </w:numPr>
      </w:pPr>
      <w:r>
        <w:t>Act providing for an Ecological Solid Waste Management Program, creating the necessary Institutional Mechanisms and Incentives, declaring certain Acts prohibited and providing Penalties, appropriating funds therefore, and for other purposes.</w:t>
      </w:r>
    </w:p>
    <w:p w14:paraId="7D5E9814" w14:textId="77777777" w:rsidR="00BC7AB7" w:rsidRDefault="00BC7AB7" w:rsidP="00BC7AB7"/>
    <w:p w14:paraId="7B857371" w14:textId="77777777" w:rsidR="00BC7AB7" w:rsidRDefault="00BC7AB7" w:rsidP="00BC7AB7"/>
    <w:p w14:paraId="324D2DBF" w14:textId="77777777" w:rsidR="00BC7AB7" w:rsidRPr="00FB3F1D" w:rsidRDefault="00BC7AB7" w:rsidP="00BC7AB7">
      <w:pPr>
        <w:rPr>
          <w:b/>
          <w:bCs/>
        </w:rPr>
      </w:pPr>
    </w:p>
    <w:p w14:paraId="2CA5EFFA" w14:textId="50D877EA" w:rsidR="00BC7AB7" w:rsidRDefault="00FB3F1D" w:rsidP="00BC7AB7">
      <w:pPr>
        <w:rPr>
          <w:b/>
          <w:bCs/>
        </w:rPr>
      </w:pPr>
      <w:r w:rsidRPr="00FB3F1D">
        <w:rPr>
          <w:b/>
          <w:bCs/>
        </w:rPr>
        <w:t>Sources:</w:t>
      </w:r>
    </w:p>
    <w:p w14:paraId="2CE06D9F" w14:textId="77777777" w:rsidR="00FB3F1D" w:rsidRDefault="00FB3F1D" w:rsidP="009A199C">
      <w:pPr>
        <w:spacing w:line="240" w:lineRule="auto"/>
      </w:pPr>
    </w:p>
    <w:p w14:paraId="5BF2DE94" w14:textId="57AAD165" w:rsidR="00FB3F1D" w:rsidRPr="00B23950" w:rsidRDefault="00FB3F1D" w:rsidP="00B23950">
      <w:pPr>
        <w:spacing w:line="240" w:lineRule="auto"/>
        <w:ind w:left="720"/>
        <w:jc w:val="both"/>
      </w:pPr>
      <w:r w:rsidRPr="00FB3F1D">
        <w:t xml:space="preserve">On September 16, 2024, the Environmental Protection Agency (EPA) announced three new funding opportunities totaling approximately $117 million to improve recycling infrastructure and consumer education and outreach on wasted food prevention and </w:t>
      </w:r>
      <w:proofErr w:type="gramStart"/>
      <w:r w:rsidRPr="00B23950">
        <w:t>composting .</w:t>
      </w:r>
      <w:proofErr w:type="gramEnd"/>
      <w:r w:rsidRPr="00FB3F1D">
        <w:t xml:space="preserve"> These funding opportunities are part of the EPA's efforts to promote a circular economy, which aims to reduce material use, redesign materials to be less resource-intensive, and recapture "waste" as a resource to manufacture new materials and products.</w:t>
      </w:r>
      <w:hyperlink r:id="rId7" w:history="1">
        <w:r w:rsidR="00B23950" w:rsidRPr="00FE01A2">
          <w:rPr>
            <w:rStyle w:val="Hyperlink"/>
            <w:rFonts w:ascii="Times New Roman" w:eastAsia="Times New Roman" w:hAnsi="Times New Roman" w:cs="Times New Roman"/>
            <w:sz w:val="24"/>
            <w:szCs w:val="24"/>
          </w:rPr>
          <w:t>www.epa.gov/recycle</w:t>
        </w:r>
      </w:hyperlink>
    </w:p>
    <w:p w14:paraId="42B3384C" w14:textId="77777777" w:rsidR="00FB3F1D" w:rsidRDefault="00FB3F1D" w:rsidP="009A199C">
      <w:pPr>
        <w:spacing w:line="240" w:lineRule="auto"/>
        <w:ind w:left="720"/>
        <w:jc w:val="both"/>
        <w:rPr>
          <w:rFonts w:ascii="Times New Roman" w:eastAsia="Times New Roman" w:hAnsi="Times New Roman" w:cs="Times New Roman"/>
          <w:color w:val="1155CC"/>
          <w:sz w:val="24"/>
          <w:szCs w:val="24"/>
          <w:u w:val="single"/>
        </w:rPr>
      </w:pPr>
    </w:p>
    <w:p w14:paraId="0450DFB6" w14:textId="77777777" w:rsidR="00FB3F1D" w:rsidRDefault="00FB3F1D" w:rsidP="009A199C">
      <w:pPr>
        <w:spacing w:line="240" w:lineRule="auto"/>
        <w:ind w:left="720"/>
        <w:jc w:val="both"/>
        <w:rPr>
          <w:rFonts w:ascii="Times New Roman" w:eastAsia="Times New Roman" w:hAnsi="Times New Roman" w:cs="Times New Roman"/>
          <w:color w:val="1155CC"/>
          <w:sz w:val="24"/>
          <w:szCs w:val="24"/>
          <w:u w:val="single"/>
        </w:rPr>
      </w:pPr>
    </w:p>
    <w:p w14:paraId="5F45B5F6" w14:textId="68245EBE" w:rsidR="00FB3F1D" w:rsidRDefault="00FB3F1D" w:rsidP="009A199C">
      <w:pPr>
        <w:spacing w:line="240" w:lineRule="auto"/>
        <w:ind w:left="720"/>
        <w:jc w:val="both"/>
        <w:rPr>
          <w:rFonts w:ascii="Times New Roman" w:eastAsia="Times New Roman" w:hAnsi="Times New Roman" w:cs="Times New Roman"/>
          <w:color w:val="1155CC"/>
          <w:sz w:val="24"/>
          <w:szCs w:val="24"/>
          <w:u w:val="single"/>
        </w:rPr>
      </w:pPr>
      <w:r w:rsidRPr="00FB3F1D">
        <w:t xml:space="preserve">[REPUBLIC ACT NO. 9003] AN ACT PROVIDING FOR AN ECOLOGICAL SOLID WASTE MANAGEMENT PROGRAM, CREATING THE NECESSARY INSTITUTIONAL MECHANISMS AND INCENTIVES, DECLARING CERTAIN ACTS PROHIBITED AND PROVIDING PENALTIES, APPROPRIATING FUNDS THEREFOR, AND FOR OTHER </w:t>
      </w:r>
      <w:proofErr w:type="spellStart"/>
      <w:r w:rsidRPr="00FB3F1D">
        <w:t>PURPOSES.Republic</w:t>
      </w:r>
      <w:proofErr w:type="spellEnd"/>
      <w:r w:rsidRPr="00FB3F1D">
        <w:t xml:space="preserve"> Act No. 9003, also known as the Ecological Solid Waste Management Act of 2000, is a landmark Philippine law designed to address the country's growing solid waste problem. The act aims to create a comprehensive and ecological solid waste management program by establishing institutional mechanisms, providing incentives, prohibiting certain acts, and imposing penalties.</w:t>
      </w:r>
      <w:r w:rsidRPr="00FB3F1D">
        <w:t xml:space="preserve"> </w:t>
      </w:r>
      <w:hyperlink r:id="rId8">
        <w:r>
          <w:rPr>
            <w:rFonts w:ascii="Times New Roman" w:eastAsia="Times New Roman" w:hAnsi="Times New Roman" w:cs="Times New Roman"/>
            <w:color w:val="1155CC"/>
            <w:sz w:val="24"/>
            <w:szCs w:val="24"/>
            <w:u w:val="single"/>
          </w:rPr>
          <w:t>www.officialgazette.gov.ph/2001/01/26/republic-act-no-9003/</w:t>
        </w:r>
      </w:hyperlink>
    </w:p>
    <w:p w14:paraId="23F4B066" w14:textId="77777777" w:rsidR="00FB3F1D" w:rsidRDefault="00FB3F1D" w:rsidP="009A199C">
      <w:pPr>
        <w:spacing w:line="240" w:lineRule="auto"/>
        <w:ind w:left="720"/>
        <w:jc w:val="both"/>
      </w:pPr>
    </w:p>
    <w:p w14:paraId="5184B83E" w14:textId="77777777" w:rsidR="00FB3F1D" w:rsidRDefault="00FB3F1D" w:rsidP="009A199C">
      <w:pPr>
        <w:spacing w:line="240" w:lineRule="auto"/>
        <w:ind w:left="720"/>
        <w:jc w:val="both"/>
      </w:pPr>
    </w:p>
    <w:p w14:paraId="425E0E3E" w14:textId="77777777" w:rsidR="00FB3F1D" w:rsidRDefault="00FB3F1D" w:rsidP="009A199C">
      <w:pPr>
        <w:spacing w:line="240" w:lineRule="auto"/>
        <w:ind w:left="720"/>
        <w:jc w:val="both"/>
      </w:pPr>
    </w:p>
    <w:p w14:paraId="0319AFFA" w14:textId="1E7FF504" w:rsidR="00FB3F1D" w:rsidRDefault="00FB3F1D" w:rsidP="009A199C">
      <w:pPr>
        <w:spacing w:line="240" w:lineRule="auto"/>
        <w:ind w:left="720"/>
        <w:jc w:val="both"/>
        <w:rPr>
          <w:color w:val="1F497D" w:themeColor="text2"/>
        </w:rPr>
      </w:pPr>
      <w:r w:rsidRPr="00FB3F1D">
        <w:t>In 1995, the Amendment to the Basel Convention (“the Ban Ame</w:t>
      </w:r>
      <w:r>
        <w:tab/>
      </w:r>
      <w:proofErr w:type="spellStart"/>
      <w:r w:rsidRPr="00FB3F1D">
        <w:t>ndment</w:t>
      </w:r>
      <w:proofErr w:type="spellEnd"/>
      <w:r w:rsidRPr="00FB3F1D">
        <w:t>”) was adopted by decision III/1 of the third meeting of the Conference of the Parties. The Ban Amendment provides for the prohibition by each Party included in the proposed new Annex VII to the Convention (Parties and other States which are members of the OECD, EC, Liechtenstein)</w:t>
      </w:r>
      <w:hyperlink r:id="rId9" w:history="1">
        <w:r w:rsidRPr="00FE01A2">
          <w:rPr>
            <w:rStyle w:val="Hyperlink"/>
          </w:rPr>
          <w:t>www.basel.int/TheConvention/Overview/TextoftheConvention/tabid/1275/Default.aspx</w:t>
        </w:r>
      </w:hyperlink>
    </w:p>
    <w:p w14:paraId="10E6E91D" w14:textId="77777777" w:rsidR="00FB3F1D" w:rsidRDefault="00FB3F1D" w:rsidP="009A199C">
      <w:pPr>
        <w:spacing w:line="240" w:lineRule="auto"/>
        <w:ind w:left="720"/>
        <w:jc w:val="both"/>
        <w:rPr>
          <w:color w:val="1F497D" w:themeColor="text2"/>
        </w:rPr>
      </w:pPr>
    </w:p>
    <w:p w14:paraId="1A14C13C" w14:textId="77777777" w:rsidR="009A199C" w:rsidRDefault="009A199C" w:rsidP="009A199C">
      <w:pPr>
        <w:spacing w:line="240" w:lineRule="auto"/>
        <w:ind w:left="720"/>
        <w:jc w:val="both"/>
        <w:rPr>
          <w:color w:val="1F497D" w:themeColor="text2"/>
        </w:rPr>
      </w:pPr>
    </w:p>
    <w:p w14:paraId="09E1B177" w14:textId="15A42EF8" w:rsidR="00FB3F1D" w:rsidRPr="00FB3F1D" w:rsidRDefault="00FB3F1D" w:rsidP="009A199C">
      <w:pPr>
        <w:spacing w:line="240" w:lineRule="auto"/>
        <w:ind w:left="720"/>
        <w:jc w:val="both"/>
        <w:rPr>
          <w:color w:val="1F497D" w:themeColor="text2"/>
        </w:rPr>
      </w:pPr>
      <w:r w:rsidRPr="00FB3F1D">
        <w:t>The Philippines has endeavored to improve its management of solid waste through the passage of RA 9003 or the Ecological Solid Waste Management Act that provides for a systematic, comprehensive and ecological waste management program to ensure the protection of public health and the environment. </w:t>
      </w:r>
      <w:hyperlink r:id="rId10" w:history="1">
        <w:r w:rsidRPr="00FE01A2">
          <w:rPr>
            <w:rStyle w:val="Hyperlink"/>
          </w:rPr>
          <w:t>https://denr.gov.ph/priority-program/solid-waste-management-program/</w:t>
        </w:r>
      </w:hyperlink>
      <w:r>
        <w:rPr>
          <w:color w:val="1F497D" w:themeColor="text2"/>
        </w:rPr>
        <w:tab/>
      </w:r>
    </w:p>
    <w:sectPr w:rsidR="00FB3F1D" w:rsidRPr="00FB3F1D">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A98233" w14:textId="77777777" w:rsidR="00C3284F" w:rsidRDefault="00C3284F">
      <w:pPr>
        <w:spacing w:line="240" w:lineRule="auto"/>
      </w:pPr>
      <w:r>
        <w:separator/>
      </w:r>
    </w:p>
  </w:endnote>
  <w:endnote w:type="continuationSeparator" w:id="0">
    <w:p w14:paraId="06D0E82C" w14:textId="77777777" w:rsidR="00C3284F" w:rsidRDefault="00C328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D98734" w14:textId="77777777" w:rsidR="00C3284F" w:rsidRDefault="00C3284F">
      <w:pPr>
        <w:spacing w:line="240" w:lineRule="auto"/>
      </w:pPr>
      <w:r>
        <w:separator/>
      </w:r>
    </w:p>
  </w:footnote>
  <w:footnote w:type="continuationSeparator" w:id="0">
    <w:p w14:paraId="78CD2941" w14:textId="77777777" w:rsidR="00C3284F" w:rsidRDefault="00C328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9" w14:textId="77777777" w:rsidR="00F14078" w:rsidRDefault="00F1407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7215CA"/>
    <w:multiLevelType w:val="multilevel"/>
    <w:tmpl w:val="2C1C8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185486"/>
    <w:multiLevelType w:val="multilevel"/>
    <w:tmpl w:val="9F923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D63C01"/>
    <w:multiLevelType w:val="multilevel"/>
    <w:tmpl w:val="56B23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851D91"/>
    <w:multiLevelType w:val="multilevel"/>
    <w:tmpl w:val="07907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D71EDC"/>
    <w:multiLevelType w:val="multilevel"/>
    <w:tmpl w:val="4C18B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EB4FE9"/>
    <w:multiLevelType w:val="multilevel"/>
    <w:tmpl w:val="AEB25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685650"/>
    <w:multiLevelType w:val="multilevel"/>
    <w:tmpl w:val="0790A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9F3BAB"/>
    <w:multiLevelType w:val="multilevel"/>
    <w:tmpl w:val="86A03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0866AC"/>
    <w:multiLevelType w:val="multilevel"/>
    <w:tmpl w:val="2FF2A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A795769"/>
    <w:multiLevelType w:val="multilevel"/>
    <w:tmpl w:val="48AEC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023860">
    <w:abstractNumId w:val="1"/>
  </w:num>
  <w:num w:numId="2" w16cid:durableId="1090615434">
    <w:abstractNumId w:val="4"/>
  </w:num>
  <w:num w:numId="3" w16cid:durableId="63528770">
    <w:abstractNumId w:val="3"/>
  </w:num>
  <w:num w:numId="4" w16cid:durableId="66733116">
    <w:abstractNumId w:val="6"/>
  </w:num>
  <w:num w:numId="5" w16cid:durableId="1867476138">
    <w:abstractNumId w:val="7"/>
  </w:num>
  <w:num w:numId="6" w16cid:durableId="2099788342">
    <w:abstractNumId w:val="0"/>
  </w:num>
  <w:num w:numId="7" w16cid:durableId="1153596808">
    <w:abstractNumId w:val="8"/>
  </w:num>
  <w:num w:numId="8" w16cid:durableId="1692141860">
    <w:abstractNumId w:val="9"/>
  </w:num>
  <w:num w:numId="9" w16cid:durableId="1337540797">
    <w:abstractNumId w:val="5"/>
  </w:num>
  <w:num w:numId="10" w16cid:durableId="2024361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78"/>
    <w:rsid w:val="009A199C"/>
    <w:rsid w:val="00B23950"/>
    <w:rsid w:val="00BC7AB7"/>
    <w:rsid w:val="00C3284F"/>
    <w:rsid w:val="00D10630"/>
    <w:rsid w:val="00F14078"/>
    <w:rsid w:val="00FB3F1D"/>
    <w:rsid w:val="00FD5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25F74"/>
  <w15:docId w15:val="{0D7831D9-EE21-4BDF-9FDE-5DD8BF7FA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B3F1D"/>
    <w:rPr>
      <w:color w:val="0000FF" w:themeColor="hyperlink"/>
      <w:u w:val="single"/>
    </w:rPr>
  </w:style>
  <w:style w:type="character" w:styleId="UnresolvedMention">
    <w:name w:val="Unresolved Mention"/>
    <w:basedOn w:val="DefaultParagraphFont"/>
    <w:uiPriority w:val="99"/>
    <w:semiHidden/>
    <w:unhideWhenUsed/>
    <w:rsid w:val="00FB3F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www.officialgazette.gov.ph/2001/01/26/republic-act-no-900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pa.gov/recyc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enr.gov.ph/priority-program/solid-waste-management-program/" TargetMode="External"/><Relationship Id="rId4" Type="http://schemas.openxmlformats.org/officeDocument/2006/relationships/webSettings" Target="webSettings.xml"/><Relationship Id="rId9" Type="http://schemas.openxmlformats.org/officeDocument/2006/relationships/hyperlink" Target="http://www.basel.int/TheConvention/Overview/TextoftheConvention/tabid/1275/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raiden barba</dc:creator>
  <cp:lastModifiedBy>raiden barba</cp:lastModifiedBy>
  <cp:revision>2</cp:revision>
  <dcterms:created xsi:type="dcterms:W3CDTF">2024-11-18T14:17:00Z</dcterms:created>
  <dcterms:modified xsi:type="dcterms:W3CDTF">2024-11-18T14:17:00Z</dcterms:modified>
</cp:coreProperties>
</file>