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1F100" w14:textId="1659ECD7" w:rsidR="007B7DDE" w:rsidRPr="00DA428D" w:rsidRDefault="00DA428D" w:rsidP="00DA428D">
      <w:pPr>
        <w:jc w:val="center"/>
        <w:rPr>
          <w:b/>
          <w:bCs/>
          <w:sz w:val="32"/>
          <w:szCs w:val="32"/>
        </w:rPr>
      </w:pPr>
      <w:r w:rsidRPr="00DA428D">
        <w:rPr>
          <w:b/>
          <w:bCs/>
          <w:sz w:val="32"/>
          <w:szCs w:val="32"/>
        </w:rPr>
        <w:t>Baldwin Symbiosis Smooths the Fitness Landscape of Species</w:t>
      </w:r>
    </w:p>
    <w:p w14:paraId="12DFB479" w14:textId="6E139245" w:rsidR="00DA428D" w:rsidRPr="0069498E" w:rsidRDefault="00DA428D">
      <w:pPr>
        <w:rPr>
          <w:vertAlign w:val="superscript"/>
        </w:rPr>
      </w:pPr>
      <w:r>
        <w:t>Jennifer Hallinan</w:t>
      </w:r>
      <w:r>
        <w:rPr>
          <w:vertAlign w:val="superscript"/>
        </w:rPr>
        <w:t>1</w:t>
      </w:r>
      <w:r>
        <w:t>*</w:t>
      </w:r>
      <w:r w:rsidR="0069498E">
        <w:t>, Anil Wipat</w:t>
      </w:r>
      <w:r w:rsidR="0069498E">
        <w:rPr>
          <w:vertAlign w:val="superscript"/>
        </w:rPr>
        <w:t>2, 3</w:t>
      </w:r>
    </w:p>
    <w:p w14:paraId="5E1F2503" w14:textId="4CB697A2" w:rsidR="00DA428D" w:rsidRDefault="00DA428D">
      <w:r>
        <w:rPr>
          <w:vertAlign w:val="superscript"/>
        </w:rPr>
        <w:t>1</w:t>
      </w:r>
      <w:r>
        <w:t>BioThink, Brisbane, QLD</w:t>
      </w:r>
    </w:p>
    <w:p w14:paraId="0B17B825" w14:textId="00DB1592" w:rsidR="0069498E" w:rsidRDefault="0069498E">
      <w:r>
        <w:rPr>
          <w:vertAlign w:val="superscript"/>
        </w:rPr>
        <w:t>2</w:t>
      </w:r>
      <w:r>
        <w:t>School of Computing, Newcastle University, Newcastle upon Tyne, UK</w:t>
      </w:r>
    </w:p>
    <w:p w14:paraId="35955D68" w14:textId="0AA8783B" w:rsidR="0069498E" w:rsidRPr="0069498E" w:rsidRDefault="0069498E">
      <w:pPr>
        <w:rPr>
          <w:color w:val="FF0000"/>
        </w:rPr>
      </w:pPr>
      <w:r w:rsidRPr="0069498E">
        <w:rPr>
          <w:color w:val="FF0000"/>
          <w:vertAlign w:val="superscript"/>
        </w:rPr>
        <w:t>3</w:t>
      </w:r>
      <w:r w:rsidRPr="0069498E">
        <w:rPr>
          <w:color w:val="FF0000"/>
        </w:rPr>
        <w:t>Do you want add industry links here?</w:t>
      </w:r>
    </w:p>
    <w:p w14:paraId="43D969D8" w14:textId="1541016E" w:rsidR="00DA428D" w:rsidRDefault="00DA428D">
      <w:r>
        <w:t xml:space="preserve">*Corresponding author: </w:t>
      </w:r>
      <w:hyperlink r:id="rId4" w:history="1">
        <w:r w:rsidRPr="00E517A3">
          <w:rPr>
            <w:rStyle w:val="Hyperlink"/>
          </w:rPr>
          <w:t>j.hallinan@biothink.net</w:t>
        </w:r>
      </w:hyperlink>
    </w:p>
    <w:p w14:paraId="2D2CFC1C" w14:textId="2170A5FD" w:rsidR="00DA428D" w:rsidRDefault="00DA428D" w:rsidP="00DA428D">
      <w:pPr>
        <w:pStyle w:val="Heading1"/>
      </w:pPr>
      <w:r>
        <w:t>Abstract</w:t>
      </w:r>
    </w:p>
    <w:p w14:paraId="799C9174" w14:textId="3996A988" w:rsidR="00DA428D" w:rsidRDefault="00DA428D" w:rsidP="00DA428D">
      <w:pPr>
        <w:pStyle w:val="Heading1"/>
      </w:pPr>
      <w:r>
        <w:t>Introduction</w:t>
      </w:r>
    </w:p>
    <w:p w14:paraId="63F29527" w14:textId="0539A3A4" w:rsidR="001419A5" w:rsidRDefault="001419A5" w:rsidP="001419A5">
      <w:r>
        <w:t>The complexity of the mammalian gut microbiome, and its links to host health, wellbeing, and even behavio</w:t>
      </w:r>
      <w:r w:rsidR="000B5E72">
        <w:t>u</w:t>
      </w:r>
      <w:r>
        <w:t xml:space="preserve">r, has been </w:t>
      </w:r>
      <w:r w:rsidR="005324AD">
        <w:t>a</w:t>
      </w:r>
      <w:r>
        <w:t xml:space="preserve"> topic of considerable interest over the past decade. The human microbiome comprises at least XX bacterial species, and has been shown to affect organism characteristics as diverse as </w:t>
      </w:r>
      <w:r w:rsidR="00E02FDA" w:rsidRPr="00EE48CD">
        <w:rPr>
          <w:color w:val="FF0000"/>
        </w:rPr>
        <w:t>obesity, insulin resistance, and diabetes</w:t>
      </w:r>
      <w:r w:rsidR="00E02FDA">
        <w:t>.</w:t>
      </w:r>
    </w:p>
    <w:p w14:paraId="6E4159A2" w14:textId="1B0D1AF7" w:rsidR="001419A5" w:rsidRDefault="001419A5" w:rsidP="001419A5">
      <w:r>
        <w:t>One aspect of the microbiome which has only recently become a serious topic of investigation is its effects on the evolution of the organism.</w:t>
      </w:r>
    </w:p>
    <w:p w14:paraId="60D033FF" w14:textId="5AB0633C" w:rsidR="001419A5" w:rsidRPr="001419A5" w:rsidRDefault="000B5E72" w:rsidP="001419A5">
      <w:r>
        <w:t xml:space="preserve">The microbiome can have more subtle effects upon the evolution of a species. The genes carried in the somatic cells of the host are complemented by those carried by the myriad microbial species in the gut. The expression of these genes is affected by the number and species of commensals and the environment, both external to the host and within the gut, forming a complex network of interactions. One of the ways in which these interactions could affect evolution is </w:t>
      </w:r>
      <w:r w:rsidR="005324AD">
        <w:t>when</w:t>
      </w:r>
      <w:r>
        <w:t xml:space="preserve"> genes carried</w:t>
      </w:r>
      <w:r w:rsidR="00A65DEC">
        <w:t xml:space="preserve"> </w:t>
      </w:r>
      <w:r>
        <w:t>in the microbiome complement those of the host, thus  smoothing the fitness landscape of the host</w:t>
      </w:r>
      <w:r w:rsidR="00A65DEC">
        <w:t>, and facilitating the evolutionary process.</w:t>
      </w:r>
      <w:r w:rsidR="00142540">
        <w:t xml:space="preserve"> It has been demonstrated that </w:t>
      </w:r>
      <w:r w:rsidR="00E90A78">
        <w:t xml:space="preserve">mutation-based </w:t>
      </w:r>
      <w:r w:rsidR="00142540">
        <w:t xml:space="preserve">evolution occurs most rapidly on a smooth fitness </w:t>
      </w:r>
      <w:r w:rsidR="00142540" w:rsidRPr="00A42181">
        <w:t xml:space="preserve">landscape </w:t>
      </w:r>
      <w:r w:rsidR="00B7503E" w:rsidRPr="00A42181">
        <w:fldChar w:fldCharType="begin"/>
      </w:r>
      <w:r w:rsidR="00E90A78" w:rsidRPr="00A42181">
        <w:instrText xml:space="preserve"> ADDIN EN.CITE &lt;EndNote&gt;&lt;Cite&gt;&lt;Author&gt;Fragata&lt;/Author&gt;&lt;Year&gt;2019&lt;/Year&gt;&lt;RecNum&gt;3496&lt;/RecNum&gt;&lt;DisplayText&gt;(Fragata et al. 2019; Ueda, Takeuchi, and Kaneko 2017)&lt;/DisplayText&gt;&lt;record&gt;&lt;rec-number&gt;3496&lt;/rec-number&gt;&lt;foreign-keys&gt;&lt;key app="EN" db-id="25xswxp2s2w9rqe552ixtzfe5xf5twxpdt52" timestamp="1705195587"&gt;3496&lt;/key&gt;&lt;/foreign-keys&gt;&lt;ref-type name="Journal Article"&gt;17&lt;/ref-type&gt;&lt;contributors&gt;&lt;authors&gt;&lt;author&gt;Fragata, Inês&lt;/author&gt;&lt;author&gt;Blanckaert, Alexandre&lt;/author&gt;&lt;author&gt;Louro, Marco António Dias&lt;/author&gt;&lt;author&gt;Liberles, David A&lt;/author&gt;&lt;author&gt;Bank, Claudia&lt;/author&gt;&lt;/authors&gt;&lt;/contributors&gt;&lt;titles&gt;&lt;title&gt;Evolution in the light of fitness landscape theory&lt;/title&gt;&lt;secondary-title&gt;Trends in Ecology &amp;amp; Evolution&lt;/secondary-title&gt;&lt;/titles&gt;&lt;periodical&gt;&lt;full-title&gt;Trends in Ecology &amp;amp; Evolution&lt;/full-title&gt;&lt;/periodical&gt;&lt;pages&gt;69-82&lt;/pages&gt;&lt;volume&gt;34&lt;/volume&gt;&lt;number&gt;1&lt;/number&gt;&lt;dates&gt;&lt;year&gt;2019&lt;/year&gt;&lt;/dates&gt;&lt;isbn&gt;0169-5347&lt;/isbn&gt;&lt;urls&gt;&lt;/urls&gt;&lt;/record&gt;&lt;/Cite&gt;&lt;Cite&gt;&lt;Author&gt;Ueda&lt;/Author&gt;&lt;Year&gt;2017&lt;/Year&gt;&lt;RecNum&gt;3313&lt;/RecNum&gt;&lt;record&gt;&lt;rec-number&gt;3313&lt;/rec-number&gt;&lt;foreign-keys&gt;&lt;key app="EN" db-id="25xswxp2s2w9rqe552ixtzfe5xf5twxpdt52" timestamp="1529287315"&gt;3313&lt;/key&gt;&lt;/foreign-keys&gt;&lt;ref-type name="Journal Article"&gt;17&lt;/ref-type&gt;&lt;contributors&gt;&lt;authors&gt;&lt;author&gt;Ueda, Masahiko&lt;/author&gt;&lt;author&gt;Takeuchi, Nobuto&lt;/author&gt;&lt;author&gt;Kaneko, Kunihiko&lt;/author&gt;&lt;/authors&gt;&lt;/contributors&gt;&lt;titles&gt;&lt;title&gt;Stronger selection can slow down evolution driven by recombination on a smooth fitness landscape&lt;/title&gt;&lt;secondary-title&gt;PloS One&lt;/secondary-title&gt;&lt;/titles&gt;&lt;periodical&gt;&lt;full-title&gt;PLoS ONE&lt;/full-title&gt;&lt;/periodical&gt;&lt;pages&gt;e0183120&lt;/pages&gt;&lt;volume&gt;12&lt;/volume&gt;&lt;number&gt;8&lt;/number&gt;&lt;dates&gt;&lt;year&gt;2017&lt;/year&gt;&lt;/dates&gt;&lt;isbn&gt;1932-6203&lt;/isbn&gt;&lt;urls&gt;&lt;/urls&gt;&lt;/record&gt;&lt;/Cite&gt;&lt;/EndNote&gt;</w:instrText>
      </w:r>
      <w:r w:rsidR="00B7503E" w:rsidRPr="00A42181">
        <w:fldChar w:fldCharType="separate"/>
      </w:r>
      <w:r w:rsidR="00E90A78" w:rsidRPr="00A42181">
        <w:rPr>
          <w:noProof/>
        </w:rPr>
        <w:t>(Fragata et al. 2019; Ueda, Takeuchi, and Kaneko 2017)</w:t>
      </w:r>
      <w:r w:rsidR="00B7503E" w:rsidRPr="00A42181">
        <w:fldChar w:fldCharType="end"/>
      </w:r>
      <w:r w:rsidR="00142540" w:rsidRPr="00A42181">
        <w:t xml:space="preserve"> a</w:t>
      </w:r>
      <w:r w:rsidR="00142540">
        <w:t>nd hence smoothing the fitness landscape would be advantageous to organisms living in a rapidly changing environment.</w:t>
      </w:r>
    </w:p>
    <w:p w14:paraId="0F03F252" w14:textId="6426B06B" w:rsidR="00DA428D" w:rsidRDefault="00DA428D" w:rsidP="0002338C">
      <w:pPr>
        <w:pStyle w:val="Heading2"/>
      </w:pPr>
      <w:r>
        <w:t xml:space="preserve">The Baldwin </w:t>
      </w:r>
      <w:proofErr w:type="gramStart"/>
      <w:r>
        <w:t>effect</w:t>
      </w:r>
      <w:proofErr w:type="gramEnd"/>
    </w:p>
    <w:p w14:paraId="3B4AE7EA" w14:textId="05FB5B41" w:rsidR="0002338C" w:rsidRDefault="0002338C" w:rsidP="0002338C">
      <w:r>
        <w:t>In 1896, the American psychologist James Mark Baldwin suggested</w:t>
      </w:r>
      <w:r w:rsidR="003E41A4">
        <w:t xml:space="preserve"> that learning on the part of an individual can facilitate the evolution of the population to which that individual belongs </w:t>
      </w:r>
      <w:r w:rsidR="003E41A4">
        <w:fldChar w:fldCharType="begin"/>
      </w:r>
      <w:r w:rsidR="00C407D2">
        <w:instrText xml:space="preserve"> ADDIN EN.CITE &lt;EndNote&gt;&lt;Cite&gt;&lt;Author&gt;Baldwin&lt;/Author&gt;&lt;Year&gt;1896&lt;/Year&gt;&lt;RecNum&gt;3448&lt;/RecNum&gt;&lt;DisplayText&gt;(Baldwin 1896)&lt;/DisplayText&gt;&lt;record&gt;&lt;rec-number&gt;3448&lt;/rec-number&gt;&lt;foreign-keys&gt;&lt;key app="EN" db-id="25xswxp2s2w9rqe552ixtzfe5xf5twxpdt52" timestamp="1635652186"&gt;3448&lt;/key&gt;&lt;/foreign-keys&gt;&lt;ref-type name="Journal Article"&gt;17&lt;/ref-type&gt;&lt;contributors&gt;&lt;authors&gt;&lt;author&gt;Baldwin, J. M.&lt;/author&gt;&lt;/authors&gt;&lt;/contributors&gt;&lt;titles&gt;&lt;title&gt;A new factor in evolution&lt;/title&gt;&lt;secondary-title&gt;The American Naturalist&lt;/secondary-title&gt;&lt;/titles&gt;&lt;periodical&gt;&lt;full-title&gt;The American Naturalist&lt;/full-title&gt;&lt;/periodical&gt;&lt;pages&gt;441 - 451&lt;/pages&gt;&lt;volume&gt;30&lt;/volume&gt;&lt;number&gt;354&lt;/number&gt;&lt;dates&gt;&lt;year&gt;1896&lt;/year&gt;&lt;/dates&gt;&lt;urls&gt;&lt;/urls&gt;&lt;/record&gt;&lt;/Cite&gt;&lt;/EndNote&gt;</w:instrText>
      </w:r>
      <w:r w:rsidR="003E41A4">
        <w:fldChar w:fldCharType="separate"/>
      </w:r>
      <w:r w:rsidR="00C407D2">
        <w:rPr>
          <w:noProof/>
        </w:rPr>
        <w:t>(Baldwin 1896)</w:t>
      </w:r>
      <w:r w:rsidR="003E41A4">
        <w:fldChar w:fldCharType="end"/>
      </w:r>
      <w:r w:rsidR="003E41A4">
        <w:t>.</w:t>
      </w:r>
      <w:r w:rsidR="0010508D">
        <w:t xml:space="preserve"> The basic concept is that if an individual carries genes predisposing it to be </w:t>
      </w:r>
      <w:r w:rsidR="0010508D">
        <w:lastRenderedPageBreak/>
        <w:t xml:space="preserve">able to rapidly learn a behaviour, or develop a phenotype, which is </w:t>
      </w:r>
      <w:r w:rsidR="005324AD">
        <w:t xml:space="preserve">evolutionarily </w:t>
      </w:r>
      <w:r w:rsidR="0010508D">
        <w:t xml:space="preserve">advantageous, that individual will have a fitness </w:t>
      </w:r>
      <w:r w:rsidR="0055341E">
        <w:t>advantage</w:t>
      </w:r>
      <w:r w:rsidR="0010508D">
        <w:t xml:space="preserve">, and the predisposing genes will spread throughout the population. These genes can then evolve into versions which do not require the learning phase, and the trait becomes genetically determined. Although the advent of Darwin’s theories meant that the Baldwin Effect was subsequently neglected, and often regarded as an aspect of Lamarckism, the concept was </w:t>
      </w:r>
      <w:r w:rsidR="0055341E">
        <w:t>revisited</w:t>
      </w:r>
      <w:r w:rsidR="005324AD">
        <w:t xml:space="preserve"> in the twentieth century</w:t>
      </w:r>
      <w:r w:rsidR="0010508D">
        <w:t xml:space="preserve"> by </w:t>
      </w:r>
      <w:r w:rsidR="002A2ABF">
        <w:t xml:space="preserve">Hinton and Nowlan </w:t>
      </w:r>
      <w:r w:rsidR="002A2ABF">
        <w:fldChar w:fldCharType="begin"/>
      </w:r>
      <w:r w:rsidR="002A2ABF">
        <w:instrText xml:space="preserve"> ADDIN EN.CITE &lt;EndNote&gt;&lt;Cite&gt;&lt;Author&gt;Hinton&lt;/Author&gt;&lt;Year&gt;1987&lt;/Year&gt;&lt;RecNum&gt;3449&lt;/RecNum&gt;&lt;DisplayText&gt;(Hinton and Nowlan 1987)&lt;/DisplayText&gt;&lt;record&gt;&lt;rec-number&gt;3449&lt;/rec-number&gt;&lt;foreign-keys&gt;&lt;key app="EN" db-id="25xswxp2s2w9rqe552ixtzfe5xf5twxpdt52" timestamp="1635653012"&gt;3449&lt;/key&gt;&lt;/foreign-keys&gt;&lt;ref-type name="Journal Article"&gt;17&lt;/ref-type&gt;&lt;contributors&gt;&lt;authors&gt;&lt;author&gt;Hinton, Geoff&lt;/author&gt;&lt;author&gt;Nowlan, Steven J.&lt;/author&gt;&lt;/authors&gt;&lt;/contributors&gt;&lt;titles&gt;&lt;title&gt;How learning can guide evolution&lt;/title&gt;&lt;secondary-title&gt;Complex Systems&lt;/secondary-title&gt;&lt;/titles&gt;&lt;periodical&gt;&lt;full-title&gt;Complex Systems&lt;/full-title&gt;&lt;/periodical&gt;&lt;pages&gt;495 - 502&lt;/pages&gt;&lt;volume&gt;1&lt;/volume&gt;&lt;dates&gt;&lt;year&gt;1987&lt;/year&gt;&lt;/dates&gt;&lt;urls&gt;&lt;/urls&gt;&lt;/record&gt;&lt;/Cite&gt;&lt;/EndNote&gt;</w:instrText>
      </w:r>
      <w:r w:rsidR="002A2ABF">
        <w:fldChar w:fldCharType="separate"/>
      </w:r>
      <w:r w:rsidR="002A2ABF">
        <w:rPr>
          <w:noProof/>
        </w:rPr>
        <w:t>(Hinton and Nowlan 1987)</w:t>
      </w:r>
      <w:r w:rsidR="002A2ABF">
        <w:fldChar w:fldCharType="end"/>
      </w:r>
      <w:r w:rsidR="002A2ABF">
        <w:t xml:space="preserve">, who developed a computational model which demonstrated that the mechanism is plausible. We revisited this model in 2001, and used it to demonstrate that practical aspects of the evolutionary  process—in this case, the strength of the selection pressure—can affect the results obtained </w:t>
      </w:r>
      <w:r w:rsidR="002A2ABF">
        <w:fldChar w:fldCharType="begin"/>
      </w:r>
      <w:r w:rsidR="002A2ABF">
        <w:instrText xml:space="preserve"> ADDIN EN.CITE &lt;EndNote&gt;&lt;Cite&gt;&lt;Author&gt;Wiles&lt;/Author&gt;&lt;Year&gt;2001&lt;/Year&gt;&lt;RecNum&gt;3450&lt;/RecNum&gt;&lt;DisplayText&gt;(Wiles et al. 2001)&lt;/DisplayText&gt;&lt;record&gt;&lt;rec-number&gt;3450&lt;/rec-number&gt;&lt;foreign-keys&gt;&lt;key app="EN" db-id="25xswxp2s2w9rqe552ixtzfe5xf5twxpdt52" timestamp="1635653336"&gt;3450&lt;/key&gt;&lt;/foreign-keys&gt;&lt;ref-type name="Conference Proceedings"&gt;10&lt;/ref-type&gt;&lt;contributors&gt;&lt;authors&gt;&lt;author&gt;Wiles, Janet&lt;/author&gt;&lt;author&gt;Schulz, Ruth&lt;/author&gt;&lt;author&gt;Hallinan, Jennifer&lt;/author&gt;&lt;author&gt;Bolland, Scott&lt;/author&gt;&lt;author&gt;Tonkes, Bradley&lt;/author&gt;&lt;/authors&gt;&lt;/contributors&gt;&lt;titles&gt;&lt;title&gt;Probing the persistent question marks&lt;/title&gt;&lt;secondary-title&gt;Proceedings of the 3rd Annual Conference on Genetic and Evolutionary Computation&lt;/secondary-title&gt;&lt;/titles&gt;&lt;pages&gt;710-717&lt;/pages&gt;&lt;dates&gt;&lt;year&gt;2001&lt;/year&gt;&lt;/dates&gt;&lt;publisher&gt;Citeseer&lt;/publisher&gt;&lt;urls&gt;&lt;/urls&gt;&lt;/record&gt;&lt;/Cite&gt;&lt;/EndNote&gt;</w:instrText>
      </w:r>
      <w:r w:rsidR="002A2ABF">
        <w:fldChar w:fldCharType="separate"/>
      </w:r>
      <w:r w:rsidR="002A2ABF">
        <w:rPr>
          <w:noProof/>
        </w:rPr>
        <w:t>(Wiles et al. 2001)</w:t>
      </w:r>
      <w:r w:rsidR="002A2ABF">
        <w:fldChar w:fldCharType="end"/>
      </w:r>
      <w:r w:rsidR="002A2ABF">
        <w:t>.</w:t>
      </w:r>
    </w:p>
    <w:p w14:paraId="1B41F4CB" w14:textId="52956D37" w:rsidR="00C3767D" w:rsidRDefault="00C3767D" w:rsidP="0002338C">
      <w:r>
        <w:t xml:space="preserve">Recent findings about the role of the microbiome in the evolution of domestic dogs </w:t>
      </w:r>
      <w:r>
        <w:fldChar w:fldCharType="begin"/>
      </w:r>
      <w:r>
        <w:instrText xml:space="preserve"> ADDIN EN.CITE &lt;EndNote&gt;&lt;Cite&gt;&lt;Author&gt;Rampelli&lt;/Author&gt;&lt;Year&gt;2021&lt;/Year&gt;&lt;RecNum&gt;3447&lt;/RecNum&gt;&lt;DisplayText&gt;(Rampelli et al. 2021)&lt;/DisplayText&gt;&lt;record&gt;&lt;rec-number&gt;3447&lt;/rec-number&gt;&lt;foreign-keys&gt;&lt;key app="EN" db-id="25xswxp2s2w9rqe552ixtzfe5xf5twxpdt52" timestamp="1635650359"&gt;3447&lt;/key&gt;&lt;/foreign-keys&gt;&lt;ref-type name="Journal Article"&gt;17&lt;/ref-type&gt;&lt;contributors&gt;&lt;authors&gt;&lt;author&gt;Rampelli, Simone&lt;/author&gt;&lt;author&gt;Turroni, Silvia&lt;/author&gt;&lt;author&gt;Debandi, Florencia&lt;/author&gt;&lt;author&gt;Alberdi, Antton&lt;/author&gt;&lt;author&gt;Schnorr, Stephanie L.&lt;/author&gt;&lt;author&gt;Hofman, Courtney A.&lt;/author&gt;&lt;author&gt;Taddia, Alberto&lt;/author&gt;&lt;author&gt;Helg, Riccardo&lt;/author&gt;&lt;author&gt;Biagi, Elena&lt;/author&gt;&lt;author&gt;Brigidi, Patrizia&lt;/author&gt;&lt;author&gt;D&amp;apos;Amico, Federica&lt;/author&gt;&lt;author&gt;Cattani, Maurizio&lt;/author&gt;&lt;author&gt;Candela, Marco&lt;/author&gt;&lt;/authors&gt;&lt;/contributors&gt;&lt;titles&gt;&lt;title&gt;The gut microbiome buffers dietary adaptation in Bronze Age domesticated dogs&lt;/title&gt;&lt;secondary-title&gt;iScience&lt;/secondary-title&gt;&lt;/titles&gt;&lt;periodical&gt;&lt;full-title&gt;iScience&lt;/full-title&gt;&lt;/periodical&gt;&lt;pages&gt;102816&lt;/pages&gt;&lt;volume&gt;24&lt;/volume&gt;&lt;number&gt;8&lt;/number&gt;&lt;keywords&gt;&lt;keyword&gt;biological sciences&lt;/keyword&gt;&lt;keyword&gt;microbiome&lt;/keyword&gt;&lt;keyword&gt;evolutionary biology&lt;/keyword&gt;&lt;keyword&gt;evolutionary processes&lt;/keyword&gt;&lt;keyword&gt;Phylogenetics&lt;/keyword&gt;&lt;keyword&gt;phylogeny&lt;/keyword&gt;&lt;keyword&gt;evolutionary history&lt;/keyword&gt;&lt;keyword&gt;genomic analysis&lt;/keyword&gt;&lt;keyword&gt;sequence analysis&lt;/keyword&gt;&lt;keyword&gt;omics&lt;/keyword&gt;&lt;keyword&gt;genomics&lt;/keyword&gt;&lt;/keywords&gt;&lt;dates&gt;&lt;year&gt;2021&lt;/year&gt;&lt;pub-dates&gt;&lt;date&gt;2021/08/20/&lt;/date&gt;&lt;/pub-dates&gt;&lt;/dates&gt;&lt;isbn&gt;2589-0042&lt;/isbn&gt;&lt;urls&gt;&lt;related-urls&gt;&lt;url&gt;https://www.sciencedirect.com/science/article/pii/S2589004221007847&lt;/url&gt;&lt;/related-urls&gt;&lt;/urls&gt;&lt;electronic-resource-num&gt;https://doi.org/10.1016/j.isci.2021.102816&lt;/electronic-resource-num&gt;&lt;/record&gt;&lt;/Cite&gt;&lt;/EndNote&gt;</w:instrText>
      </w:r>
      <w:r>
        <w:fldChar w:fldCharType="separate"/>
      </w:r>
      <w:r>
        <w:rPr>
          <w:noProof/>
        </w:rPr>
        <w:t>(Rampelli et al. 2021)</w:t>
      </w:r>
      <w:r>
        <w:fldChar w:fldCharType="end"/>
      </w:r>
      <w:r>
        <w:t xml:space="preserve"> have indicated that amylase genes carried by microbes in the gut of canids may have helped wild dogs to adapt to the dietary supplementation available from early humans, in the form of carbohydrates, which were not previously a major part of the dogs’ diet. This adaptation smoothed the way for dogs to co-exist with humans, </w:t>
      </w:r>
      <w:r w:rsidR="005324AD">
        <w:t>contributing</w:t>
      </w:r>
      <w:r>
        <w:t xml:space="preserve"> to </w:t>
      </w:r>
      <w:r w:rsidR="005324AD">
        <w:t xml:space="preserve">the </w:t>
      </w:r>
      <w:r>
        <w:t>domestication of the dogs, and quite possibly to modifications of human behaviour, which have not fully been explored.</w:t>
      </w:r>
    </w:p>
    <w:p w14:paraId="69159091" w14:textId="39AE1C58" w:rsidR="0069498E" w:rsidRDefault="0069498E" w:rsidP="0002338C">
      <w:r>
        <w:t>The gut microbiome is less stable than the host genome, since it can be altered by environmental changes such as dietary modifications, and even eliminated almost completely by gastrointestinal diseases. Although there is no current evidence for transfer of amylase genes from the gut microbiome to mammalian cells, such transfers have been observed in</w:t>
      </w:r>
    </w:p>
    <w:p w14:paraId="0AD8468C" w14:textId="21EBF622" w:rsidR="0069498E" w:rsidRDefault="0069498E" w:rsidP="0002338C">
      <w:r>
        <w:t>And there is currently considerable interest in the use of microbial cells as</w:t>
      </w:r>
    </w:p>
    <w:p w14:paraId="7651140E" w14:textId="49377A89" w:rsidR="0069498E" w:rsidRDefault="0069498E" w:rsidP="0002338C">
      <w:r>
        <w:t>We therefore included an option to transfer genes from the microbiome to the host genome, and investigated the conditions under which such transfer would be beneficial.</w:t>
      </w:r>
    </w:p>
    <w:p w14:paraId="3E138F7C" w14:textId="4DD97055" w:rsidR="00EB14C3" w:rsidRDefault="005324AD" w:rsidP="0002338C">
      <w:r>
        <w:t>In</w:t>
      </w:r>
      <w:r w:rsidR="00EB14C3">
        <w:t xml:space="preserve"> this study we investigated the relationship between the genetic composition of the gut microbiome, that of the host, and the effects of these interactions upon the evolution of the host population.</w:t>
      </w:r>
    </w:p>
    <w:p w14:paraId="0E11BB37" w14:textId="00817387" w:rsidR="00735DE8" w:rsidRDefault="00735DE8" w:rsidP="00735DE8">
      <w:pPr>
        <w:pStyle w:val="Heading2"/>
      </w:pPr>
      <w:r>
        <w:t>Amylase</w:t>
      </w:r>
    </w:p>
    <w:p w14:paraId="07A83D73" w14:textId="57F16FB1" w:rsidR="009A40EE" w:rsidRPr="00735DE8" w:rsidRDefault="00977628" w:rsidP="009D1EA9">
      <w:r>
        <w:t xml:space="preserve">AMY2B is one of three genes known to code for starch breakdown in the saliva and </w:t>
      </w:r>
      <w:proofErr w:type="spellStart"/>
      <w:r>
        <w:t>pancrease</w:t>
      </w:r>
      <w:proofErr w:type="spellEnd"/>
      <w:r>
        <w:t xml:space="preserve">. </w:t>
      </w:r>
      <w:r w:rsidR="00597B36">
        <w:t>It</w:t>
      </w:r>
      <w:r w:rsidR="00D309E3" w:rsidRPr="00D309E3">
        <w:t xml:space="preserve"> </w:t>
      </w:r>
      <w:proofErr w:type="spellStart"/>
      <w:r w:rsidR="00597B36">
        <w:t>catalyzes</w:t>
      </w:r>
      <w:proofErr w:type="spellEnd"/>
      <w:r w:rsidR="00597B36">
        <w:t xml:space="preserve"> </w:t>
      </w:r>
      <w:r w:rsidR="00D309E3" w:rsidRPr="00D309E3">
        <w:t>the first step in the digestion of starch to glucose in the small intestine</w:t>
      </w:r>
      <w:r w:rsidR="00597B36">
        <w:t>,</w:t>
      </w:r>
      <w:r w:rsidR="00D309E3" w:rsidRPr="00D309E3">
        <w:t xml:space="preserve"> the breakdown of starch to </w:t>
      </w:r>
      <w:r w:rsidR="00597B36">
        <w:t xml:space="preserve">the </w:t>
      </w:r>
      <w:r w:rsidR="00D309E3" w:rsidRPr="00D309E3">
        <w:t xml:space="preserve">oligosaccharides maltose and </w:t>
      </w:r>
      <w:proofErr w:type="spellStart"/>
      <w:r w:rsidR="00D309E3" w:rsidRPr="00D309E3">
        <w:t>maltriose</w:t>
      </w:r>
      <w:proofErr w:type="spellEnd"/>
      <w:r w:rsidR="00C009C1">
        <w:t xml:space="preserve"> </w:t>
      </w:r>
      <w:r w:rsidR="00D309E3">
        <w:fldChar w:fldCharType="begin"/>
      </w:r>
      <w:r w:rsidR="00D309E3">
        <w:instrText xml:space="preserve"> ADDIN EN.CITE &lt;EndNote&gt;&lt;Cite&gt;&lt;Author&gt;Mocharla&lt;/Author&gt;&lt;Year&gt;1990&lt;/Year&gt;&lt;RecNum&gt;3500&lt;/RecNum&gt;&lt;DisplayText&gt;(Mocharla, Mocharla, and Hodes 1990)&lt;/DisplayText&gt;&lt;record&gt;&lt;rec-number&gt;3500&lt;/rec-number&gt;&lt;foreign-keys&gt;&lt;key app="EN" db-id="25xswxp2s2w9rqe552ixtzfe5xf5twxpdt52" timestamp="1705203968"&gt;3500&lt;/key&gt;&lt;/foreign-keys&gt;&lt;ref-type name="Journal Article"&gt;17&lt;/ref-type&gt;&lt;contributors&gt;&lt;authors&gt;&lt;author&gt;Mocharla, Hanna&lt;/author&gt;&lt;author&gt;Mocharla, Raman&lt;/author&gt;&lt;author&gt;Hodes, ME&lt;/author&gt;&lt;/authors&gt;&lt;/contributors&gt;&lt;titles&gt;&lt;title&gt;α-Amylase gene transcription in tissues of normal dog&lt;/title&gt;&lt;secondary-title&gt;Nucleic acids research&lt;/secondary-title&gt;&lt;/titles&gt;&lt;periodical&gt;&lt;full-title&gt;Nucleic Acids Research&lt;/full-title&gt;&lt;/periodical&gt;&lt;pages&gt;1031-1036&lt;/pages&gt;&lt;volume&gt;18&lt;/volume&gt;&lt;number&gt;4&lt;/number&gt;&lt;dates&gt;&lt;year&gt;1990&lt;/year&gt;&lt;/dates&gt;&lt;isbn&gt;1362-4962&lt;/isbn&gt;&lt;urls&gt;&lt;/urls&gt;&lt;/record&gt;&lt;/Cite&gt;&lt;/EndNote&gt;</w:instrText>
      </w:r>
      <w:r w:rsidR="00D309E3">
        <w:fldChar w:fldCharType="separate"/>
      </w:r>
      <w:r w:rsidR="00D309E3">
        <w:rPr>
          <w:noProof/>
        </w:rPr>
        <w:t>(Mocharla, Mocharla, and Hodes 1990)</w:t>
      </w:r>
      <w:r w:rsidR="00D309E3">
        <w:fldChar w:fldCharType="end"/>
      </w:r>
      <w:r w:rsidR="00597B36">
        <w:t xml:space="preserve">. There is considerable variation in the numbers of copies of the AMY2B </w:t>
      </w:r>
      <w:r w:rsidR="00597B36">
        <w:lastRenderedPageBreak/>
        <w:t xml:space="preserve">gene, with an individual human genome carrying two to six </w:t>
      </w:r>
      <w:r w:rsidR="002F67EB">
        <w:t xml:space="preserve">copies of </w:t>
      </w:r>
      <w:r w:rsidR="00597B36">
        <w:t>the gene</w:t>
      </w:r>
      <w:r w:rsidR="002F67EB">
        <w:t xml:space="preserve"> </w:t>
      </w:r>
      <w:r w:rsidR="002F67EB">
        <w:fldChar w:fldCharType="begin"/>
      </w:r>
      <w:r w:rsidR="002F67EB">
        <w:instrText xml:space="preserve"> ADDIN EN.CITE &lt;EndNote&gt;&lt;Cite&gt;&lt;Author&gt;Elder&lt;/Author&gt;&lt;Year&gt;2018&lt;/Year&gt;&lt;RecNum&gt;3501&lt;/RecNum&gt;&lt;DisplayText&gt;(Elder et al. 2018)&lt;/DisplayText&gt;&lt;record&gt;&lt;rec-number&gt;3501&lt;/rec-number&gt;&lt;foreign-keys&gt;&lt;key app="EN" db-id="25xswxp2s2w9rqe552ixtzfe5xf5twxpdt52" timestamp="1705204773"&gt;3501&lt;/key&gt;&lt;/foreign-keys&gt;&lt;ref-type name="Journal Article"&gt;17&lt;/ref-type&gt;&lt;contributors&gt;&lt;authors&gt;&lt;author&gt;Elder, Patrick JD&lt;/author&gt;&lt;author&gt;Ramsden, David B&lt;/author&gt;&lt;author&gt;Burnett, David&lt;/author&gt;&lt;author&gt;Weickert, Martin O&lt;/author&gt;&lt;author&gt;Barber, Thomas M&lt;/author&gt;&lt;/authors&gt;&lt;/contributors&gt;&lt;titles&gt;&lt;title&gt;Human amylase gene copy number variation as a determinant of metabolic state&lt;/title&gt;&lt;secondary-title&gt;Expert Review of Endocrinology &amp;amp; Metabolism&lt;/secondary-title&gt;&lt;/titles&gt;&lt;periodical&gt;&lt;full-title&gt;Expert Review of Endocrinology &amp;amp; Metabolism&lt;/full-title&gt;&lt;/periodical&gt;&lt;pages&gt;193-205&lt;/pages&gt;&lt;volume&gt;13&lt;/volume&gt;&lt;number&gt;4&lt;/number&gt;&lt;dates&gt;&lt;year&gt;2018&lt;/year&gt;&lt;/dates&gt;&lt;isbn&gt;1744-6651&lt;/isbn&gt;&lt;urls&gt;&lt;/urls&gt;&lt;/record&gt;&lt;/Cite&gt;&lt;/EndNote&gt;</w:instrText>
      </w:r>
      <w:r w:rsidR="002F67EB">
        <w:fldChar w:fldCharType="separate"/>
      </w:r>
      <w:r w:rsidR="002F67EB">
        <w:rPr>
          <w:noProof/>
        </w:rPr>
        <w:t>(Elder et al. 2018)</w:t>
      </w:r>
      <w:r w:rsidR="002F67EB">
        <w:fldChar w:fldCharType="end"/>
      </w:r>
      <w:r w:rsidR="00597B36">
        <w:t>.</w:t>
      </w:r>
      <w:r w:rsidR="00613C6F">
        <w:t xml:space="preserve"> It has been demonstrated that increased copy numbers of the amylase genes correspond to increased ability to metabolize starch (</w:t>
      </w:r>
      <w:r w:rsidR="00613C6F" w:rsidRPr="00613C6F">
        <w:rPr>
          <w:color w:val="FF0000"/>
        </w:rPr>
        <w:t>ref</w:t>
      </w:r>
      <w:r w:rsidR="00613C6F">
        <w:t>). Considerable research has indicated that as dogs became domesticated they acquired increased numbers of amylase genes</w:t>
      </w:r>
      <w:r w:rsidR="009D1EA9">
        <w:t xml:space="preserve"> </w:t>
      </w:r>
      <w:r w:rsidR="00735DE8">
        <w:fldChar w:fldCharType="begin"/>
      </w:r>
      <w:r w:rsidR="00735DE8">
        <w:instrText xml:space="preserve"> ADDIN EN.CITE &lt;EndNote&gt;&lt;Cite&gt;&lt;Author&gt;Axelsson&lt;/Author&gt;&lt;Year&gt;2013&lt;/Year&gt;&lt;RecNum&gt;3499&lt;/RecNum&gt;&lt;DisplayText&gt;(Axelsson et al. 2013)&lt;/DisplayText&gt;&lt;record&gt;&lt;rec-number&gt;3499&lt;/rec-number&gt;&lt;foreign-keys&gt;&lt;key app="EN" db-id="25xswxp2s2w9rqe552ixtzfe5xf5twxpdt52" timestamp="1705203782"&gt;3499&lt;/key&gt;&lt;/foreign-keys&gt;&lt;ref-type name="Journal Article"&gt;17&lt;/ref-type&gt;&lt;contributors&gt;&lt;authors&gt;&lt;author&gt;Axelsson, Erik&lt;/author&gt;&lt;author&gt;Ratnakumar, Abhirami&lt;/author&gt;&lt;author&gt;Arendt, Maja-Louise&lt;/author&gt;&lt;author&gt;Maqbool, Khurram&lt;/author&gt;&lt;author&gt;Webster, Matthew T&lt;/author&gt;&lt;author&gt;Perloski, Michele&lt;/author&gt;&lt;author&gt;Liberg, Olof&lt;/author&gt;&lt;author&gt;Arnemo, Jon M&lt;/author&gt;&lt;author&gt;Hedhammar, Åke&lt;/author&gt;&lt;author&gt;Lindblad-Toh, Kerstin&lt;/author&gt;&lt;/authors&gt;&lt;/contributors&gt;&lt;titles&gt;&lt;title&gt;The genomic signature of dog domestication reveals adaptation to a starch-rich diet&lt;/title&gt;&lt;secondary-title&gt;Nature&lt;/secondary-title&gt;&lt;/titles&gt;&lt;periodical&gt;&lt;full-title&gt;Nature&lt;/full-title&gt;&lt;/periodical&gt;&lt;pages&gt;360-364&lt;/pages&gt;&lt;volume&gt;495&lt;/volume&gt;&lt;number&gt;7441&lt;/number&gt;&lt;dates&gt;&lt;year&gt;2013&lt;/year&gt;&lt;/dates&gt;&lt;isbn&gt;0028-0836&lt;/isbn&gt;&lt;urls&gt;&lt;/urls&gt;&lt;/record&gt;&lt;/Cite&gt;&lt;/EndNote&gt;</w:instrText>
      </w:r>
      <w:r w:rsidR="00735DE8">
        <w:fldChar w:fldCharType="separate"/>
      </w:r>
      <w:r w:rsidR="00735DE8">
        <w:rPr>
          <w:noProof/>
        </w:rPr>
        <w:t>(Axelsson et al. 2013)</w:t>
      </w:r>
      <w:r w:rsidR="00735DE8">
        <w:fldChar w:fldCharType="end"/>
      </w:r>
      <w:r w:rsidR="009D1EA9">
        <w:t>,</w:t>
      </w:r>
      <w:r w:rsidR="009D1EA9" w:rsidRPr="009D1EA9">
        <w:t xml:space="preserve"> </w:t>
      </w:r>
      <w:r w:rsidR="009D1EA9">
        <w:t>allowing them to supplement the energy available from hunting and scavenging with the more easily acquired leavings of humans. Like humans, m</w:t>
      </w:r>
      <w:r w:rsidR="009A40EE">
        <w:t xml:space="preserve">odern dog </w:t>
      </w:r>
      <w:r w:rsidR="009D1EA9">
        <w:t>(</w:t>
      </w:r>
      <w:r w:rsidR="009D1EA9">
        <w:rPr>
          <w:i/>
          <w:iCs/>
        </w:rPr>
        <w:t xml:space="preserve">Canis lupus </w:t>
      </w:r>
      <w:proofErr w:type="spellStart"/>
      <w:r w:rsidR="009D1EA9" w:rsidRPr="009D1EA9">
        <w:rPr>
          <w:i/>
          <w:iCs/>
        </w:rPr>
        <w:t>familiaris</w:t>
      </w:r>
      <w:proofErr w:type="spellEnd"/>
      <w:r w:rsidR="009D1EA9">
        <w:t xml:space="preserve">) </w:t>
      </w:r>
      <w:r w:rsidR="009A40EE" w:rsidRPr="009D1EA9">
        <w:t>populations</w:t>
      </w:r>
      <w:r w:rsidR="009A40EE">
        <w:t xml:space="preserve"> exhibit </w:t>
      </w:r>
      <w:r w:rsidR="009A40EE" w:rsidRPr="009A40EE">
        <w:t>considerable variation in AMY2B copy number, with diploid copy numbers ranging from 4 to 30 (n = 136)</w:t>
      </w:r>
      <w:r w:rsidR="009A40EE">
        <w:t xml:space="preserve"> </w:t>
      </w:r>
      <w:r w:rsidR="009A40EE">
        <w:fldChar w:fldCharType="begin"/>
      </w:r>
      <w:r w:rsidR="009A40EE">
        <w:instrText xml:space="preserve"> ADDIN EN.CITE &lt;EndNote&gt;&lt;Cite&gt;&lt;Author&gt;Axelsson&lt;/Author&gt;&lt;Year&gt;2013&lt;/Year&gt;&lt;RecNum&gt;3499&lt;/RecNum&gt;&lt;DisplayText&gt;(Axelsson et al. 2013)&lt;/DisplayText&gt;&lt;record&gt;&lt;rec-number&gt;3499&lt;/rec-number&gt;&lt;foreign-keys&gt;&lt;key app="EN" db-id="25xswxp2s2w9rqe552ixtzfe5xf5twxpdt52" timestamp="1705203782"&gt;3499&lt;/key&gt;&lt;/foreign-keys&gt;&lt;ref-type name="Journal Article"&gt;17&lt;/ref-type&gt;&lt;contributors&gt;&lt;authors&gt;&lt;author&gt;Axelsson, Erik&lt;/author&gt;&lt;author&gt;Ratnakumar, Abhirami&lt;/author&gt;&lt;author&gt;Arendt, Maja-Louise&lt;/author&gt;&lt;author&gt;Maqbool, Khurram&lt;/author&gt;&lt;author&gt;Webster, Matthew T&lt;/author&gt;&lt;author&gt;Perloski, Michele&lt;/author&gt;&lt;author&gt;Liberg, Olof&lt;/author&gt;&lt;author&gt;Arnemo, Jon M&lt;/author&gt;&lt;author&gt;Hedhammar, Åke&lt;/author&gt;&lt;author&gt;Lindblad-Toh, Kerstin&lt;/author&gt;&lt;/authors&gt;&lt;/contributors&gt;&lt;titles&gt;&lt;title&gt;The genomic signature of dog domestication reveals adaptation to a starch-rich diet&lt;/title&gt;&lt;secondary-title&gt;Nature&lt;/secondary-title&gt;&lt;/titles&gt;&lt;periodical&gt;&lt;full-title&gt;Nature&lt;/full-title&gt;&lt;/periodical&gt;&lt;pages&gt;360-364&lt;/pages&gt;&lt;volume&gt;495&lt;/volume&gt;&lt;number&gt;7441&lt;/number&gt;&lt;dates&gt;&lt;year&gt;2013&lt;/year&gt;&lt;/dates&gt;&lt;isbn&gt;0028-0836&lt;/isbn&gt;&lt;urls&gt;&lt;/urls&gt;&lt;/record&gt;&lt;/Cite&gt;&lt;/EndNote&gt;</w:instrText>
      </w:r>
      <w:r w:rsidR="009A40EE">
        <w:fldChar w:fldCharType="separate"/>
      </w:r>
      <w:r w:rsidR="009A40EE">
        <w:rPr>
          <w:noProof/>
        </w:rPr>
        <w:t>(Axelsson et al. 2013)</w:t>
      </w:r>
      <w:r w:rsidR="009A40EE">
        <w:fldChar w:fldCharType="end"/>
      </w:r>
      <w:r w:rsidR="009D1EA9">
        <w:t xml:space="preserve">, whereas species </w:t>
      </w:r>
      <w:r w:rsidR="00E73DF1">
        <w:t xml:space="preserve">which have been less exposed to humans, </w:t>
      </w:r>
      <w:r w:rsidR="009D1EA9">
        <w:t>such as dingos (</w:t>
      </w:r>
      <w:r w:rsidR="009D1EA9">
        <w:rPr>
          <w:i/>
          <w:iCs/>
        </w:rPr>
        <w:t xml:space="preserve">Canis </w:t>
      </w:r>
      <w:proofErr w:type="spellStart"/>
      <w:r w:rsidR="009D1EA9">
        <w:rPr>
          <w:i/>
          <w:iCs/>
        </w:rPr>
        <w:t>lupis</w:t>
      </w:r>
      <w:proofErr w:type="spellEnd"/>
      <w:r w:rsidR="009D1EA9">
        <w:rPr>
          <w:i/>
          <w:iCs/>
        </w:rPr>
        <w:t xml:space="preserve"> dingo</w:t>
      </w:r>
      <w:r w:rsidR="009D1EA9">
        <w:t>) and wolves (</w:t>
      </w:r>
      <w:r w:rsidR="009D1EA9">
        <w:rPr>
          <w:i/>
          <w:iCs/>
        </w:rPr>
        <w:t>Canis lupus</w:t>
      </w:r>
      <w:r w:rsidR="009D1EA9">
        <w:t xml:space="preserve">) </w:t>
      </w:r>
      <w:r w:rsidR="00E73DF1">
        <w:t>carry, on average, two copies of the gene</w:t>
      </w:r>
      <w:r w:rsidR="00D0591F">
        <w:t xml:space="preserve"> </w:t>
      </w:r>
      <w:r w:rsidR="00D0591F">
        <w:fldChar w:fldCharType="begin"/>
      </w:r>
      <w:r w:rsidR="00D0591F">
        <w:instrText xml:space="preserve"> ADDIN EN.CITE &lt;EndNote&gt;&lt;Cite&gt;&lt;Author&gt;Ollivier&lt;/Author&gt;&lt;Year&gt;2016&lt;/Year&gt;&lt;RecNum&gt;3502&lt;/RecNum&gt;&lt;DisplayText&gt;(Ollivier et al. 2016)&lt;/DisplayText&gt;&lt;record&gt;&lt;rec-number&gt;3502&lt;/rec-number&gt;&lt;foreign-keys&gt;&lt;key app="EN" db-id="25xswxp2s2w9rqe552ixtzfe5xf5twxpdt52" timestamp="1705205897"&gt;3502&lt;/key&gt;&lt;/foreign-keys&gt;&lt;ref-type name="Journal Article"&gt;17&lt;/ref-type&gt;&lt;contributors&gt;&lt;authors&gt;&lt;author&gt;Ollivier, Morgane&lt;/author&gt;&lt;author&gt;Tresset, Anne&lt;/author&gt;&lt;author&gt;Bastian, Fabiola&lt;/author&gt;&lt;author&gt;Lagoutte, Laetitia&lt;/author&gt;&lt;author&gt;Axelsson, Erik&lt;/author&gt;&lt;author&gt;Arendt, Maja-Louise&lt;/author&gt;&lt;author&gt;Bălăşescu, Adrian&lt;/author&gt;&lt;author&gt;Marshour, Marjan&lt;/author&gt;&lt;author&gt;Sablin, Mikhail V&lt;/author&gt;&lt;author&gt;Salanova, Laure&lt;/author&gt;&lt;/authors&gt;&lt;/contributors&gt;&lt;titles&gt;&lt;title&gt;Amy2B copy number variation reveals starch diet adaptations in ancient European dogs&lt;/title&gt;&lt;secondary-title&gt;Royal Society Open Science&lt;/secondary-title&gt;&lt;/titles&gt;&lt;periodical&gt;&lt;full-title&gt;Royal Society Open Science&lt;/full-title&gt;&lt;/periodical&gt;&lt;pages&gt;160449&lt;/pages&gt;&lt;volume&gt;3&lt;/volume&gt;&lt;number&gt;11&lt;/number&gt;&lt;dates&gt;&lt;year&gt;2016&lt;/year&gt;&lt;/dates&gt;&lt;isbn&gt;2054-5703&lt;/isbn&gt;&lt;urls&gt;&lt;/urls&gt;&lt;/record&gt;&lt;/Cite&gt;&lt;/EndNote&gt;</w:instrText>
      </w:r>
      <w:r w:rsidR="00D0591F">
        <w:fldChar w:fldCharType="separate"/>
      </w:r>
      <w:r w:rsidR="00D0591F">
        <w:rPr>
          <w:noProof/>
        </w:rPr>
        <w:t>(Ollivier et al. 2016)</w:t>
      </w:r>
      <w:r w:rsidR="00D0591F">
        <w:fldChar w:fldCharType="end"/>
      </w:r>
      <w:r w:rsidR="00D0591F">
        <w:t>.</w:t>
      </w:r>
    </w:p>
    <w:p w14:paraId="5CB50B46" w14:textId="3C5E0658" w:rsidR="00D5514E" w:rsidRDefault="00D5514E" w:rsidP="00D5514E">
      <w:pPr>
        <w:pStyle w:val="Heading1"/>
      </w:pPr>
      <w:r>
        <w:t>Materials and Methods</w:t>
      </w:r>
    </w:p>
    <w:p w14:paraId="7E2639D4" w14:textId="48CB1718" w:rsidR="00EB14C3" w:rsidRDefault="00EB14C3" w:rsidP="00991231">
      <w:r>
        <w:t>The population in this study consisted of two types of individuals: hosts and microbes. There is one type of host,</w:t>
      </w:r>
      <w:r w:rsidR="00BC4F5D">
        <w:t xml:space="preserve"> the dog,</w:t>
      </w:r>
      <w:r>
        <w:t xml:space="preserve"> and multiple types of microbes. </w:t>
      </w:r>
      <w:r w:rsidR="0055341E">
        <w:t xml:space="preserve">We focused upon a single gene, in keeping with the findings of </w:t>
      </w:r>
      <w:proofErr w:type="spellStart"/>
      <w:r w:rsidR="0055341E">
        <w:t>Rampelli</w:t>
      </w:r>
      <w:proofErr w:type="spellEnd"/>
      <w:r w:rsidR="0055341E">
        <w:t xml:space="preserve"> et al., the amylase gene, </w:t>
      </w:r>
      <w:r w:rsidR="0055341E" w:rsidRPr="0055341E">
        <w:t>AMY2B</w:t>
      </w:r>
      <w:r w:rsidR="0055341E">
        <w:t xml:space="preserve">. Each host </w:t>
      </w:r>
      <w:r w:rsidR="00633304">
        <w:t>starts with</w:t>
      </w:r>
      <w:r w:rsidR="0055341E">
        <w:t xml:space="preserve"> </w:t>
      </w:r>
      <w:r w:rsidR="00633304">
        <w:t>two</w:t>
      </w:r>
      <w:r w:rsidR="0055341E">
        <w:t xml:space="preserve"> cop</w:t>
      </w:r>
      <w:r w:rsidR="00633304">
        <w:t>ies</w:t>
      </w:r>
      <w:r w:rsidR="0055341E">
        <w:t xml:space="preserve"> of AMY2B</w:t>
      </w:r>
      <w:r w:rsidR="00633304">
        <w:t xml:space="preserve"> in the host genome</w:t>
      </w:r>
      <w:r w:rsidR="0055341E">
        <w:t xml:space="preserve">, </w:t>
      </w:r>
      <w:r w:rsidR="00633304">
        <w:t>and two in the microbial genome</w:t>
      </w:r>
      <w:r w:rsidR="0055341E">
        <w:t xml:space="preserve">. </w:t>
      </w:r>
      <w:r>
        <w:t xml:space="preserve">The number </w:t>
      </w:r>
      <w:r w:rsidR="00633304">
        <w:t xml:space="preserve">of </w:t>
      </w:r>
      <w:r>
        <w:t>microbes</w:t>
      </w:r>
      <w:r w:rsidR="00633304">
        <w:t xml:space="preserve"> in the microbiome</w:t>
      </w:r>
      <w:r>
        <w:t xml:space="preserve"> </w:t>
      </w:r>
      <w:r w:rsidR="00633304">
        <w:t>are</w:t>
      </w:r>
      <w:r>
        <w:t xml:space="preserve"> set randomly at the beginning of each run, and remained unchanged throughout the run.</w:t>
      </w:r>
      <w:r w:rsidR="0055341E">
        <w:t xml:space="preserve"> For each run of the algorithm, a population of hosts </w:t>
      </w:r>
      <w:r w:rsidR="00633304">
        <w:t>is</w:t>
      </w:r>
      <w:r w:rsidR="0055341E">
        <w:t xml:space="preserve"> established, each of which contained a subset of the available microbes. </w:t>
      </w:r>
      <w:r w:rsidR="005C095A">
        <w:t xml:space="preserve">Both host and microbiome </w:t>
      </w:r>
      <w:r w:rsidR="00633304">
        <w:t>are</w:t>
      </w:r>
      <w:r w:rsidR="005C095A">
        <w:t xml:space="preserve"> modelled as strings of genes, on the assumption that while the host genome is rarely shared with the gut microbes, the microbiome exchanges genes more-or-less freely</w:t>
      </w:r>
      <w:r w:rsidR="00952418">
        <w:t xml:space="preserve"> </w:t>
      </w:r>
      <w:r w:rsidR="00952418">
        <w:fldChar w:fldCharType="begin"/>
      </w:r>
      <w:r w:rsidR="00952418">
        <w:instrText xml:space="preserve"> ADDIN EN.CITE &lt;EndNote&gt;&lt;Cite&gt;&lt;Author&gt;de Sousa&lt;/Author&gt;&lt;Year&gt;2023&lt;/Year&gt;&lt;RecNum&gt;3498&lt;/RecNum&gt;&lt;DisplayText&gt;(de Sousa, Lourenço, and Gordo 2023)&lt;/DisplayText&gt;&lt;record&gt;&lt;rec-number&gt;3498&lt;/rec-number&gt;&lt;foreign-keys&gt;&lt;key app="EN" db-id="25xswxp2s2w9rqe552ixtzfe5xf5twxpdt52" timestamp="1705196057"&gt;3498&lt;/key&gt;&lt;/foreign-keys&gt;&lt;ref-type name="Journal Article"&gt;17&lt;/ref-type&gt;&lt;contributors&gt;&lt;authors&gt;&lt;author&gt;de Sousa, Jorge Moura&lt;/author&gt;&lt;author&gt;Lourenço, Marta&lt;/author&gt;&lt;author&gt;Gordo, Isabel&lt;/author&gt;&lt;/authors&gt;&lt;/contributors&gt;&lt;titles&gt;&lt;title&gt;Horizontal gene transfer among host-associated microbes&lt;/title&gt;&lt;secondary-title&gt;Cell Host &amp;amp; Microbe&lt;/secondary-title&gt;&lt;/titles&gt;&lt;periodical&gt;&lt;full-title&gt;Cell Host &amp;amp; Microbe&lt;/full-title&gt;&lt;/periodical&gt;&lt;pages&gt;513-527&lt;/pages&gt;&lt;volume&gt;31&lt;/volume&gt;&lt;number&gt;4&lt;/number&gt;&lt;dates&gt;&lt;year&gt;2023&lt;/year&gt;&lt;/dates&gt;&lt;isbn&gt;1931-3128&lt;/isbn&gt;&lt;urls&gt;&lt;/urls&gt;&lt;/record&gt;&lt;/Cite&gt;&lt;/EndNote&gt;</w:instrText>
      </w:r>
      <w:r w:rsidR="00952418">
        <w:fldChar w:fldCharType="separate"/>
      </w:r>
      <w:r w:rsidR="00952418">
        <w:rPr>
          <w:noProof/>
        </w:rPr>
        <w:t>(de Sousa, Lourenço, and Gordo 2023)</w:t>
      </w:r>
      <w:r w:rsidR="00952418">
        <w:fldChar w:fldCharType="end"/>
      </w:r>
      <w:r w:rsidR="005C095A">
        <w:t>, so microbes do not need to be modelled</w:t>
      </w:r>
      <w:r w:rsidR="005C095A" w:rsidRPr="005C095A">
        <w:t xml:space="preserve"> </w:t>
      </w:r>
      <w:r w:rsidR="005C095A">
        <w:t>individually.</w:t>
      </w:r>
    </w:p>
    <w:p w14:paraId="5D411C3A" w14:textId="697DEA39" w:rsidR="00952418" w:rsidRDefault="00952418" w:rsidP="00952418">
      <w:r>
        <w:t xml:space="preserve">In the absence of carbohydrate as an energy source, </w:t>
      </w:r>
      <w:r w:rsidR="00EE48CD">
        <w:t xml:space="preserve">wild canids obtain </w:t>
      </w:r>
      <w:r>
        <w:t>energy primarily from fat, carbohydrates, and protein from hunted or scavenged prey animals. However, there is an energy penalty involved in such scavenging and</w:t>
      </w:r>
      <w:proofErr w:type="gramStart"/>
      <w:r>
        <w:t>, in particular, hunting</w:t>
      </w:r>
      <w:proofErr w:type="gramEnd"/>
      <w:r>
        <w:t>.</w:t>
      </w:r>
    </w:p>
    <w:p w14:paraId="3442CF46" w14:textId="112D6DC5" w:rsidR="00D5514E" w:rsidRDefault="00D5514E" w:rsidP="0002338C">
      <w:pPr>
        <w:pStyle w:val="Heading2"/>
      </w:pPr>
      <w:r>
        <w:t>Evolutionary algorithm</w:t>
      </w:r>
    </w:p>
    <w:p w14:paraId="1101C9B5" w14:textId="77777777" w:rsidR="00CA6D4F" w:rsidRDefault="00CA6D4F" w:rsidP="00991231"/>
    <w:p w14:paraId="2243CF71" w14:textId="2288D09A" w:rsidR="00633304" w:rsidRDefault="00CA6D4F" w:rsidP="00CA6D4F">
      <w:pPr>
        <w:jc w:val="center"/>
      </w:pPr>
      <w:r>
        <w:rPr>
          <w:noProof/>
        </w:rPr>
        <w:lastRenderedPageBreak/>
        <w:drawing>
          <wp:inline distT="0" distB="0" distL="0" distR="0" wp14:anchorId="13AA3121" wp14:editId="52223F9A">
            <wp:extent cx="2898901" cy="3276600"/>
            <wp:effectExtent l="0" t="0" r="0" b="0"/>
            <wp:docPr id="48968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87104" name="Picture 489687104"/>
                    <pic:cNvPicPr/>
                  </pic:nvPicPr>
                  <pic:blipFill>
                    <a:blip r:embed="rId5">
                      <a:extLst>
                        <a:ext uri="{28A0092B-C50C-407E-A947-70E740481C1C}">
                          <a14:useLocalDpi xmlns:a14="http://schemas.microsoft.com/office/drawing/2010/main" val="0"/>
                        </a:ext>
                      </a:extLst>
                    </a:blip>
                    <a:stretch>
                      <a:fillRect/>
                    </a:stretch>
                  </pic:blipFill>
                  <pic:spPr>
                    <a:xfrm>
                      <a:off x="0" y="0"/>
                      <a:ext cx="2907140" cy="3285913"/>
                    </a:xfrm>
                    <a:prstGeom prst="rect">
                      <a:avLst/>
                    </a:prstGeom>
                  </pic:spPr>
                </pic:pic>
              </a:graphicData>
            </a:graphic>
          </wp:inline>
        </w:drawing>
      </w:r>
    </w:p>
    <w:p w14:paraId="5540907E" w14:textId="4BA80D7C" w:rsidR="00CA6D4F" w:rsidRPr="00CA6D4F" w:rsidRDefault="00CA6D4F" w:rsidP="00CA6D4F">
      <w:pPr>
        <w:pStyle w:val="FigureCaption"/>
      </w:pPr>
      <w:r w:rsidRPr="00CA6D4F">
        <w:t>Figure 1. The evolutionary algorithm. Tournament selection is used to select parents from the next generation; following the generation of offspring a proportion of less fit individuals are deleted at random.</w:t>
      </w:r>
    </w:p>
    <w:p w14:paraId="0B54E726" w14:textId="6939F543" w:rsidR="00EE48CD" w:rsidRDefault="00EE48CD" w:rsidP="00EE48CD">
      <w:pPr>
        <w:pStyle w:val="Heading3"/>
      </w:pPr>
      <w:r>
        <w:t>Fitness function</w:t>
      </w:r>
    </w:p>
    <w:p w14:paraId="1005B4B1" w14:textId="590C9754" w:rsidR="00EE48CD" w:rsidRDefault="004A27BE" w:rsidP="004A27BE">
      <w:r>
        <w:t xml:space="preserve">The fitness function used was based on the proportions of energy sources used by wolves, which have little exposure to humans. Wolves have a small number of AMY2B genes, because they encounter vegetable matter in the gut of prey, and there is some evidence that individuals, particularly pups may deliberately eat vegetation to treat gastrointestinal problems. </w:t>
      </w:r>
      <w:r w:rsidRPr="001C529D">
        <w:t xml:space="preserve">The protein–fat–carbohydrate profile of wolves in </w:t>
      </w:r>
      <w:r>
        <w:t>a</w:t>
      </w:r>
      <w:r w:rsidRPr="001C529D">
        <w:t xml:space="preserve"> study</w:t>
      </w:r>
      <w:r>
        <w:t xml:space="preserve"> by</w:t>
      </w:r>
      <w:r w:rsidRPr="001C529D">
        <w:t xml:space="preserve"> </w:t>
      </w:r>
      <w:r>
        <w:fldChar w:fldCharType="begin"/>
      </w:r>
      <w:r>
        <w:instrText xml:space="preserve"> ADDIN EN.CITE &lt;EndNote&gt;&lt;Cite&gt;&lt;Author&gt;Hewson-Hughes&lt;/Author&gt;&lt;Year&gt;2012&lt;/Year&gt;&lt;RecNum&gt;3465&lt;/RecNum&gt;&lt;DisplayText&gt;(Hewson-Hughes et al. 2012)&lt;/DisplayText&gt;&lt;record&gt;&lt;rec-number&gt;3465&lt;/rec-number&gt;&lt;foreign-keys&gt;&lt;key app="EN" db-id="25xswxp2s2w9rqe552ixtzfe5xf5twxpdt52" timestamp="1652061893"&gt;3465&lt;/key&gt;&lt;/foreign-keys&gt;&lt;ref-type name="Journal Article"&gt;17&lt;/ref-type&gt;&lt;contributors&gt;&lt;authors&gt;&lt;author&gt;Hewson-Hughes, Adrian K.&lt;/author&gt;&lt;author&gt;Hewson-Hughes, Victoria L.&lt;/author&gt;&lt;author&gt;Colyer, Alison&lt;/author&gt;&lt;author&gt;Miller, Andrew T.&lt;/author&gt;&lt;author&gt;McGrane, Scott J.&lt;/author&gt;&lt;author&gt;Hall, Simon R.&lt;/author&gt;&lt;author&gt;Butterwick, Richard F.&lt;/author&gt;&lt;author&gt;Simpson, Stephen J.&lt;/author&gt;&lt;author&gt;Raubenheimer, David&lt;/author&gt;&lt;/authors&gt;&lt;/contributors&gt;&lt;titles&gt;&lt;title&gt;Geometric analysis of macronutrient selection in breeds of the domestic dog, Canis lupus familiaris&lt;/title&gt;&lt;secondary-title&gt;Behavioral Ecology&lt;/secondary-title&gt;&lt;/titles&gt;&lt;periodical&gt;&lt;full-title&gt;Behavioral Ecology&lt;/full-title&gt;&lt;/periodical&gt;&lt;pages&gt;293-304&lt;/pages&gt;&lt;volume&gt;24&lt;/volume&gt;&lt;number&gt;1&lt;/number&gt;&lt;dates&gt;&lt;year&gt;2012&lt;/year&gt;&lt;/dates&gt;&lt;isbn&gt;1045-2249&lt;/isbn&gt;&lt;urls&gt;&lt;related-urls&gt;&lt;url&gt;https://doi.org/10.1093/beheco/ars168&lt;/url&gt;&lt;/related-urls&gt;&lt;/urls&gt;&lt;electronic-resource-num&gt;10.1093/beheco/ars168&lt;/electronic-resource-num&gt;&lt;access-date&gt;5/9/2022&lt;/access-date&gt;&lt;/record&gt;&lt;/Cite&gt;&lt;/EndNote&gt;</w:instrText>
      </w:r>
      <w:r>
        <w:fldChar w:fldCharType="separate"/>
      </w:r>
      <w:r>
        <w:rPr>
          <w:noProof/>
        </w:rPr>
        <w:t>(Hewson-Hughes et al. 2012)</w:t>
      </w:r>
      <w:r>
        <w:fldChar w:fldCharType="end"/>
      </w:r>
      <w:r>
        <w:t xml:space="preserve"> was </w:t>
      </w:r>
      <w:r w:rsidRPr="001C529D">
        <w:t>54:45:1%</w:t>
      </w:r>
      <w:r>
        <w:t>,</w:t>
      </w:r>
      <w:r w:rsidRPr="001C529D">
        <w:t xml:space="preserve"> different from that in </w:t>
      </w:r>
      <w:r>
        <w:t xml:space="preserve">domestic </w:t>
      </w:r>
      <w:r w:rsidRPr="001C529D">
        <w:t xml:space="preserve">dogs, </w:t>
      </w:r>
      <w:r>
        <w:t>which was measured at</w:t>
      </w:r>
      <w:r w:rsidRPr="001C529D">
        <w:t xml:space="preserve"> 30:63:7% by energy</w:t>
      </w:r>
      <w:r>
        <w:t>.</w:t>
      </w:r>
      <w:r w:rsidR="00EF306B">
        <w:t xml:space="preserve"> For all nutrients a maximum amount which can be utilized is set.</w:t>
      </w:r>
    </w:p>
    <w:p w14:paraId="19BF2E74" w14:textId="592922C5" w:rsidR="00EF306B" w:rsidRDefault="00EF306B" w:rsidP="004A27BE">
      <w:r>
        <w:t>Under the assumption that carbohydrate is the preferred source of energy, this nutrient is considered first when calculating the fitness. Protein and fat are then assessed in turn</w:t>
      </w:r>
      <w:r w:rsidR="00506EFA">
        <w:t xml:space="preserve">. Protein and fat incur an energy penalty to reflect the effort required to hunt, whereas carbohydrate does not. The total fitness is </w:t>
      </w:r>
      <w:proofErr w:type="gramStart"/>
      <w:r w:rsidR="00506EFA">
        <w:t>thus</w:t>
      </w:r>
      <w:proofErr w:type="gramEnd"/>
    </w:p>
    <w:p w14:paraId="025C6CCF" w14:textId="51815D20" w:rsidR="00506EFA" w:rsidRPr="00506EFA" w:rsidRDefault="00506EFA" w:rsidP="004A27BE">
      <w:pPr>
        <w:rPr>
          <w:rFonts w:eastAsiaTheme="minorEastAsia"/>
        </w:rPr>
      </w:pPr>
      <m:oMathPara>
        <m:oMath>
          <m:r>
            <w:rPr>
              <w:rFonts w:ascii="Cambria Math" w:hAnsi="Cambria Math"/>
            </w:rPr>
            <m:t>fit=c+</m:t>
          </m:r>
          <m:d>
            <m:dPr>
              <m:ctrlPr>
                <w:rPr>
                  <w:rFonts w:ascii="Cambria Math" w:hAnsi="Cambria Math"/>
                  <w:i/>
                </w:rPr>
              </m:ctrlPr>
            </m:dPr>
            <m:e>
              <m:r>
                <w:rPr>
                  <w:rFonts w:ascii="Cambria Math" w:hAnsi="Cambria Math"/>
                </w:rPr>
                <m:t>p-pen</m:t>
              </m:r>
            </m:e>
          </m:d>
          <m:r>
            <w:rPr>
              <w:rFonts w:ascii="Cambria Math" w:hAnsi="Cambria Math"/>
            </w:rPr>
            <m:t>+</m:t>
          </m:r>
          <m:d>
            <m:dPr>
              <m:ctrlPr>
                <w:rPr>
                  <w:rFonts w:ascii="Cambria Math" w:hAnsi="Cambria Math"/>
                  <w:i/>
                </w:rPr>
              </m:ctrlPr>
            </m:dPr>
            <m:e>
              <m:r>
                <w:rPr>
                  <w:rFonts w:ascii="Cambria Math" w:hAnsi="Cambria Math"/>
                </w:rPr>
                <m:t>f-pen</m:t>
              </m:r>
            </m:e>
          </m:d>
        </m:oMath>
      </m:oMathPara>
    </w:p>
    <w:p w14:paraId="708A10CA" w14:textId="25714BA8" w:rsidR="00506EFA" w:rsidRPr="00506EFA" w:rsidRDefault="00506EFA" w:rsidP="004A27BE">
      <w:pPr>
        <w:rPr>
          <w:rFonts w:eastAsiaTheme="minorEastAsia"/>
        </w:rPr>
      </w:pPr>
      <w:r>
        <w:rPr>
          <w:rFonts w:eastAsiaTheme="minorEastAsia"/>
        </w:rPr>
        <w:t xml:space="preserve">Where </w:t>
      </w:r>
      <w:r>
        <w:rPr>
          <w:rFonts w:eastAsiaTheme="minorEastAsia"/>
          <w:i/>
          <w:iCs/>
        </w:rPr>
        <w:t>c</w:t>
      </w:r>
      <w:r>
        <w:rPr>
          <w:rFonts w:eastAsiaTheme="minorEastAsia"/>
        </w:rPr>
        <w:t xml:space="preserve"> is carbohydrate, </w:t>
      </w:r>
      <w:r>
        <w:rPr>
          <w:rFonts w:eastAsiaTheme="minorEastAsia"/>
          <w:i/>
          <w:iCs/>
        </w:rPr>
        <w:t>p</w:t>
      </w:r>
      <w:r>
        <w:rPr>
          <w:rFonts w:eastAsiaTheme="minorEastAsia"/>
        </w:rPr>
        <w:t xml:space="preserve"> is the amount of protein available, </w:t>
      </w:r>
      <w:r>
        <w:rPr>
          <w:rFonts w:eastAsiaTheme="minorEastAsia"/>
          <w:i/>
          <w:iCs/>
        </w:rPr>
        <w:t>f</w:t>
      </w:r>
      <w:r>
        <w:rPr>
          <w:rFonts w:eastAsiaTheme="minorEastAsia"/>
        </w:rPr>
        <w:t xml:space="preserve"> is the amount of fat available, and </w:t>
      </w:r>
      <w:r>
        <w:rPr>
          <w:rFonts w:eastAsiaTheme="minorEastAsia"/>
          <w:i/>
          <w:iCs/>
        </w:rPr>
        <w:t>pen</w:t>
      </w:r>
      <w:r>
        <w:rPr>
          <w:rFonts w:eastAsiaTheme="minorEastAsia"/>
        </w:rPr>
        <w:t xml:space="preserve"> is the penalty term.</w:t>
      </w:r>
    </w:p>
    <w:p w14:paraId="6D0A4E45" w14:textId="0579B77C" w:rsidR="007C740D" w:rsidRDefault="007C740D" w:rsidP="00EE48CD">
      <w:pPr>
        <w:pStyle w:val="Heading3"/>
      </w:pPr>
      <w:r>
        <w:t>Parameters</w:t>
      </w:r>
    </w:p>
    <w:p w14:paraId="11652DB1" w14:textId="24A00A17" w:rsidR="001C529D" w:rsidRDefault="007C740D" w:rsidP="004A27BE">
      <w:r>
        <w:t>As many as possible of the parameters for the algorithm were taken from the literature.</w:t>
      </w:r>
    </w:p>
    <w:tbl>
      <w:tblPr>
        <w:tblStyle w:val="TableGrid"/>
        <w:tblW w:w="0" w:type="auto"/>
        <w:tblLook w:val="04A0" w:firstRow="1" w:lastRow="0" w:firstColumn="1" w:lastColumn="0" w:noHBand="0" w:noVBand="1"/>
      </w:tblPr>
      <w:tblGrid>
        <w:gridCol w:w="1561"/>
        <w:gridCol w:w="3588"/>
        <w:gridCol w:w="852"/>
        <w:gridCol w:w="1157"/>
        <w:gridCol w:w="1535"/>
      </w:tblGrid>
      <w:tr w:rsidR="007C740D" w:rsidRPr="007C740D" w14:paraId="5B32666C" w14:textId="77777777" w:rsidTr="00620FA7">
        <w:tc>
          <w:tcPr>
            <w:tcW w:w="1561" w:type="dxa"/>
          </w:tcPr>
          <w:p w14:paraId="1EB1E2F2" w14:textId="77777777" w:rsidR="007C740D" w:rsidRPr="007C740D" w:rsidRDefault="007C740D" w:rsidP="007C740D">
            <w:pPr>
              <w:spacing w:after="0" w:line="240" w:lineRule="auto"/>
            </w:pPr>
            <w:r w:rsidRPr="007C740D">
              <w:t>Parameter</w:t>
            </w:r>
          </w:p>
        </w:tc>
        <w:tc>
          <w:tcPr>
            <w:tcW w:w="3588" w:type="dxa"/>
          </w:tcPr>
          <w:p w14:paraId="295C18BC" w14:textId="77777777" w:rsidR="007C740D" w:rsidRPr="007C740D" w:rsidRDefault="007C740D" w:rsidP="007C740D">
            <w:pPr>
              <w:spacing w:after="0" w:line="240" w:lineRule="auto"/>
            </w:pPr>
            <w:r w:rsidRPr="007C740D">
              <w:t>Meaning</w:t>
            </w:r>
          </w:p>
        </w:tc>
        <w:tc>
          <w:tcPr>
            <w:tcW w:w="852" w:type="dxa"/>
          </w:tcPr>
          <w:p w14:paraId="4D2DAE53" w14:textId="77777777" w:rsidR="007C740D" w:rsidRPr="007C740D" w:rsidRDefault="007C740D" w:rsidP="007C740D">
            <w:pPr>
              <w:spacing w:after="0" w:line="240" w:lineRule="auto"/>
            </w:pPr>
            <w:r w:rsidRPr="007C740D">
              <w:t>Value</w:t>
            </w:r>
          </w:p>
        </w:tc>
        <w:tc>
          <w:tcPr>
            <w:tcW w:w="1157" w:type="dxa"/>
          </w:tcPr>
          <w:p w14:paraId="27026E2F" w14:textId="16F7C7C7" w:rsidR="007C740D" w:rsidRPr="007C740D" w:rsidRDefault="007C740D" w:rsidP="007C740D">
            <w:pPr>
              <w:spacing w:after="0" w:line="240" w:lineRule="auto"/>
            </w:pPr>
            <w:r>
              <w:t>Mutable?</w:t>
            </w:r>
          </w:p>
        </w:tc>
        <w:tc>
          <w:tcPr>
            <w:tcW w:w="1535" w:type="dxa"/>
          </w:tcPr>
          <w:p w14:paraId="6C8591AC" w14:textId="0B145B62" w:rsidR="007C740D" w:rsidRPr="007C740D" w:rsidRDefault="007C740D" w:rsidP="007C740D">
            <w:pPr>
              <w:spacing w:after="0" w:line="240" w:lineRule="auto"/>
            </w:pPr>
            <w:r w:rsidRPr="007C740D">
              <w:t>Reference</w:t>
            </w:r>
          </w:p>
        </w:tc>
      </w:tr>
      <w:tr w:rsidR="007C740D" w:rsidRPr="007C740D" w14:paraId="4E68B22F" w14:textId="77777777" w:rsidTr="00620FA7">
        <w:tc>
          <w:tcPr>
            <w:tcW w:w="1561" w:type="dxa"/>
          </w:tcPr>
          <w:p w14:paraId="21C83F3C" w14:textId="78E5706B" w:rsidR="007C740D" w:rsidRPr="007C740D" w:rsidRDefault="007C740D" w:rsidP="007C740D">
            <w:pPr>
              <w:spacing w:after="0" w:line="240" w:lineRule="auto"/>
            </w:pPr>
            <w:proofErr w:type="spellStart"/>
            <w:r>
              <w:lastRenderedPageBreak/>
              <w:t>hAmy</w:t>
            </w:r>
            <w:proofErr w:type="spellEnd"/>
          </w:p>
        </w:tc>
        <w:tc>
          <w:tcPr>
            <w:tcW w:w="3588" w:type="dxa"/>
          </w:tcPr>
          <w:p w14:paraId="1A2E94BA" w14:textId="4E763155" w:rsidR="007C740D" w:rsidRPr="007C740D" w:rsidRDefault="007C740D" w:rsidP="007C740D">
            <w:pPr>
              <w:spacing w:after="0" w:line="240" w:lineRule="auto"/>
            </w:pPr>
            <w:r>
              <w:t>Number of host amylase genes</w:t>
            </w:r>
          </w:p>
        </w:tc>
        <w:tc>
          <w:tcPr>
            <w:tcW w:w="852" w:type="dxa"/>
          </w:tcPr>
          <w:p w14:paraId="080C5254" w14:textId="5C34BE69" w:rsidR="007C740D" w:rsidRPr="007C740D" w:rsidRDefault="00620FA7" w:rsidP="007C740D">
            <w:pPr>
              <w:spacing w:after="0" w:line="240" w:lineRule="auto"/>
            </w:pPr>
            <w:r>
              <w:t>2</w:t>
            </w:r>
          </w:p>
        </w:tc>
        <w:tc>
          <w:tcPr>
            <w:tcW w:w="1157" w:type="dxa"/>
          </w:tcPr>
          <w:p w14:paraId="5F976043" w14:textId="77777777" w:rsidR="007C740D" w:rsidRPr="007C740D" w:rsidRDefault="007C740D" w:rsidP="007C740D">
            <w:pPr>
              <w:spacing w:after="0" w:line="240" w:lineRule="auto"/>
            </w:pPr>
          </w:p>
        </w:tc>
        <w:tc>
          <w:tcPr>
            <w:tcW w:w="1535" w:type="dxa"/>
          </w:tcPr>
          <w:p w14:paraId="5BBF212D" w14:textId="2349C1AA" w:rsidR="007C740D" w:rsidRPr="007C740D" w:rsidRDefault="007C740D" w:rsidP="007C740D">
            <w:pPr>
              <w:spacing w:after="0" w:line="240" w:lineRule="auto"/>
            </w:pPr>
          </w:p>
        </w:tc>
      </w:tr>
      <w:tr w:rsidR="007C740D" w:rsidRPr="007C740D" w14:paraId="6D6DC695" w14:textId="77777777" w:rsidTr="00620FA7">
        <w:tc>
          <w:tcPr>
            <w:tcW w:w="1561" w:type="dxa"/>
          </w:tcPr>
          <w:p w14:paraId="612CCFFA" w14:textId="49606F85" w:rsidR="007C740D" w:rsidRDefault="007C740D" w:rsidP="007C740D">
            <w:pPr>
              <w:spacing w:after="0" w:line="240" w:lineRule="auto"/>
            </w:pPr>
            <w:proofErr w:type="spellStart"/>
            <w:r>
              <w:t>mAmy</w:t>
            </w:r>
            <w:proofErr w:type="spellEnd"/>
          </w:p>
        </w:tc>
        <w:tc>
          <w:tcPr>
            <w:tcW w:w="3588" w:type="dxa"/>
          </w:tcPr>
          <w:p w14:paraId="0F339B91" w14:textId="01FCAC30" w:rsidR="007C740D" w:rsidRDefault="007C740D" w:rsidP="007C740D">
            <w:pPr>
              <w:spacing w:after="0" w:line="240" w:lineRule="auto"/>
            </w:pPr>
            <w:r>
              <w:t>Proportion of microbial genes which are amylases</w:t>
            </w:r>
          </w:p>
        </w:tc>
        <w:tc>
          <w:tcPr>
            <w:tcW w:w="852" w:type="dxa"/>
          </w:tcPr>
          <w:p w14:paraId="49E3B2D0" w14:textId="77777777" w:rsidR="007C740D" w:rsidRDefault="007C740D" w:rsidP="007C740D">
            <w:pPr>
              <w:spacing w:after="0" w:line="240" w:lineRule="auto"/>
            </w:pPr>
          </w:p>
        </w:tc>
        <w:tc>
          <w:tcPr>
            <w:tcW w:w="1157" w:type="dxa"/>
          </w:tcPr>
          <w:p w14:paraId="490DBDD7" w14:textId="77777777" w:rsidR="007C740D" w:rsidRPr="007C740D" w:rsidRDefault="007C740D" w:rsidP="007C740D">
            <w:pPr>
              <w:spacing w:after="0" w:line="240" w:lineRule="auto"/>
            </w:pPr>
          </w:p>
        </w:tc>
        <w:tc>
          <w:tcPr>
            <w:tcW w:w="1535" w:type="dxa"/>
          </w:tcPr>
          <w:p w14:paraId="3F4FA4B0" w14:textId="4D54CB72" w:rsidR="007C740D" w:rsidRPr="007C740D" w:rsidRDefault="007C740D" w:rsidP="007C740D">
            <w:pPr>
              <w:spacing w:after="0" w:line="240" w:lineRule="auto"/>
            </w:pPr>
          </w:p>
        </w:tc>
      </w:tr>
      <w:tr w:rsidR="007C740D" w:rsidRPr="007C740D" w14:paraId="44FBFFD1" w14:textId="77777777" w:rsidTr="00620FA7">
        <w:tc>
          <w:tcPr>
            <w:tcW w:w="1561" w:type="dxa"/>
          </w:tcPr>
          <w:p w14:paraId="301532B2" w14:textId="363D83DB" w:rsidR="007C740D" w:rsidRDefault="007C740D" w:rsidP="007C740D">
            <w:pPr>
              <w:spacing w:after="0" w:line="240" w:lineRule="auto"/>
            </w:pPr>
            <w:r>
              <w:t>Fat</w:t>
            </w:r>
          </w:p>
        </w:tc>
        <w:tc>
          <w:tcPr>
            <w:tcW w:w="3588" w:type="dxa"/>
          </w:tcPr>
          <w:p w14:paraId="3846A843" w14:textId="7CEA8A02" w:rsidR="007C740D" w:rsidRDefault="007C740D" w:rsidP="007C740D">
            <w:pPr>
              <w:spacing w:after="0" w:line="240" w:lineRule="auto"/>
            </w:pPr>
            <w:r>
              <w:t xml:space="preserve">Amount of fat </w:t>
            </w:r>
            <w:r w:rsidR="00C36BA3">
              <w:t>available</w:t>
            </w:r>
          </w:p>
        </w:tc>
        <w:tc>
          <w:tcPr>
            <w:tcW w:w="852" w:type="dxa"/>
          </w:tcPr>
          <w:p w14:paraId="09B1E4C4" w14:textId="50D86061" w:rsidR="007C740D" w:rsidRDefault="007C740D" w:rsidP="007C740D">
            <w:pPr>
              <w:spacing w:after="0" w:line="240" w:lineRule="auto"/>
            </w:pPr>
            <w:r>
              <w:t>10</w:t>
            </w:r>
          </w:p>
        </w:tc>
        <w:tc>
          <w:tcPr>
            <w:tcW w:w="1157" w:type="dxa"/>
          </w:tcPr>
          <w:p w14:paraId="2BED642B" w14:textId="3AB7D7BD" w:rsidR="007C740D" w:rsidRPr="007C740D" w:rsidRDefault="007C740D" w:rsidP="007C740D">
            <w:pPr>
              <w:spacing w:after="0" w:line="240" w:lineRule="auto"/>
            </w:pPr>
            <w:r>
              <w:t>Y</w:t>
            </w:r>
          </w:p>
        </w:tc>
        <w:tc>
          <w:tcPr>
            <w:tcW w:w="1535" w:type="dxa"/>
          </w:tcPr>
          <w:p w14:paraId="08A1DF31" w14:textId="2F38AA63" w:rsidR="007C740D" w:rsidRPr="007C740D" w:rsidRDefault="007C740D" w:rsidP="007C740D">
            <w:pPr>
              <w:spacing w:after="0" w:line="240" w:lineRule="auto"/>
            </w:pPr>
          </w:p>
        </w:tc>
      </w:tr>
      <w:tr w:rsidR="00886C6B" w:rsidRPr="007C740D" w14:paraId="09E9CA67" w14:textId="77777777" w:rsidTr="00620FA7">
        <w:tc>
          <w:tcPr>
            <w:tcW w:w="1561" w:type="dxa"/>
          </w:tcPr>
          <w:p w14:paraId="34AEA904" w14:textId="2F36F266" w:rsidR="00886C6B" w:rsidRDefault="00886C6B" w:rsidP="007C740D">
            <w:pPr>
              <w:spacing w:after="0" w:line="240" w:lineRule="auto"/>
            </w:pPr>
            <w:r>
              <w:t>Carb</w:t>
            </w:r>
          </w:p>
        </w:tc>
        <w:tc>
          <w:tcPr>
            <w:tcW w:w="3588" w:type="dxa"/>
          </w:tcPr>
          <w:p w14:paraId="2B96BC92" w14:textId="7BBB129A" w:rsidR="00886C6B" w:rsidRDefault="00886C6B" w:rsidP="007C740D">
            <w:pPr>
              <w:spacing w:after="0" w:line="240" w:lineRule="auto"/>
            </w:pPr>
            <w:r>
              <w:t xml:space="preserve">Amount of carbohydrate </w:t>
            </w:r>
            <w:r w:rsidR="00C36BA3">
              <w:t>available</w:t>
            </w:r>
          </w:p>
        </w:tc>
        <w:tc>
          <w:tcPr>
            <w:tcW w:w="852" w:type="dxa"/>
          </w:tcPr>
          <w:p w14:paraId="50CCF6C5" w14:textId="506E3425" w:rsidR="00886C6B" w:rsidRDefault="00886C6B" w:rsidP="007C740D">
            <w:pPr>
              <w:spacing w:after="0" w:line="240" w:lineRule="auto"/>
            </w:pPr>
            <w:r>
              <w:t>2</w:t>
            </w:r>
          </w:p>
        </w:tc>
        <w:tc>
          <w:tcPr>
            <w:tcW w:w="1157" w:type="dxa"/>
          </w:tcPr>
          <w:p w14:paraId="6223B337" w14:textId="1B7F9046" w:rsidR="00886C6B" w:rsidRDefault="00C36BA3" w:rsidP="007C740D">
            <w:pPr>
              <w:spacing w:after="0" w:line="240" w:lineRule="auto"/>
            </w:pPr>
            <w:r>
              <w:t>Y</w:t>
            </w:r>
          </w:p>
        </w:tc>
        <w:tc>
          <w:tcPr>
            <w:tcW w:w="1535" w:type="dxa"/>
          </w:tcPr>
          <w:p w14:paraId="0E9F220B" w14:textId="77777777" w:rsidR="00886C6B" w:rsidRPr="007C740D" w:rsidRDefault="00886C6B" w:rsidP="007C740D">
            <w:pPr>
              <w:spacing w:after="0" w:line="240" w:lineRule="auto"/>
            </w:pPr>
          </w:p>
        </w:tc>
      </w:tr>
      <w:tr w:rsidR="00C36BA3" w:rsidRPr="007C740D" w14:paraId="668AC168" w14:textId="77777777" w:rsidTr="00620FA7">
        <w:tc>
          <w:tcPr>
            <w:tcW w:w="1561" w:type="dxa"/>
          </w:tcPr>
          <w:p w14:paraId="614C30AA" w14:textId="1694E055" w:rsidR="00C36BA3" w:rsidRDefault="00C36BA3" w:rsidP="007C740D">
            <w:pPr>
              <w:spacing w:after="0" w:line="240" w:lineRule="auto"/>
            </w:pPr>
            <w:r>
              <w:t>Protein</w:t>
            </w:r>
          </w:p>
        </w:tc>
        <w:tc>
          <w:tcPr>
            <w:tcW w:w="3588" w:type="dxa"/>
          </w:tcPr>
          <w:p w14:paraId="42F3E115" w14:textId="61739FF8" w:rsidR="00C36BA3" w:rsidRDefault="00C36BA3" w:rsidP="007C740D">
            <w:pPr>
              <w:spacing w:after="0" w:line="240" w:lineRule="auto"/>
            </w:pPr>
            <w:r>
              <w:t>Amount of protein available</w:t>
            </w:r>
          </w:p>
        </w:tc>
        <w:tc>
          <w:tcPr>
            <w:tcW w:w="852" w:type="dxa"/>
          </w:tcPr>
          <w:p w14:paraId="210EB367" w14:textId="6DC144E9" w:rsidR="00C36BA3" w:rsidRDefault="00C36BA3" w:rsidP="007C740D">
            <w:pPr>
              <w:spacing w:after="0" w:line="240" w:lineRule="auto"/>
            </w:pPr>
            <w:r>
              <w:t>10</w:t>
            </w:r>
          </w:p>
        </w:tc>
        <w:tc>
          <w:tcPr>
            <w:tcW w:w="1157" w:type="dxa"/>
          </w:tcPr>
          <w:p w14:paraId="4C0548EA" w14:textId="2A7D96AE" w:rsidR="00C36BA3" w:rsidRDefault="00C36BA3" w:rsidP="007C740D">
            <w:pPr>
              <w:spacing w:after="0" w:line="240" w:lineRule="auto"/>
            </w:pPr>
            <w:r>
              <w:t>Y</w:t>
            </w:r>
          </w:p>
        </w:tc>
        <w:tc>
          <w:tcPr>
            <w:tcW w:w="1535" w:type="dxa"/>
          </w:tcPr>
          <w:p w14:paraId="01CB1254" w14:textId="77777777" w:rsidR="00C36BA3" w:rsidRPr="007C740D" w:rsidRDefault="00C36BA3" w:rsidP="007C740D">
            <w:pPr>
              <w:spacing w:after="0" w:line="240" w:lineRule="auto"/>
            </w:pPr>
          </w:p>
        </w:tc>
      </w:tr>
      <w:tr w:rsidR="00A36A93" w:rsidRPr="007C740D" w14:paraId="7A023A2E" w14:textId="77777777" w:rsidTr="00620FA7">
        <w:tc>
          <w:tcPr>
            <w:tcW w:w="1561" w:type="dxa"/>
          </w:tcPr>
          <w:p w14:paraId="6F3CAF02" w14:textId="5475FF92" w:rsidR="00A36A93" w:rsidRDefault="00A36A93" w:rsidP="007C740D">
            <w:pPr>
              <w:spacing w:after="0" w:line="240" w:lineRule="auto"/>
            </w:pPr>
            <w:r>
              <w:t>Penalty</w:t>
            </w:r>
          </w:p>
        </w:tc>
        <w:tc>
          <w:tcPr>
            <w:tcW w:w="3588" w:type="dxa"/>
          </w:tcPr>
          <w:p w14:paraId="0612DD16" w14:textId="5CB4136B" w:rsidR="00A36A93" w:rsidRDefault="00A36A93" w:rsidP="007C740D">
            <w:pPr>
              <w:spacing w:after="0" w:line="240" w:lineRule="auto"/>
            </w:pPr>
            <w:r>
              <w:t>P</w:t>
            </w:r>
            <w:r w:rsidRPr="00A36A93">
              <w:t>enalty to obtain protein or fat</w:t>
            </w:r>
          </w:p>
        </w:tc>
        <w:tc>
          <w:tcPr>
            <w:tcW w:w="852" w:type="dxa"/>
          </w:tcPr>
          <w:p w14:paraId="1CB84420" w14:textId="0359D03C" w:rsidR="00A36A93" w:rsidRDefault="00A36A93" w:rsidP="007C740D">
            <w:pPr>
              <w:spacing w:after="0" w:line="240" w:lineRule="auto"/>
            </w:pPr>
            <w:r>
              <w:t>1</w:t>
            </w:r>
          </w:p>
        </w:tc>
        <w:tc>
          <w:tcPr>
            <w:tcW w:w="1157" w:type="dxa"/>
          </w:tcPr>
          <w:p w14:paraId="641A3CC4" w14:textId="2796318A" w:rsidR="00A36A93" w:rsidRDefault="00A36A93" w:rsidP="007C740D">
            <w:pPr>
              <w:spacing w:after="0" w:line="240" w:lineRule="auto"/>
            </w:pPr>
            <w:r>
              <w:t>Y</w:t>
            </w:r>
          </w:p>
        </w:tc>
        <w:tc>
          <w:tcPr>
            <w:tcW w:w="1535" w:type="dxa"/>
          </w:tcPr>
          <w:p w14:paraId="5D9A0D6F" w14:textId="77777777" w:rsidR="00A36A93" w:rsidRPr="007C740D" w:rsidRDefault="00A36A93" w:rsidP="007C740D">
            <w:pPr>
              <w:spacing w:after="0" w:line="240" w:lineRule="auto"/>
            </w:pPr>
          </w:p>
        </w:tc>
      </w:tr>
      <w:tr w:rsidR="00B44255" w:rsidRPr="007C740D" w14:paraId="0CF4851C" w14:textId="77777777" w:rsidTr="00620FA7">
        <w:tc>
          <w:tcPr>
            <w:tcW w:w="1561" w:type="dxa"/>
          </w:tcPr>
          <w:p w14:paraId="173BFAF2" w14:textId="54FB7725" w:rsidR="00B44255" w:rsidRDefault="00B44255" w:rsidP="007C740D">
            <w:pPr>
              <w:spacing w:after="0" w:line="240" w:lineRule="auto"/>
            </w:pPr>
            <w:proofErr w:type="spellStart"/>
            <w:r>
              <w:t>cMax</w:t>
            </w:r>
            <w:proofErr w:type="spellEnd"/>
          </w:p>
        </w:tc>
        <w:tc>
          <w:tcPr>
            <w:tcW w:w="3588" w:type="dxa"/>
          </w:tcPr>
          <w:p w14:paraId="7316E257" w14:textId="26563F14" w:rsidR="00B44255" w:rsidRDefault="00B44255" w:rsidP="007C740D">
            <w:pPr>
              <w:spacing w:after="0" w:line="240" w:lineRule="auto"/>
            </w:pPr>
            <w:r>
              <w:t>M</w:t>
            </w:r>
            <w:r w:rsidRPr="00B44255">
              <w:t>aximum carbohydrate that can be used</w:t>
            </w:r>
          </w:p>
        </w:tc>
        <w:tc>
          <w:tcPr>
            <w:tcW w:w="852" w:type="dxa"/>
          </w:tcPr>
          <w:p w14:paraId="4FF607EF" w14:textId="55BEBBCE" w:rsidR="00B44255" w:rsidRDefault="00B44255" w:rsidP="007C740D">
            <w:pPr>
              <w:spacing w:after="0" w:line="240" w:lineRule="auto"/>
            </w:pPr>
            <w:r>
              <w:t>7</w:t>
            </w:r>
          </w:p>
        </w:tc>
        <w:tc>
          <w:tcPr>
            <w:tcW w:w="1157" w:type="dxa"/>
          </w:tcPr>
          <w:p w14:paraId="2C9B3E0F" w14:textId="1137AA00" w:rsidR="00B44255" w:rsidRDefault="00B44255" w:rsidP="007C740D">
            <w:pPr>
              <w:spacing w:after="0" w:line="240" w:lineRule="auto"/>
            </w:pPr>
            <w:r>
              <w:t>Y</w:t>
            </w:r>
          </w:p>
        </w:tc>
        <w:tc>
          <w:tcPr>
            <w:tcW w:w="1535" w:type="dxa"/>
          </w:tcPr>
          <w:p w14:paraId="5AA87DF2" w14:textId="77777777" w:rsidR="00B44255" w:rsidRPr="007C740D" w:rsidRDefault="00B44255" w:rsidP="007C740D">
            <w:pPr>
              <w:spacing w:after="0" w:line="240" w:lineRule="auto"/>
            </w:pPr>
          </w:p>
        </w:tc>
      </w:tr>
      <w:tr w:rsidR="00B44255" w:rsidRPr="007C740D" w14:paraId="69E7FF77" w14:textId="77777777" w:rsidTr="00620FA7">
        <w:tc>
          <w:tcPr>
            <w:tcW w:w="1561" w:type="dxa"/>
          </w:tcPr>
          <w:p w14:paraId="72E33CED" w14:textId="4EFFFF26" w:rsidR="00B44255" w:rsidRDefault="00B44255" w:rsidP="007C740D">
            <w:pPr>
              <w:spacing w:after="0" w:line="240" w:lineRule="auto"/>
            </w:pPr>
            <w:proofErr w:type="spellStart"/>
            <w:r>
              <w:t>pMax</w:t>
            </w:r>
            <w:proofErr w:type="spellEnd"/>
          </w:p>
        </w:tc>
        <w:tc>
          <w:tcPr>
            <w:tcW w:w="3588" w:type="dxa"/>
          </w:tcPr>
          <w:p w14:paraId="12A54237" w14:textId="3EAEFCAA" w:rsidR="00B44255" w:rsidRDefault="00B44255" w:rsidP="007C740D">
            <w:pPr>
              <w:spacing w:after="0" w:line="240" w:lineRule="auto"/>
            </w:pPr>
            <w:r>
              <w:t>Ma</w:t>
            </w:r>
            <w:r w:rsidRPr="00B44255">
              <w:t>ximum protein that can be used</w:t>
            </w:r>
          </w:p>
        </w:tc>
        <w:tc>
          <w:tcPr>
            <w:tcW w:w="852" w:type="dxa"/>
          </w:tcPr>
          <w:p w14:paraId="68EA0408" w14:textId="7A9FE335" w:rsidR="00B44255" w:rsidRDefault="00B44255" w:rsidP="007C740D">
            <w:pPr>
              <w:spacing w:after="0" w:line="240" w:lineRule="auto"/>
            </w:pPr>
            <w:r>
              <w:t>30</w:t>
            </w:r>
          </w:p>
        </w:tc>
        <w:tc>
          <w:tcPr>
            <w:tcW w:w="1157" w:type="dxa"/>
          </w:tcPr>
          <w:p w14:paraId="74A98EC1" w14:textId="62DC556C" w:rsidR="00B44255" w:rsidRDefault="00B44255" w:rsidP="007C740D">
            <w:pPr>
              <w:spacing w:after="0" w:line="240" w:lineRule="auto"/>
            </w:pPr>
            <w:r>
              <w:t>Y</w:t>
            </w:r>
          </w:p>
        </w:tc>
        <w:tc>
          <w:tcPr>
            <w:tcW w:w="1535" w:type="dxa"/>
          </w:tcPr>
          <w:p w14:paraId="27D678E0" w14:textId="77777777" w:rsidR="00B44255" w:rsidRPr="007C740D" w:rsidRDefault="00B44255" w:rsidP="007C740D">
            <w:pPr>
              <w:spacing w:after="0" w:line="240" w:lineRule="auto"/>
            </w:pPr>
          </w:p>
        </w:tc>
      </w:tr>
      <w:tr w:rsidR="00B44255" w:rsidRPr="007C740D" w14:paraId="30F83FA9" w14:textId="77777777" w:rsidTr="00620FA7">
        <w:tc>
          <w:tcPr>
            <w:tcW w:w="1561" w:type="dxa"/>
          </w:tcPr>
          <w:p w14:paraId="0117513E" w14:textId="0FB6FE0A" w:rsidR="00B44255" w:rsidRDefault="00B44255" w:rsidP="007C740D">
            <w:pPr>
              <w:spacing w:after="0" w:line="240" w:lineRule="auto"/>
            </w:pPr>
            <w:proofErr w:type="spellStart"/>
            <w:r>
              <w:t>fMax</w:t>
            </w:r>
            <w:proofErr w:type="spellEnd"/>
          </w:p>
        </w:tc>
        <w:tc>
          <w:tcPr>
            <w:tcW w:w="3588" w:type="dxa"/>
          </w:tcPr>
          <w:p w14:paraId="769457E4" w14:textId="660BE1E3" w:rsidR="00B44255" w:rsidRDefault="00B44255" w:rsidP="007C740D">
            <w:pPr>
              <w:spacing w:after="0" w:line="240" w:lineRule="auto"/>
            </w:pPr>
            <w:r>
              <w:t>M</w:t>
            </w:r>
            <w:r w:rsidRPr="00B44255">
              <w:t>aximum fat that can be used</w:t>
            </w:r>
          </w:p>
        </w:tc>
        <w:tc>
          <w:tcPr>
            <w:tcW w:w="852" w:type="dxa"/>
          </w:tcPr>
          <w:p w14:paraId="33FCB1A7" w14:textId="36E50A15" w:rsidR="00B44255" w:rsidRDefault="00B44255" w:rsidP="007C740D">
            <w:pPr>
              <w:spacing w:after="0" w:line="240" w:lineRule="auto"/>
            </w:pPr>
            <w:r>
              <w:t>63</w:t>
            </w:r>
          </w:p>
        </w:tc>
        <w:tc>
          <w:tcPr>
            <w:tcW w:w="1157" w:type="dxa"/>
          </w:tcPr>
          <w:p w14:paraId="0038215F" w14:textId="0BC09449" w:rsidR="00B44255" w:rsidRDefault="00B44255" w:rsidP="007C740D">
            <w:pPr>
              <w:spacing w:after="0" w:line="240" w:lineRule="auto"/>
            </w:pPr>
            <w:r>
              <w:t>Y</w:t>
            </w:r>
          </w:p>
        </w:tc>
        <w:tc>
          <w:tcPr>
            <w:tcW w:w="1535" w:type="dxa"/>
          </w:tcPr>
          <w:p w14:paraId="0464FADA" w14:textId="77777777" w:rsidR="00B44255" w:rsidRPr="007C740D" w:rsidRDefault="00B44255" w:rsidP="007C740D">
            <w:pPr>
              <w:spacing w:after="0" w:line="240" w:lineRule="auto"/>
            </w:pPr>
          </w:p>
        </w:tc>
      </w:tr>
      <w:tr w:rsidR="00B44255" w:rsidRPr="007C740D" w14:paraId="0ECD8C58" w14:textId="77777777" w:rsidTr="00620FA7">
        <w:tc>
          <w:tcPr>
            <w:tcW w:w="1561" w:type="dxa"/>
          </w:tcPr>
          <w:p w14:paraId="3D348D72" w14:textId="3E6BFF69" w:rsidR="00B44255" w:rsidRDefault="00B44255" w:rsidP="007C740D">
            <w:pPr>
              <w:spacing w:after="0" w:line="240" w:lineRule="auto"/>
            </w:pPr>
            <w:proofErr w:type="spellStart"/>
            <w:r>
              <w:t>numGenes</w:t>
            </w:r>
            <w:proofErr w:type="spellEnd"/>
          </w:p>
        </w:tc>
        <w:tc>
          <w:tcPr>
            <w:tcW w:w="3588" w:type="dxa"/>
          </w:tcPr>
          <w:p w14:paraId="2423355E" w14:textId="56C7A1E4" w:rsidR="00B44255" w:rsidRDefault="00B44255" w:rsidP="007C740D">
            <w:pPr>
              <w:spacing w:after="0" w:line="240" w:lineRule="auto"/>
            </w:pPr>
            <w:r>
              <w:t>Ma</w:t>
            </w:r>
            <w:r w:rsidRPr="00B44255">
              <w:t>ximum number of genes available in the system</w:t>
            </w:r>
          </w:p>
        </w:tc>
        <w:tc>
          <w:tcPr>
            <w:tcW w:w="852" w:type="dxa"/>
          </w:tcPr>
          <w:p w14:paraId="75C320A6" w14:textId="066538B2" w:rsidR="00B44255" w:rsidRDefault="00B44255" w:rsidP="007C740D">
            <w:pPr>
              <w:spacing w:after="0" w:line="240" w:lineRule="auto"/>
            </w:pPr>
            <w:r>
              <w:t>10</w:t>
            </w:r>
          </w:p>
        </w:tc>
        <w:tc>
          <w:tcPr>
            <w:tcW w:w="1157" w:type="dxa"/>
          </w:tcPr>
          <w:p w14:paraId="59C887C6" w14:textId="743CAD0C" w:rsidR="00B44255" w:rsidRDefault="00B44255" w:rsidP="007C740D">
            <w:pPr>
              <w:spacing w:after="0" w:line="240" w:lineRule="auto"/>
            </w:pPr>
            <w:r>
              <w:t>Y</w:t>
            </w:r>
          </w:p>
        </w:tc>
        <w:tc>
          <w:tcPr>
            <w:tcW w:w="1535" w:type="dxa"/>
          </w:tcPr>
          <w:p w14:paraId="7D0DA05A" w14:textId="77777777" w:rsidR="00B44255" w:rsidRPr="007C740D" w:rsidRDefault="00B44255" w:rsidP="007C740D">
            <w:pPr>
              <w:spacing w:after="0" w:line="240" w:lineRule="auto"/>
            </w:pPr>
          </w:p>
        </w:tc>
      </w:tr>
      <w:tr w:rsidR="00B44255" w:rsidRPr="007C740D" w14:paraId="676452A1" w14:textId="77777777" w:rsidTr="00620FA7">
        <w:tc>
          <w:tcPr>
            <w:tcW w:w="1561" w:type="dxa"/>
          </w:tcPr>
          <w:p w14:paraId="217AF18E" w14:textId="0F2CC0E1" w:rsidR="00B44255" w:rsidRDefault="00B44255" w:rsidP="007C740D">
            <w:pPr>
              <w:spacing w:after="0" w:line="240" w:lineRule="auto"/>
            </w:pPr>
            <w:proofErr w:type="spellStart"/>
            <w:r>
              <w:t>maxHostGenes</w:t>
            </w:r>
            <w:proofErr w:type="spellEnd"/>
          </w:p>
        </w:tc>
        <w:tc>
          <w:tcPr>
            <w:tcW w:w="3588" w:type="dxa"/>
          </w:tcPr>
          <w:p w14:paraId="0491994D" w14:textId="71C6FC07" w:rsidR="00B44255" w:rsidRDefault="00B44255" w:rsidP="007C740D">
            <w:pPr>
              <w:spacing w:after="0" w:line="240" w:lineRule="auto"/>
            </w:pPr>
            <w:r>
              <w:t>M</w:t>
            </w:r>
            <w:r w:rsidRPr="00B44255">
              <w:t>aximum number of genes in the host</w:t>
            </w:r>
          </w:p>
        </w:tc>
        <w:tc>
          <w:tcPr>
            <w:tcW w:w="852" w:type="dxa"/>
          </w:tcPr>
          <w:p w14:paraId="60B2C1BD" w14:textId="147D4208" w:rsidR="00B44255" w:rsidRDefault="00B44255" w:rsidP="007C740D">
            <w:pPr>
              <w:spacing w:after="0" w:line="240" w:lineRule="auto"/>
            </w:pPr>
            <w:r>
              <w:t>10</w:t>
            </w:r>
            <w:r w:rsidR="00620FA7">
              <w:t>0</w:t>
            </w:r>
          </w:p>
        </w:tc>
        <w:tc>
          <w:tcPr>
            <w:tcW w:w="1157" w:type="dxa"/>
          </w:tcPr>
          <w:p w14:paraId="44BF544A" w14:textId="3BD0736E" w:rsidR="00B44255" w:rsidRDefault="00B44255" w:rsidP="007C740D">
            <w:pPr>
              <w:spacing w:after="0" w:line="240" w:lineRule="auto"/>
            </w:pPr>
            <w:r>
              <w:t>Y</w:t>
            </w:r>
          </w:p>
        </w:tc>
        <w:tc>
          <w:tcPr>
            <w:tcW w:w="1535" w:type="dxa"/>
          </w:tcPr>
          <w:p w14:paraId="7B11728C" w14:textId="77777777" w:rsidR="00B44255" w:rsidRPr="007C740D" w:rsidRDefault="00B44255" w:rsidP="007C740D">
            <w:pPr>
              <w:spacing w:after="0" w:line="240" w:lineRule="auto"/>
            </w:pPr>
          </w:p>
        </w:tc>
      </w:tr>
      <w:tr w:rsidR="00B44255" w:rsidRPr="007C740D" w14:paraId="42FD69CC" w14:textId="77777777" w:rsidTr="00620FA7">
        <w:tc>
          <w:tcPr>
            <w:tcW w:w="1561" w:type="dxa"/>
          </w:tcPr>
          <w:p w14:paraId="45C78A69" w14:textId="408257E1" w:rsidR="00B44255" w:rsidRDefault="00B44255" w:rsidP="007C740D">
            <w:pPr>
              <w:spacing w:after="0" w:line="240" w:lineRule="auto"/>
            </w:pPr>
            <w:proofErr w:type="spellStart"/>
            <w:r>
              <w:t>maxMicGenes</w:t>
            </w:r>
            <w:proofErr w:type="spellEnd"/>
          </w:p>
        </w:tc>
        <w:tc>
          <w:tcPr>
            <w:tcW w:w="3588" w:type="dxa"/>
          </w:tcPr>
          <w:p w14:paraId="1315BE5B" w14:textId="2AAA4420" w:rsidR="00B44255" w:rsidRDefault="00B44255" w:rsidP="007C740D">
            <w:pPr>
              <w:spacing w:after="0" w:line="240" w:lineRule="auto"/>
            </w:pPr>
            <w:r>
              <w:t>Ma</w:t>
            </w:r>
            <w:r w:rsidRPr="00B44255">
              <w:t>ximum number of genes in a microbial genome</w:t>
            </w:r>
          </w:p>
        </w:tc>
        <w:tc>
          <w:tcPr>
            <w:tcW w:w="852" w:type="dxa"/>
          </w:tcPr>
          <w:p w14:paraId="4434653A" w14:textId="7A401192" w:rsidR="00B44255" w:rsidRDefault="00B44255" w:rsidP="007C740D">
            <w:pPr>
              <w:spacing w:after="0" w:line="240" w:lineRule="auto"/>
            </w:pPr>
            <w:r>
              <w:t>20</w:t>
            </w:r>
          </w:p>
        </w:tc>
        <w:tc>
          <w:tcPr>
            <w:tcW w:w="1157" w:type="dxa"/>
          </w:tcPr>
          <w:p w14:paraId="291C3671" w14:textId="06EEFDB0" w:rsidR="00B44255" w:rsidRDefault="00B44255" w:rsidP="007C740D">
            <w:pPr>
              <w:spacing w:after="0" w:line="240" w:lineRule="auto"/>
            </w:pPr>
            <w:r>
              <w:t>Y</w:t>
            </w:r>
          </w:p>
        </w:tc>
        <w:tc>
          <w:tcPr>
            <w:tcW w:w="1535" w:type="dxa"/>
          </w:tcPr>
          <w:p w14:paraId="3A6154C2" w14:textId="77777777" w:rsidR="00B44255" w:rsidRPr="007C740D" w:rsidRDefault="00B44255" w:rsidP="007C740D">
            <w:pPr>
              <w:spacing w:after="0" w:line="240" w:lineRule="auto"/>
            </w:pPr>
          </w:p>
        </w:tc>
      </w:tr>
    </w:tbl>
    <w:p w14:paraId="5E079A5C" w14:textId="6AAB8E94" w:rsidR="00D5514E" w:rsidRDefault="00D5514E" w:rsidP="00D5514E">
      <w:pPr>
        <w:pStyle w:val="Heading1"/>
      </w:pPr>
      <w:r>
        <w:t>Results</w:t>
      </w:r>
    </w:p>
    <w:p w14:paraId="16518C0E" w14:textId="5176A69D" w:rsidR="00B02876" w:rsidRPr="00B02876" w:rsidRDefault="00B02876" w:rsidP="00B02876">
      <w:r>
        <w:t>What are we trying to show? Baldwin. OK, but that’s too obvious. Some subtleties about how the Baldwin effect works. Effect of diarrhoea/antibiotics?</w:t>
      </w:r>
    </w:p>
    <w:p w14:paraId="0CD137EF" w14:textId="649C3478" w:rsidR="00D5514E" w:rsidRDefault="00D5514E" w:rsidP="00D5514E">
      <w:pPr>
        <w:pStyle w:val="Heading1"/>
      </w:pPr>
      <w:r>
        <w:t>Discussion</w:t>
      </w:r>
    </w:p>
    <w:p w14:paraId="2D119ECB" w14:textId="47F6BC7B" w:rsidR="007E08D3" w:rsidRDefault="007E08D3" w:rsidP="00304986">
      <w:r>
        <w:t>Make the point that this is not just about amylase genes; we are using them as a stand-in for the basic idea that the gut microbiome is a Baldwin mechanism. The same mechanism is almost certainly true of many other traits.</w:t>
      </w:r>
    </w:p>
    <w:p w14:paraId="5795BC0E" w14:textId="6EB4E712" w:rsidR="00304986" w:rsidRPr="00304986" w:rsidRDefault="00304986" w:rsidP="00304986">
      <w:r>
        <w:t>Throughout this paper, we have referred to the largest organism as the host. However, the results of this study, and those of many others, make it clear that the host does not exist alone, and that the microbiome is an integral, albeit dynamic, component of the host. Mice have been raised under laboratory conditions to be microbiome-free, but although they survive and are relatively healthy in a lab environment, at least until used for further experiments, there has been little research into their phenotypic differences from wild mice.</w:t>
      </w:r>
      <w:r w:rsidR="00F8412C">
        <w:t xml:space="preserve"> they are unlikely to survive in the wild. Acquire new microbiome. Unlikely to be competitive in an evolutionary context.</w:t>
      </w:r>
    </w:p>
    <w:p w14:paraId="580879DB" w14:textId="2CFD9E0A" w:rsidR="00D5514E" w:rsidRDefault="00D5514E" w:rsidP="00D5514E">
      <w:pPr>
        <w:pStyle w:val="Heading1"/>
      </w:pPr>
      <w:r>
        <w:t>Conclusions</w:t>
      </w:r>
    </w:p>
    <w:p w14:paraId="1F1DB65B" w14:textId="0BDF6036" w:rsidR="00977628" w:rsidRPr="00977628" w:rsidRDefault="00977628" w:rsidP="00977628">
      <w:r>
        <w:t xml:space="preserve">AMY2B is one of three genes known to code for starch breakdown in the saliva and pancreas. Omitting the other genes from this model reduces its complexity, making it more comprehensible, with the </w:t>
      </w:r>
      <w:proofErr w:type="spellStart"/>
      <w:r>
        <w:t>tradeoff</w:t>
      </w:r>
      <w:proofErr w:type="spellEnd"/>
      <w:r>
        <w:t xml:space="preserve"> of loss of accuracy.</w:t>
      </w:r>
    </w:p>
    <w:p w14:paraId="778C0641" w14:textId="54D7A38E" w:rsidR="003E41A4" w:rsidRDefault="00D5514E" w:rsidP="00163E50">
      <w:pPr>
        <w:pStyle w:val="Heading1"/>
      </w:pPr>
      <w:r>
        <w:lastRenderedPageBreak/>
        <w:t>References</w:t>
      </w:r>
    </w:p>
    <w:p w14:paraId="35899259" w14:textId="77777777" w:rsidR="004A27BE" w:rsidRPr="004A27BE" w:rsidRDefault="003E41A4" w:rsidP="004A27BE">
      <w:pPr>
        <w:pStyle w:val="EndNoteBibliography"/>
        <w:spacing w:after="0"/>
        <w:ind w:left="720" w:hanging="720"/>
      </w:pPr>
      <w:r>
        <w:fldChar w:fldCharType="begin"/>
      </w:r>
      <w:r>
        <w:instrText xml:space="preserve"> ADDIN EN.REFLIST </w:instrText>
      </w:r>
      <w:r>
        <w:fldChar w:fldCharType="separate"/>
      </w:r>
      <w:r w:rsidR="004A27BE" w:rsidRPr="004A27BE">
        <w:t xml:space="preserve">Axelsson, Erik, Abhirami Ratnakumar, Maja-Louise Arendt, Khurram Maqbool, Matthew T Webster, Michele Perloski, Olof Liberg, Jon M Arnemo, Åke Hedhammar, and Kerstin Lindblad-Toh. 2013. 'The genomic signature of dog domestication reveals adaptation to a starch-rich diet', </w:t>
      </w:r>
      <w:r w:rsidR="004A27BE" w:rsidRPr="004A27BE">
        <w:rPr>
          <w:i/>
        </w:rPr>
        <w:t>Nature</w:t>
      </w:r>
      <w:r w:rsidR="004A27BE" w:rsidRPr="004A27BE">
        <w:t>, 495: 360-64.</w:t>
      </w:r>
    </w:p>
    <w:p w14:paraId="5D53C95D" w14:textId="77777777" w:rsidR="004A27BE" w:rsidRPr="004A27BE" w:rsidRDefault="004A27BE" w:rsidP="004A27BE">
      <w:pPr>
        <w:pStyle w:val="EndNoteBibliography"/>
        <w:spacing w:after="0"/>
        <w:ind w:left="720" w:hanging="720"/>
      </w:pPr>
      <w:r w:rsidRPr="004A27BE">
        <w:t xml:space="preserve">Baldwin, J. M. 1896. 'A new factor in evolution', </w:t>
      </w:r>
      <w:r w:rsidRPr="004A27BE">
        <w:rPr>
          <w:i/>
        </w:rPr>
        <w:t>The American Naturalist</w:t>
      </w:r>
      <w:r w:rsidRPr="004A27BE">
        <w:t>, 30: 441 - 51.</w:t>
      </w:r>
    </w:p>
    <w:p w14:paraId="1A9253A9" w14:textId="77777777" w:rsidR="004A27BE" w:rsidRPr="004A27BE" w:rsidRDefault="004A27BE" w:rsidP="004A27BE">
      <w:pPr>
        <w:pStyle w:val="EndNoteBibliography"/>
        <w:spacing w:after="0"/>
        <w:ind w:left="720" w:hanging="720"/>
      </w:pPr>
      <w:r w:rsidRPr="004A27BE">
        <w:t xml:space="preserve">de Sousa, Jorge Moura, Marta Lourenço, and Isabel Gordo. 2023. 'Horizontal gene transfer among host-associated microbes', </w:t>
      </w:r>
      <w:r w:rsidRPr="004A27BE">
        <w:rPr>
          <w:i/>
        </w:rPr>
        <w:t>Cell Host &amp; Microbe</w:t>
      </w:r>
      <w:r w:rsidRPr="004A27BE">
        <w:t>, 31: 513-27.</w:t>
      </w:r>
    </w:p>
    <w:p w14:paraId="3CC38DA6" w14:textId="77777777" w:rsidR="004A27BE" w:rsidRPr="004A27BE" w:rsidRDefault="004A27BE" w:rsidP="004A27BE">
      <w:pPr>
        <w:pStyle w:val="EndNoteBibliography"/>
        <w:spacing w:after="0"/>
        <w:ind w:left="720" w:hanging="720"/>
      </w:pPr>
      <w:r w:rsidRPr="004A27BE">
        <w:t xml:space="preserve">Elder, Patrick JD, David B Ramsden, David Burnett, Martin O Weickert, and Thomas M Barber. 2018. 'Human amylase gene copy number variation as a determinant of metabolic state', </w:t>
      </w:r>
      <w:r w:rsidRPr="004A27BE">
        <w:rPr>
          <w:i/>
        </w:rPr>
        <w:t>Expert Review of Endocrinology &amp; Metabolism</w:t>
      </w:r>
      <w:r w:rsidRPr="004A27BE">
        <w:t>, 13: 193-205.</w:t>
      </w:r>
    </w:p>
    <w:p w14:paraId="567C0157" w14:textId="77777777" w:rsidR="004A27BE" w:rsidRPr="004A27BE" w:rsidRDefault="004A27BE" w:rsidP="004A27BE">
      <w:pPr>
        <w:pStyle w:val="EndNoteBibliography"/>
        <w:spacing w:after="0"/>
        <w:ind w:left="720" w:hanging="720"/>
      </w:pPr>
      <w:r w:rsidRPr="004A27BE">
        <w:t xml:space="preserve">Fragata, Inês, Alexandre Blanckaert, Marco António Dias Louro, David A Liberles, and Claudia Bank. 2019. 'Evolution in the light of fitness landscape theory', </w:t>
      </w:r>
      <w:r w:rsidRPr="004A27BE">
        <w:rPr>
          <w:i/>
        </w:rPr>
        <w:t>Trends in Ecology &amp; Evolution</w:t>
      </w:r>
      <w:r w:rsidRPr="004A27BE">
        <w:t>, 34: 69-82.</w:t>
      </w:r>
    </w:p>
    <w:p w14:paraId="4689E938" w14:textId="77777777" w:rsidR="004A27BE" w:rsidRPr="004A27BE" w:rsidRDefault="004A27BE" w:rsidP="004A27BE">
      <w:pPr>
        <w:pStyle w:val="EndNoteBibliography"/>
        <w:spacing w:after="0"/>
        <w:ind w:left="720" w:hanging="720"/>
      </w:pPr>
      <w:r w:rsidRPr="004A27BE">
        <w:t xml:space="preserve">Hewson-Hughes, Adrian K., Victoria L. Hewson-Hughes, Alison Colyer, Andrew T. Miller, Scott J. McGrane, Simon R. Hall, Richard F. Butterwick, Stephen J. Simpson, and David Raubenheimer. 2012. 'Geometric analysis of macronutrient selection in breeds of the domestic dog, Canis lupus familiaris', </w:t>
      </w:r>
      <w:r w:rsidRPr="004A27BE">
        <w:rPr>
          <w:i/>
        </w:rPr>
        <w:t>Behavioral Ecology</w:t>
      </w:r>
      <w:r w:rsidRPr="004A27BE">
        <w:t>, 24: 293-304.</w:t>
      </w:r>
    </w:p>
    <w:p w14:paraId="23F5EC1E" w14:textId="77777777" w:rsidR="004A27BE" w:rsidRPr="004A27BE" w:rsidRDefault="004A27BE" w:rsidP="004A27BE">
      <w:pPr>
        <w:pStyle w:val="EndNoteBibliography"/>
        <w:spacing w:after="0"/>
        <w:ind w:left="720" w:hanging="720"/>
      </w:pPr>
      <w:r w:rsidRPr="004A27BE">
        <w:t xml:space="preserve">Hinton, Geoff, and Steven J. Nowlan. 1987. 'How learning can guide evolution', </w:t>
      </w:r>
      <w:r w:rsidRPr="004A27BE">
        <w:rPr>
          <w:i/>
        </w:rPr>
        <w:t>Complex Systems</w:t>
      </w:r>
      <w:r w:rsidRPr="004A27BE">
        <w:t>, 1: 495 - 502.</w:t>
      </w:r>
    </w:p>
    <w:p w14:paraId="07EB53D8" w14:textId="77777777" w:rsidR="004A27BE" w:rsidRPr="004A27BE" w:rsidRDefault="004A27BE" w:rsidP="004A27BE">
      <w:pPr>
        <w:pStyle w:val="EndNoteBibliography"/>
        <w:spacing w:after="0"/>
        <w:ind w:left="720" w:hanging="720"/>
      </w:pPr>
      <w:r w:rsidRPr="004A27BE">
        <w:t xml:space="preserve">Mocharla, Hanna, Raman Mocharla, and ME Hodes. 1990. 'α-Amylase gene transcription in tissues of normal dog', </w:t>
      </w:r>
      <w:r w:rsidRPr="004A27BE">
        <w:rPr>
          <w:i/>
        </w:rPr>
        <w:t>Nucleic Acids Research</w:t>
      </w:r>
      <w:r w:rsidRPr="004A27BE">
        <w:t>, 18: 1031-36.</w:t>
      </w:r>
    </w:p>
    <w:p w14:paraId="464F2BB9" w14:textId="77777777" w:rsidR="004A27BE" w:rsidRPr="004A27BE" w:rsidRDefault="004A27BE" w:rsidP="004A27BE">
      <w:pPr>
        <w:pStyle w:val="EndNoteBibliography"/>
        <w:spacing w:after="0"/>
        <w:ind w:left="720" w:hanging="720"/>
      </w:pPr>
      <w:r w:rsidRPr="004A27BE">
        <w:t xml:space="preserve">Ollivier, Morgane, Anne Tresset, Fabiola Bastian, Laetitia Lagoutte, Erik Axelsson, Maja-Louise Arendt, Adrian Bălăşescu, Marjan Marshour, Mikhail V Sablin, and Laure Salanova. 2016. 'Amy2B copy number variation reveals starch diet adaptations in ancient European dogs', </w:t>
      </w:r>
      <w:r w:rsidRPr="004A27BE">
        <w:rPr>
          <w:i/>
        </w:rPr>
        <w:t>Royal Society Open Science</w:t>
      </w:r>
      <w:r w:rsidRPr="004A27BE">
        <w:t>, 3: 160449.</w:t>
      </w:r>
    </w:p>
    <w:p w14:paraId="01C7997B" w14:textId="77777777" w:rsidR="004A27BE" w:rsidRPr="004A27BE" w:rsidRDefault="004A27BE" w:rsidP="004A27BE">
      <w:pPr>
        <w:pStyle w:val="EndNoteBibliography"/>
        <w:spacing w:after="0"/>
        <w:ind w:left="720" w:hanging="720"/>
      </w:pPr>
      <w:r w:rsidRPr="004A27BE">
        <w:t xml:space="preserve">Rampelli, Simone, Silvia Turroni, Florencia Debandi, Antton Alberdi, Stephanie L. Schnorr, Courtney A. Hofman, Alberto Taddia, Riccardo Helg, Elena Biagi, Patrizia Brigidi, Federica D'Amico, Maurizio Cattani, and Marco Candela. 2021. 'The gut microbiome buffers dietary adaptation in Bronze Age domesticated dogs', </w:t>
      </w:r>
      <w:r w:rsidRPr="004A27BE">
        <w:rPr>
          <w:i/>
        </w:rPr>
        <w:t>iScience</w:t>
      </w:r>
      <w:r w:rsidRPr="004A27BE">
        <w:t>, 24: 102816.</w:t>
      </w:r>
    </w:p>
    <w:p w14:paraId="066984E2" w14:textId="77777777" w:rsidR="004A27BE" w:rsidRPr="004A27BE" w:rsidRDefault="004A27BE" w:rsidP="004A27BE">
      <w:pPr>
        <w:pStyle w:val="EndNoteBibliography"/>
        <w:spacing w:after="0"/>
        <w:ind w:left="720" w:hanging="720"/>
      </w:pPr>
      <w:r w:rsidRPr="004A27BE">
        <w:t xml:space="preserve">Ueda, Masahiko, Nobuto Takeuchi, and Kunihiko Kaneko. 2017. 'Stronger selection can slow down evolution driven by recombination on a smooth fitness landscape', </w:t>
      </w:r>
      <w:r w:rsidRPr="004A27BE">
        <w:rPr>
          <w:i/>
        </w:rPr>
        <w:t>PLoS ONE</w:t>
      </w:r>
      <w:r w:rsidRPr="004A27BE">
        <w:t>, 12: e0183120.</w:t>
      </w:r>
    </w:p>
    <w:p w14:paraId="4FE15054" w14:textId="77777777" w:rsidR="004A27BE" w:rsidRPr="004A27BE" w:rsidRDefault="004A27BE" w:rsidP="004A27BE">
      <w:pPr>
        <w:pStyle w:val="EndNoteBibliography"/>
        <w:ind w:left="720" w:hanging="720"/>
      </w:pPr>
      <w:r w:rsidRPr="004A27BE">
        <w:t xml:space="preserve">Wiles, Janet, Ruth Schulz, Jennifer Hallinan, Scott Bolland, and Bradley Tonkes. 2001. "Probing the persistent question marks." In </w:t>
      </w:r>
      <w:r w:rsidRPr="004A27BE">
        <w:rPr>
          <w:i/>
        </w:rPr>
        <w:t>Proceedings of the 3rd Annual Conference on Genetic and Evolutionary Computation</w:t>
      </w:r>
      <w:r w:rsidRPr="004A27BE">
        <w:t>, 710-17. Citeseer.</w:t>
      </w:r>
    </w:p>
    <w:p w14:paraId="79E4B5BB" w14:textId="500E4E5E" w:rsidR="00DA428D" w:rsidRPr="00DA428D" w:rsidRDefault="003E41A4" w:rsidP="004A27BE">
      <w:r>
        <w:fldChar w:fldCharType="end"/>
      </w:r>
    </w:p>
    <w:sectPr w:rsidR="00DA428D" w:rsidRPr="00DA4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xswxp2s2w9rqe552ixtzfe5xf5twxpdt52&quot;&gt;JH4-Converted&lt;record-ids&gt;&lt;item&gt;3313&lt;/item&gt;&lt;item&gt;3447&lt;/item&gt;&lt;item&gt;3448&lt;/item&gt;&lt;item&gt;3449&lt;/item&gt;&lt;item&gt;3450&lt;/item&gt;&lt;item&gt;3465&lt;/item&gt;&lt;item&gt;3496&lt;/item&gt;&lt;item&gt;3498&lt;/item&gt;&lt;item&gt;3499&lt;/item&gt;&lt;item&gt;3500&lt;/item&gt;&lt;item&gt;3501&lt;/item&gt;&lt;item&gt;3502&lt;/item&gt;&lt;/record-ids&gt;&lt;/item&gt;&lt;/Libraries&gt;"/>
  </w:docVars>
  <w:rsids>
    <w:rsidRoot w:val="00DA428D"/>
    <w:rsid w:val="00021183"/>
    <w:rsid w:val="0002338C"/>
    <w:rsid w:val="000B5E72"/>
    <w:rsid w:val="0010508D"/>
    <w:rsid w:val="00111B1C"/>
    <w:rsid w:val="001419A5"/>
    <w:rsid w:val="00142540"/>
    <w:rsid w:val="00163E50"/>
    <w:rsid w:val="00177E1F"/>
    <w:rsid w:val="001C529D"/>
    <w:rsid w:val="001E3488"/>
    <w:rsid w:val="002207AE"/>
    <w:rsid w:val="00251D83"/>
    <w:rsid w:val="00266756"/>
    <w:rsid w:val="00272F9E"/>
    <w:rsid w:val="002A2ABF"/>
    <w:rsid w:val="002C3DC3"/>
    <w:rsid w:val="002D30E3"/>
    <w:rsid w:val="002E39C5"/>
    <w:rsid w:val="002F67EB"/>
    <w:rsid w:val="00304986"/>
    <w:rsid w:val="003A0D0F"/>
    <w:rsid w:val="003D51BF"/>
    <w:rsid w:val="003E41A4"/>
    <w:rsid w:val="003E7C92"/>
    <w:rsid w:val="004A27BE"/>
    <w:rsid w:val="00506EFA"/>
    <w:rsid w:val="00513587"/>
    <w:rsid w:val="0053091C"/>
    <w:rsid w:val="005324AD"/>
    <w:rsid w:val="0055341E"/>
    <w:rsid w:val="00597B36"/>
    <w:rsid w:val="005B1C3F"/>
    <w:rsid w:val="005C095A"/>
    <w:rsid w:val="005D7414"/>
    <w:rsid w:val="00613C6F"/>
    <w:rsid w:val="00620FA7"/>
    <w:rsid w:val="00633304"/>
    <w:rsid w:val="00654D25"/>
    <w:rsid w:val="0068387E"/>
    <w:rsid w:val="0069498E"/>
    <w:rsid w:val="006A1DEF"/>
    <w:rsid w:val="006C46BE"/>
    <w:rsid w:val="00701D65"/>
    <w:rsid w:val="00707C49"/>
    <w:rsid w:val="00735DE8"/>
    <w:rsid w:val="0077510A"/>
    <w:rsid w:val="007B7DDE"/>
    <w:rsid w:val="007C740D"/>
    <w:rsid w:val="007E08D3"/>
    <w:rsid w:val="00854CFE"/>
    <w:rsid w:val="00883429"/>
    <w:rsid w:val="00886C6B"/>
    <w:rsid w:val="008D4A4F"/>
    <w:rsid w:val="00952418"/>
    <w:rsid w:val="00977628"/>
    <w:rsid w:val="00991231"/>
    <w:rsid w:val="00995344"/>
    <w:rsid w:val="009A40EE"/>
    <w:rsid w:val="009D1EA9"/>
    <w:rsid w:val="00A36A93"/>
    <w:rsid w:val="00A42181"/>
    <w:rsid w:val="00A65DEC"/>
    <w:rsid w:val="00AA2889"/>
    <w:rsid w:val="00B02876"/>
    <w:rsid w:val="00B30C4E"/>
    <w:rsid w:val="00B44255"/>
    <w:rsid w:val="00B7503E"/>
    <w:rsid w:val="00BC4F5D"/>
    <w:rsid w:val="00C009C1"/>
    <w:rsid w:val="00C36BA3"/>
    <w:rsid w:val="00C3767D"/>
    <w:rsid w:val="00C407D2"/>
    <w:rsid w:val="00C55EB3"/>
    <w:rsid w:val="00C57C4B"/>
    <w:rsid w:val="00C763E6"/>
    <w:rsid w:val="00CA6D4F"/>
    <w:rsid w:val="00D00C5B"/>
    <w:rsid w:val="00D0591F"/>
    <w:rsid w:val="00D309E3"/>
    <w:rsid w:val="00D414A6"/>
    <w:rsid w:val="00D5514E"/>
    <w:rsid w:val="00DA11CE"/>
    <w:rsid w:val="00DA428D"/>
    <w:rsid w:val="00DC7E59"/>
    <w:rsid w:val="00DE67DB"/>
    <w:rsid w:val="00DF2DB2"/>
    <w:rsid w:val="00E02FDA"/>
    <w:rsid w:val="00E42A4B"/>
    <w:rsid w:val="00E73DF1"/>
    <w:rsid w:val="00E90A78"/>
    <w:rsid w:val="00EB14C3"/>
    <w:rsid w:val="00EB6AEC"/>
    <w:rsid w:val="00EE48CD"/>
    <w:rsid w:val="00EF306B"/>
    <w:rsid w:val="00F32A40"/>
    <w:rsid w:val="00F8412C"/>
    <w:rsid w:val="00F93B55"/>
    <w:rsid w:val="00FA1300"/>
    <w:rsid w:val="00FB0B33"/>
    <w:rsid w:val="00FE42BF"/>
    <w:rsid w:val="00FF1142"/>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67AB"/>
  <w15:chartTrackingRefBased/>
  <w15:docId w15:val="{FF6935BD-FB32-49F7-9F77-E6A844D3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F9E"/>
    <w:pPr>
      <w:spacing w:after="12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DA428D"/>
    <w:pPr>
      <w:keepNext/>
      <w:keepLines/>
      <w:spacing w:before="240" w:after="0"/>
      <w:jc w:val="left"/>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02338C"/>
    <w:pPr>
      <w:keepNext/>
      <w:keepLines/>
      <w:spacing w:before="24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E48CD"/>
    <w:pPr>
      <w:keepNext/>
      <w:keepLines/>
      <w:spacing w:before="40" w:after="0"/>
      <w:outlineLvl w:val="2"/>
    </w:pPr>
    <w:rPr>
      <w:rFonts w:asciiTheme="majorBidi" w:eastAsiaTheme="majorEastAsia" w:hAnsiTheme="majorBidi" w:cstheme="majorBidi"/>
      <w: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72F9E"/>
    <w:pPr>
      <w:widowControl w:val="0"/>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272F9E"/>
    <w:rPr>
      <w:rFonts w:eastAsiaTheme="majorEastAsia" w:cstheme="majorBidi"/>
      <w:b/>
      <w:spacing w:val="-10"/>
      <w:kern w:val="28"/>
      <w:sz w:val="32"/>
      <w:szCs w:val="56"/>
    </w:rPr>
  </w:style>
  <w:style w:type="character" w:customStyle="1" w:styleId="Heading1Char">
    <w:name w:val="Heading 1 Char"/>
    <w:basedOn w:val="DefaultParagraphFont"/>
    <w:link w:val="Heading1"/>
    <w:uiPriority w:val="9"/>
    <w:rsid w:val="00DA428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2338C"/>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DA428D"/>
    <w:rPr>
      <w:color w:val="0563C1" w:themeColor="hyperlink"/>
      <w:u w:val="single"/>
    </w:rPr>
  </w:style>
  <w:style w:type="character" w:styleId="UnresolvedMention">
    <w:name w:val="Unresolved Mention"/>
    <w:basedOn w:val="DefaultParagraphFont"/>
    <w:uiPriority w:val="99"/>
    <w:semiHidden/>
    <w:unhideWhenUsed/>
    <w:rsid w:val="00DA428D"/>
    <w:rPr>
      <w:color w:val="605E5C"/>
      <w:shd w:val="clear" w:color="auto" w:fill="E1DFDD"/>
    </w:rPr>
  </w:style>
  <w:style w:type="paragraph" w:customStyle="1" w:styleId="EndNoteBibliographyTitle">
    <w:name w:val="EndNote Bibliography Title"/>
    <w:basedOn w:val="Normal"/>
    <w:link w:val="EndNoteBibliographyTitleChar"/>
    <w:rsid w:val="003E41A4"/>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3E41A4"/>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3E41A4"/>
    <w:pPr>
      <w:spacing w:line="240" w:lineRule="auto"/>
    </w:pPr>
    <w:rPr>
      <w:rFonts w:cs="Times New Roman"/>
      <w:noProof/>
      <w:lang w:val="en-US"/>
    </w:rPr>
  </w:style>
  <w:style w:type="character" w:customStyle="1" w:styleId="EndNoteBibliographyChar">
    <w:name w:val="EndNote Bibliography Char"/>
    <w:basedOn w:val="DefaultParagraphFont"/>
    <w:link w:val="EndNoteBibliography"/>
    <w:rsid w:val="003E41A4"/>
    <w:rPr>
      <w:rFonts w:ascii="Times New Roman" w:hAnsi="Times New Roman" w:cs="Times New Roman"/>
      <w:noProof/>
      <w:sz w:val="24"/>
      <w:lang w:val="en-US"/>
    </w:rPr>
  </w:style>
  <w:style w:type="table" w:styleId="TableGrid">
    <w:name w:val="Table Grid"/>
    <w:basedOn w:val="TableNormal"/>
    <w:uiPriority w:val="39"/>
    <w:rsid w:val="007C7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E48CD"/>
    <w:rPr>
      <w:rFonts w:asciiTheme="majorBidi" w:eastAsiaTheme="majorEastAsia" w:hAnsiTheme="majorBidi" w:cstheme="majorBidi"/>
      <w:i/>
      <w:color w:val="1F3763" w:themeColor="accent1" w:themeShade="7F"/>
      <w:sz w:val="24"/>
      <w:szCs w:val="24"/>
    </w:rPr>
  </w:style>
  <w:style w:type="character" w:styleId="PlaceholderText">
    <w:name w:val="Placeholder Text"/>
    <w:basedOn w:val="DefaultParagraphFont"/>
    <w:uiPriority w:val="99"/>
    <w:semiHidden/>
    <w:rsid w:val="00506EFA"/>
    <w:rPr>
      <w:color w:val="666666"/>
    </w:rPr>
  </w:style>
  <w:style w:type="paragraph" w:customStyle="1" w:styleId="FigureCaption">
    <w:name w:val="Figure Caption"/>
    <w:basedOn w:val="Normal"/>
    <w:link w:val="FigureCaptionChar"/>
    <w:qFormat/>
    <w:rsid w:val="00CA6D4F"/>
    <w:pPr>
      <w:spacing w:line="240" w:lineRule="auto"/>
      <w:jc w:val="center"/>
    </w:pPr>
    <w:rPr>
      <w:i/>
      <w:iCs/>
      <w:sz w:val="20"/>
      <w:szCs w:val="20"/>
    </w:rPr>
  </w:style>
  <w:style w:type="character" w:customStyle="1" w:styleId="FigureCaptionChar">
    <w:name w:val="Figure Caption Char"/>
    <w:basedOn w:val="DefaultParagraphFont"/>
    <w:link w:val="FigureCaption"/>
    <w:rsid w:val="00CA6D4F"/>
    <w:rPr>
      <w:rFonts w:ascii="Times New Roman" w:hAnsi="Times New Roman"/>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mailto:j.hallinan@biothin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18630</TotalTime>
  <Pages>1</Pages>
  <Words>3894</Words>
  <Characters>22200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Jennifer</cp:lastModifiedBy>
  <cp:revision>52</cp:revision>
  <dcterms:created xsi:type="dcterms:W3CDTF">2021-10-31T03:03:00Z</dcterms:created>
  <dcterms:modified xsi:type="dcterms:W3CDTF">2024-02-12T23:38:00Z</dcterms:modified>
</cp:coreProperties>
</file>