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C82" w:rsidRPr="001A209B" w:rsidRDefault="00403426" w:rsidP="00853E15">
      <w:pPr>
        <w:spacing w:before="20" w:after="20"/>
        <w:jc w:val="right"/>
        <w:rPr>
          <w:rFonts w:cs="Arial"/>
          <w:sz w:val="18"/>
          <w:szCs w:val="18"/>
        </w:rPr>
      </w:pPr>
      <w:bookmarkStart w:id="0" w:name="_GoBack"/>
      <w:r w:rsidRPr="001A209B">
        <w:rPr>
          <w:rFonts w:cs="Arial"/>
          <w:sz w:val="18"/>
          <w:szCs w:val="18"/>
        </w:rPr>
        <w:t>7 May 2014</w:t>
      </w:r>
    </w:p>
    <w:p w:rsidR="001B1BFD" w:rsidRPr="001A209B" w:rsidRDefault="001B1BFD" w:rsidP="00853E15">
      <w:pPr>
        <w:spacing w:before="20" w:after="20"/>
        <w:jc w:val="center"/>
        <w:rPr>
          <w:rFonts w:cs="Arial"/>
          <w:b/>
          <w:sz w:val="18"/>
          <w:szCs w:val="18"/>
        </w:rPr>
      </w:pPr>
      <w:r w:rsidRPr="001A209B">
        <w:rPr>
          <w:rFonts w:cs="Arial"/>
          <w:b/>
          <w:sz w:val="18"/>
          <w:szCs w:val="18"/>
        </w:rPr>
        <w:t>I</w:t>
      </w:r>
      <w:r w:rsidR="00E6152E" w:rsidRPr="001A209B">
        <w:rPr>
          <w:rFonts w:cs="Arial"/>
          <w:b/>
          <w:sz w:val="18"/>
          <w:szCs w:val="18"/>
        </w:rPr>
        <w:t xml:space="preserve">MPERIAL TOBACCO GROUP </w:t>
      </w:r>
      <w:r w:rsidRPr="001A209B">
        <w:rPr>
          <w:rFonts w:cs="Arial"/>
          <w:b/>
          <w:sz w:val="18"/>
          <w:szCs w:val="18"/>
        </w:rPr>
        <w:t>PLC</w:t>
      </w:r>
    </w:p>
    <w:p w:rsidR="00403426" w:rsidRPr="001A209B" w:rsidRDefault="00403426" w:rsidP="00853E15">
      <w:pPr>
        <w:spacing w:before="20" w:after="20"/>
        <w:jc w:val="center"/>
        <w:rPr>
          <w:rFonts w:cs="Arial"/>
          <w:b/>
          <w:sz w:val="18"/>
          <w:szCs w:val="18"/>
        </w:rPr>
      </w:pPr>
      <w:r w:rsidRPr="001A209B">
        <w:rPr>
          <w:rFonts w:cs="Arial"/>
          <w:b/>
          <w:sz w:val="18"/>
          <w:szCs w:val="18"/>
        </w:rPr>
        <w:t>H</w:t>
      </w:r>
      <w:r w:rsidR="00E6152E" w:rsidRPr="001A209B">
        <w:rPr>
          <w:rFonts w:cs="Arial"/>
          <w:b/>
          <w:sz w:val="18"/>
          <w:szCs w:val="18"/>
        </w:rPr>
        <w:t xml:space="preserve">ALF YEAR RESULTS FOR THE </w:t>
      </w:r>
      <w:r w:rsidRPr="001A209B">
        <w:rPr>
          <w:rFonts w:cs="Arial"/>
          <w:b/>
          <w:sz w:val="18"/>
          <w:szCs w:val="18"/>
        </w:rPr>
        <w:t>6</w:t>
      </w:r>
      <w:r w:rsidR="00E6152E" w:rsidRPr="001A209B">
        <w:rPr>
          <w:rFonts w:cs="Arial"/>
          <w:b/>
          <w:sz w:val="18"/>
          <w:szCs w:val="18"/>
        </w:rPr>
        <w:t xml:space="preserve"> MONTHS ENDED</w:t>
      </w:r>
      <w:r w:rsidRPr="001A209B">
        <w:rPr>
          <w:rFonts w:cs="Arial"/>
          <w:b/>
          <w:sz w:val="18"/>
          <w:szCs w:val="18"/>
        </w:rPr>
        <w:t xml:space="preserve"> 31 M</w:t>
      </w:r>
      <w:r w:rsidR="00E6152E" w:rsidRPr="001A209B">
        <w:rPr>
          <w:rFonts w:cs="Arial"/>
          <w:b/>
          <w:sz w:val="18"/>
          <w:szCs w:val="18"/>
        </w:rPr>
        <w:t>ARCH</w:t>
      </w:r>
      <w:r w:rsidRPr="001A209B">
        <w:rPr>
          <w:rFonts w:cs="Arial"/>
          <w:b/>
          <w:sz w:val="18"/>
          <w:szCs w:val="18"/>
        </w:rPr>
        <w:t xml:space="preserve"> 2014</w:t>
      </w:r>
    </w:p>
    <w:p w:rsidR="00BD6746" w:rsidRPr="001A209B" w:rsidRDefault="00BD6746" w:rsidP="00853E15">
      <w:pPr>
        <w:spacing w:before="20" w:after="20"/>
        <w:jc w:val="center"/>
        <w:rPr>
          <w:rFonts w:cs="Arial"/>
          <w:b/>
          <w:sz w:val="18"/>
          <w:szCs w:val="18"/>
        </w:rPr>
      </w:pPr>
    </w:p>
    <w:p w:rsidR="00BD6746" w:rsidRPr="001A209B" w:rsidRDefault="00171906" w:rsidP="00853E15">
      <w:pPr>
        <w:pBdr>
          <w:top w:val="single" w:sz="24" w:space="1" w:color="A60D1F"/>
          <w:left w:val="single" w:sz="24" w:space="4" w:color="A60D1F"/>
          <w:bottom w:val="single" w:sz="24" w:space="1" w:color="A60D1F"/>
          <w:right w:val="single" w:sz="24" w:space="4" w:color="A60D1F"/>
        </w:pBdr>
        <w:spacing w:before="20" w:after="20"/>
        <w:jc w:val="center"/>
        <w:rPr>
          <w:rFonts w:cs="Arial"/>
          <w:b/>
          <w:color w:val="A60D1F"/>
          <w:sz w:val="22"/>
          <w:szCs w:val="22"/>
        </w:rPr>
      </w:pPr>
      <w:r w:rsidRPr="001A209B">
        <w:rPr>
          <w:rFonts w:cs="Arial"/>
          <w:b/>
          <w:color w:val="A60D1F"/>
          <w:sz w:val="22"/>
          <w:szCs w:val="22"/>
        </w:rPr>
        <w:t>HALF YEAR</w:t>
      </w:r>
      <w:r w:rsidR="00B25956" w:rsidRPr="001A209B">
        <w:rPr>
          <w:rFonts w:cs="Arial"/>
          <w:b/>
          <w:color w:val="A60D1F"/>
          <w:sz w:val="22"/>
          <w:szCs w:val="22"/>
        </w:rPr>
        <w:t xml:space="preserve"> RESULTS CONFIRM FULL YEAR TARGETS</w:t>
      </w:r>
    </w:p>
    <w:p w:rsidR="006527FA" w:rsidRPr="001A209B" w:rsidRDefault="006527FA" w:rsidP="00853E15">
      <w:pPr>
        <w:tabs>
          <w:tab w:val="left" w:pos="3590"/>
        </w:tabs>
        <w:spacing w:before="20" w:after="20"/>
        <w:jc w:val="both"/>
        <w:rPr>
          <w:rFonts w:cs="Arial"/>
          <w:b/>
          <w:sz w:val="18"/>
          <w:szCs w:val="18"/>
        </w:rPr>
      </w:pPr>
    </w:p>
    <w:tbl>
      <w:tblPr>
        <w:tblStyle w:val="TableGrid"/>
        <w:tblW w:w="5000" w:type="pct"/>
        <w:tblCellMar>
          <w:left w:w="85" w:type="dxa"/>
          <w:right w:w="85" w:type="dxa"/>
        </w:tblCellMar>
        <w:tblLook w:val="04A0" w:firstRow="1" w:lastRow="0" w:firstColumn="1" w:lastColumn="0" w:noHBand="0" w:noVBand="1"/>
      </w:tblPr>
      <w:tblGrid>
        <w:gridCol w:w="3027"/>
        <w:gridCol w:w="1014"/>
        <w:gridCol w:w="1020"/>
        <w:gridCol w:w="1020"/>
        <w:gridCol w:w="1020"/>
        <w:gridCol w:w="1020"/>
        <w:gridCol w:w="1099"/>
      </w:tblGrid>
      <w:tr w:rsidR="004E5B0D" w:rsidRPr="001A209B" w:rsidTr="00A1166C">
        <w:tc>
          <w:tcPr>
            <w:tcW w:w="1642" w:type="pct"/>
            <w:tcBorders>
              <w:left w:val="nil"/>
              <w:bottom w:val="nil"/>
              <w:right w:val="nil"/>
            </w:tcBorders>
            <w:vAlign w:val="center"/>
          </w:tcPr>
          <w:p w:rsidR="004E5B0D" w:rsidRPr="001A209B" w:rsidRDefault="004E5B0D" w:rsidP="00A1166C">
            <w:pPr>
              <w:tabs>
                <w:tab w:val="left" w:pos="3590"/>
              </w:tabs>
              <w:spacing w:before="20" w:after="20"/>
              <w:rPr>
                <w:rFonts w:cs="Arial"/>
                <w:sz w:val="18"/>
                <w:szCs w:val="18"/>
              </w:rPr>
            </w:pPr>
            <w:r w:rsidRPr="001A209B">
              <w:rPr>
                <w:rFonts w:cs="Arial"/>
                <w:b/>
                <w:sz w:val="18"/>
                <w:szCs w:val="18"/>
              </w:rPr>
              <w:t>Overview – Adjusted Basis</w:t>
            </w:r>
            <w:r w:rsidRPr="001A209B">
              <w:rPr>
                <w:rFonts w:cs="Arial"/>
                <w:b/>
                <w:sz w:val="18"/>
                <w:szCs w:val="18"/>
                <w:vertAlign w:val="superscript"/>
              </w:rPr>
              <w:t>1</w:t>
            </w:r>
          </w:p>
        </w:tc>
        <w:tc>
          <w:tcPr>
            <w:tcW w:w="550" w:type="pct"/>
            <w:tcBorders>
              <w:left w:val="nil"/>
              <w:bottom w:val="nil"/>
              <w:right w:val="nil"/>
            </w:tcBorders>
            <w:vAlign w:val="center"/>
          </w:tcPr>
          <w:p w:rsidR="004E5B0D" w:rsidRPr="001A209B" w:rsidRDefault="004E5B0D" w:rsidP="00A1166C">
            <w:pPr>
              <w:tabs>
                <w:tab w:val="left" w:pos="3590"/>
              </w:tabs>
              <w:spacing w:before="20" w:after="20"/>
              <w:jc w:val="center"/>
              <w:rPr>
                <w:rFonts w:cs="Arial"/>
                <w:sz w:val="18"/>
                <w:szCs w:val="18"/>
              </w:rPr>
            </w:pPr>
          </w:p>
        </w:tc>
        <w:tc>
          <w:tcPr>
            <w:tcW w:w="1106" w:type="pct"/>
            <w:gridSpan w:val="2"/>
            <w:tcBorders>
              <w:left w:val="nil"/>
              <w:bottom w:val="single" w:sz="4" w:space="0" w:color="auto"/>
              <w:right w:val="nil"/>
            </w:tcBorders>
            <w:vAlign w:val="center"/>
          </w:tcPr>
          <w:p w:rsidR="004E5B0D" w:rsidRPr="001A209B" w:rsidRDefault="004E5B0D" w:rsidP="00A1166C">
            <w:pPr>
              <w:tabs>
                <w:tab w:val="left" w:pos="3590"/>
              </w:tabs>
              <w:spacing w:before="20" w:after="20"/>
              <w:jc w:val="center"/>
              <w:rPr>
                <w:rFonts w:cs="Arial"/>
                <w:sz w:val="18"/>
                <w:szCs w:val="18"/>
              </w:rPr>
            </w:pPr>
            <w:r w:rsidRPr="001A209B">
              <w:rPr>
                <w:rFonts w:cs="Arial"/>
                <w:b/>
                <w:bCs/>
                <w:sz w:val="18"/>
                <w:szCs w:val="18"/>
              </w:rPr>
              <w:t>Half Year Result</w:t>
            </w:r>
          </w:p>
        </w:tc>
        <w:tc>
          <w:tcPr>
            <w:tcW w:w="1702" w:type="pct"/>
            <w:gridSpan w:val="3"/>
            <w:tcBorders>
              <w:left w:val="nil"/>
              <w:bottom w:val="single" w:sz="4" w:space="0" w:color="auto"/>
              <w:right w:val="nil"/>
            </w:tcBorders>
            <w:vAlign w:val="center"/>
          </w:tcPr>
          <w:p w:rsidR="004E5B0D" w:rsidRPr="001A209B" w:rsidRDefault="004E5B0D" w:rsidP="00A1166C">
            <w:pPr>
              <w:tabs>
                <w:tab w:val="left" w:pos="3590"/>
              </w:tabs>
              <w:spacing w:before="20" w:after="20"/>
              <w:jc w:val="center"/>
              <w:rPr>
                <w:rFonts w:cs="Arial"/>
                <w:sz w:val="18"/>
                <w:szCs w:val="18"/>
              </w:rPr>
            </w:pPr>
            <w:r w:rsidRPr="001A209B">
              <w:rPr>
                <w:rFonts w:cs="Arial"/>
                <w:b/>
                <w:bCs/>
                <w:sz w:val="18"/>
                <w:szCs w:val="18"/>
              </w:rPr>
              <w:t>Change</w:t>
            </w:r>
          </w:p>
        </w:tc>
      </w:tr>
      <w:tr w:rsidR="004E5B0D" w:rsidRPr="001A209B" w:rsidTr="00154DAA">
        <w:tc>
          <w:tcPr>
            <w:tcW w:w="1642" w:type="pct"/>
            <w:tcBorders>
              <w:top w:val="nil"/>
              <w:left w:val="nil"/>
              <w:bottom w:val="nil"/>
              <w:right w:val="nil"/>
            </w:tcBorders>
            <w:vAlign w:val="center"/>
          </w:tcPr>
          <w:p w:rsidR="004E5B0D" w:rsidRPr="001A209B" w:rsidRDefault="004E5B0D" w:rsidP="00A1166C">
            <w:pPr>
              <w:tabs>
                <w:tab w:val="left" w:pos="3590"/>
              </w:tabs>
              <w:spacing w:before="20" w:after="20"/>
              <w:rPr>
                <w:rFonts w:cs="Arial"/>
                <w:sz w:val="18"/>
                <w:szCs w:val="18"/>
              </w:rPr>
            </w:pPr>
          </w:p>
        </w:tc>
        <w:tc>
          <w:tcPr>
            <w:tcW w:w="550" w:type="pct"/>
            <w:tcBorders>
              <w:top w:val="nil"/>
              <w:left w:val="nil"/>
              <w:bottom w:val="nil"/>
              <w:right w:val="nil"/>
            </w:tcBorders>
          </w:tcPr>
          <w:p w:rsidR="004E5B0D" w:rsidRPr="001A209B" w:rsidRDefault="004E5B0D" w:rsidP="00A1166C">
            <w:pPr>
              <w:tabs>
                <w:tab w:val="left" w:pos="3590"/>
              </w:tabs>
              <w:spacing w:before="20" w:after="20"/>
              <w:jc w:val="right"/>
              <w:rPr>
                <w:rFonts w:cs="Arial"/>
                <w:sz w:val="18"/>
                <w:szCs w:val="18"/>
              </w:rPr>
            </w:pPr>
          </w:p>
        </w:tc>
        <w:tc>
          <w:tcPr>
            <w:tcW w:w="553" w:type="pct"/>
            <w:tcBorders>
              <w:left w:val="nil"/>
              <w:bottom w:val="single" w:sz="4" w:space="0" w:color="auto"/>
              <w:right w:val="nil"/>
            </w:tcBorders>
            <w:vAlign w:val="bottom"/>
          </w:tcPr>
          <w:p w:rsidR="004E5B0D" w:rsidRPr="001A209B" w:rsidRDefault="004E5B0D" w:rsidP="00A1166C">
            <w:pPr>
              <w:spacing w:before="20" w:after="20"/>
              <w:jc w:val="right"/>
              <w:rPr>
                <w:rFonts w:cs="Arial"/>
                <w:b/>
                <w:sz w:val="18"/>
                <w:szCs w:val="18"/>
              </w:rPr>
            </w:pPr>
            <w:r w:rsidRPr="001A209B">
              <w:rPr>
                <w:rFonts w:cs="Arial"/>
                <w:b/>
                <w:sz w:val="18"/>
                <w:szCs w:val="18"/>
              </w:rPr>
              <w:t>2014</w:t>
            </w:r>
          </w:p>
        </w:tc>
        <w:tc>
          <w:tcPr>
            <w:tcW w:w="553" w:type="pct"/>
            <w:tcBorders>
              <w:left w:val="nil"/>
              <w:bottom w:val="single" w:sz="4" w:space="0" w:color="auto"/>
              <w:right w:val="nil"/>
            </w:tcBorders>
            <w:vAlign w:val="bottom"/>
          </w:tcPr>
          <w:p w:rsidR="004E5B0D" w:rsidRPr="001A209B" w:rsidRDefault="004E5B0D" w:rsidP="00A1166C">
            <w:pPr>
              <w:spacing w:before="20" w:after="20"/>
              <w:jc w:val="right"/>
              <w:rPr>
                <w:rFonts w:cs="Arial"/>
                <w:sz w:val="18"/>
                <w:szCs w:val="18"/>
              </w:rPr>
            </w:pPr>
            <w:r w:rsidRPr="001A209B">
              <w:rPr>
                <w:rFonts w:cs="Arial"/>
                <w:sz w:val="18"/>
                <w:szCs w:val="18"/>
              </w:rPr>
              <w:t>2013</w:t>
            </w:r>
          </w:p>
        </w:tc>
        <w:tc>
          <w:tcPr>
            <w:tcW w:w="553" w:type="pct"/>
            <w:tcBorders>
              <w:left w:val="nil"/>
              <w:bottom w:val="single" w:sz="4" w:space="0" w:color="auto"/>
              <w:right w:val="nil"/>
            </w:tcBorders>
            <w:vAlign w:val="bottom"/>
          </w:tcPr>
          <w:p w:rsidR="004E5B0D" w:rsidRPr="001A209B" w:rsidRDefault="004E5B0D" w:rsidP="00A1166C">
            <w:pPr>
              <w:spacing w:before="20" w:after="20"/>
              <w:jc w:val="right"/>
              <w:rPr>
                <w:rFonts w:cs="Arial"/>
                <w:sz w:val="18"/>
                <w:szCs w:val="18"/>
              </w:rPr>
            </w:pPr>
            <w:r w:rsidRPr="001A209B">
              <w:rPr>
                <w:rFonts w:cs="Arial"/>
                <w:sz w:val="18"/>
                <w:szCs w:val="18"/>
              </w:rPr>
              <w:t xml:space="preserve">Actual </w:t>
            </w:r>
          </w:p>
        </w:tc>
        <w:tc>
          <w:tcPr>
            <w:tcW w:w="553" w:type="pct"/>
            <w:tcBorders>
              <w:left w:val="nil"/>
              <w:bottom w:val="single" w:sz="4" w:space="0" w:color="auto"/>
              <w:right w:val="nil"/>
            </w:tcBorders>
            <w:vAlign w:val="bottom"/>
          </w:tcPr>
          <w:p w:rsidR="004E5B0D" w:rsidRPr="001A209B" w:rsidRDefault="004E5B0D" w:rsidP="00C50BC3">
            <w:pPr>
              <w:spacing w:before="20" w:after="20"/>
              <w:jc w:val="right"/>
              <w:rPr>
                <w:rFonts w:cs="Arial"/>
                <w:sz w:val="18"/>
                <w:szCs w:val="18"/>
              </w:rPr>
            </w:pPr>
            <w:r w:rsidRPr="001A209B">
              <w:rPr>
                <w:rFonts w:cs="Arial"/>
                <w:sz w:val="18"/>
                <w:szCs w:val="18"/>
              </w:rPr>
              <w:t>Constant Currency</w:t>
            </w:r>
            <w:r w:rsidR="00C50BC3" w:rsidRPr="001A209B">
              <w:rPr>
                <w:rFonts w:cs="Arial"/>
                <w:sz w:val="18"/>
                <w:szCs w:val="18"/>
                <w:vertAlign w:val="superscript"/>
              </w:rPr>
              <w:t>1</w:t>
            </w:r>
          </w:p>
        </w:tc>
        <w:tc>
          <w:tcPr>
            <w:tcW w:w="596" w:type="pct"/>
            <w:tcBorders>
              <w:left w:val="nil"/>
              <w:bottom w:val="single" w:sz="4" w:space="0" w:color="auto"/>
              <w:right w:val="nil"/>
            </w:tcBorders>
            <w:vAlign w:val="bottom"/>
          </w:tcPr>
          <w:p w:rsidR="004E5B0D" w:rsidRPr="001A209B" w:rsidRDefault="004E5B0D" w:rsidP="00A1166C">
            <w:pPr>
              <w:spacing w:before="20" w:after="20"/>
              <w:jc w:val="right"/>
              <w:rPr>
                <w:rFonts w:cs="Arial"/>
                <w:sz w:val="18"/>
                <w:szCs w:val="18"/>
              </w:rPr>
            </w:pPr>
            <w:r w:rsidRPr="001A209B">
              <w:rPr>
                <w:rFonts w:cs="Arial"/>
                <w:sz w:val="18"/>
                <w:szCs w:val="18"/>
              </w:rPr>
              <w:t>Underlying</w:t>
            </w:r>
            <w:r w:rsidR="00C50BC3" w:rsidRPr="001A209B">
              <w:rPr>
                <w:rFonts w:cs="Arial"/>
                <w:sz w:val="18"/>
                <w:szCs w:val="18"/>
                <w:vertAlign w:val="superscript"/>
              </w:rPr>
              <w:t>1</w:t>
            </w:r>
          </w:p>
        </w:tc>
      </w:tr>
      <w:tr w:rsidR="00A1166C" w:rsidRPr="001A209B" w:rsidTr="00154DAA">
        <w:tc>
          <w:tcPr>
            <w:tcW w:w="1642" w:type="pct"/>
            <w:tcBorders>
              <w:top w:val="nil"/>
              <w:left w:val="nil"/>
              <w:bottom w:val="nil"/>
              <w:right w:val="nil"/>
            </w:tcBorders>
            <w:vAlign w:val="center"/>
          </w:tcPr>
          <w:p w:rsidR="00A1166C" w:rsidRPr="001A209B" w:rsidRDefault="00A1166C" w:rsidP="00707940">
            <w:pPr>
              <w:spacing w:before="20" w:after="20"/>
              <w:rPr>
                <w:rFonts w:cs="Arial"/>
                <w:sz w:val="18"/>
                <w:szCs w:val="18"/>
              </w:rPr>
            </w:pPr>
            <w:r w:rsidRPr="001A209B">
              <w:rPr>
                <w:rFonts w:cs="Arial"/>
                <w:sz w:val="18"/>
                <w:szCs w:val="18"/>
              </w:rPr>
              <w:t>Growth Brand volume</w:t>
            </w:r>
          </w:p>
        </w:tc>
        <w:tc>
          <w:tcPr>
            <w:tcW w:w="550"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bn SE</w:t>
            </w:r>
            <w:r w:rsidR="00C50BC3" w:rsidRPr="001A209B">
              <w:rPr>
                <w:rFonts w:cs="Arial"/>
                <w:sz w:val="18"/>
                <w:szCs w:val="18"/>
                <w:vertAlign w:val="superscript"/>
              </w:rPr>
              <w:t>1</w:t>
            </w:r>
          </w:p>
        </w:tc>
        <w:tc>
          <w:tcPr>
            <w:tcW w:w="553" w:type="pct"/>
            <w:tcBorders>
              <w:left w:val="nil"/>
              <w:bottom w:val="nil"/>
              <w:right w:val="nil"/>
            </w:tcBorders>
            <w:vAlign w:val="center"/>
          </w:tcPr>
          <w:p w:rsidR="00A1166C" w:rsidRPr="001A209B" w:rsidRDefault="00A1166C" w:rsidP="0023074F">
            <w:pPr>
              <w:spacing w:before="20" w:after="20"/>
              <w:jc w:val="right"/>
              <w:rPr>
                <w:rFonts w:cs="Arial"/>
                <w:b/>
                <w:sz w:val="18"/>
                <w:szCs w:val="18"/>
              </w:rPr>
            </w:pPr>
            <w:r w:rsidRPr="001A209B">
              <w:rPr>
                <w:rFonts w:cs="Arial"/>
                <w:b/>
                <w:sz w:val="18"/>
                <w:szCs w:val="18"/>
              </w:rPr>
              <w:t>60</w:t>
            </w:r>
          </w:p>
        </w:tc>
        <w:tc>
          <w:tcPr>
            <w:tcW w:w="553" w:type="pct"/>
            <w:tcBorders>
              <w:left w:val="nil"/>
              <w:bottom w:val="nil"/>
              <w:right w:val="nil"/>
            </w:tcBorders>
            <w:vAlign w:val="center"/>
          </w:tcPr>
          <w:p w:rsidR="00A1166C" w:rsidRPr="001A209B" w:rsidRDefault="00A1166C" w:rsidP="0023074F">
            <w:pPr>
              <w:spacing w:before="20" w:after="20"/>
              <w:jc w:val="right"/>
              <w:rPr>
                <w:rFonts w:cs="Arial"/>
                <w:sz w:val="18"/>
                <w:szCs w:val="18"/>
              </w:rPr>
            </w:pPr>
            <w:r w:rsidRPr="001A209B">
              <w:rPr>
                <w:rFonts w:cs="Arial"/>
                <w:sz w:val="18"/>
                <w:szCs w:val="18"/>
              </w:rPr>
              <w:t>62</w:t>
            </w:r>
          </w:p>
        </w:tc>
        <w:tc>
          <w:tcPr>
            <w:tcW w:w="553" w:type="pct"/>
            <w:tcBorders>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-3</w:t>
            </w:r>
            <w:r w:rsidR="006C377E" w:rsidRPr="001A209B">
              <w:rPr>
                <w:rFonts w:cs="Arial"/>
                <w:sz w:val="18"/>
                <w:szCs w:val="18"/>
              </w:rPr>
              <w:t>%</w:t>
            </w:r>
          </w:p>
        </w:tc>
        <w:tc>
          <w:tcPr>
            <w:tcW w:w="553" w:type="pct"/>
            <w:tcBorders>
              <w:left w:val="nil"/>
              <w:bottom w:val="nil"/>
              <w:right w:val="nil"/>
            </w:tcBorders>
            <w:vAlign w:val="center"/>
          </w:tcPr>
          <w:p w:rsidR="00A1166C" w:rsidRPr="001A209B" w:rsidRDefault="00A1166C" w:rsidP="00A1166C">
            <w:pPr>
              <w:spacing w:before="20" w:after="20"/>
              <w:jc w:val="right"/>
              <w:rPr>
                <w:rFonts w:cs="Arial"/>
                <w:sz w:val="18"/>
                <w:szCs w:val="18"/>
              </w:rPr>
            </w:pPr>
          </w:p>
        </w:tc>
        <w:tc>
          <w:tcPr>
            <w:tcW w:w="596" w:type="pct"/>
            <w:tcBorders>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+4</w:t>
            </w:r>
            <w:r w:rsidR="006C377E" w:rsidRPr="001A209B">
              <w:rPr>
                <w:rFonts w:cs="Arial"/>
                <w:sz w:val="18"/>
                <w:szCs w:val="18"/>
              </w:rPr>
              <w:t>%</w:t>
            </w:r>
          </w:p>
        </w:tc>
      </w:tr>
      <w:tr w:rsidR="00A1166C" w:rsidRPr="001A209B" w:rsidTr="00154DAA">
        <w:tc>
          <w:tcPr>
            <w:tcW w:w="1642" w:type="pct"/>
            <w:tcBorders>
              <w:top w:val="nil"/>
              <w:left w:val="nil"/>
              <w:bottom w:val="nil"/>
              <w:right w:val="nil"/>
            </w:tcBorders>
            <w:vAlign w:val="center"/>
          </w:tcPr>
          <w:p w:rsidR="00A1166C" w:rsidRPr="001A209B" w:rsidRDefault="00A1166C" w:rsidP="00A1166C">
            <w:pPr>
              <w:spacing w:before="20" w:after="20"/>
              <w:rPr>
                <w:rFonts w:cs="Arial"/>
                <w:sz w:val="18"/>
                <w:szCs w:val="18"/>
              </w:rPr>
            </w:pPr>
            <w:r w:rsidRPr="001A209B">
              <w:rPr>
                <w:rFonts w:cs="Arial"/>
                <w:sz w:val="18"/>
                <w:szCs w:val="18"/>
              </w:rPr>
              <w:t>Tobacco net revenue</w:t>
            </w:r>
          </w:p>
        </w:tc>
        <w:tc>
          <w:tcPr>
            <w:tcW w:w="550"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£m</w:t>
            </w:r>
          </w:p>
        </w:tc>
        <w:tc>
          <w:tcPr>
            <w:tcW w:w="553" w:type="pct"/>
            <w:tcBorders>
              <w:top w:val="nil"/>
              <w:left w:val="nil"/>
              <w:bottom w:val="nil"/>
              <w:right w:val="nil"/>
            </w:tcBorders>
            <w:vAlign w:val="center"/>
          </w:tcPr>
          <w:p w:rsidR="00A1166C" w:rsidRPr="001A209B" w:rsidRDefault="00A1166C" w:rsidP="00A1166C">
            <w:pPr>
              <w:spacing w:before="20" w:after="20"/>
              <w:jc w:val="right"/>
              <w:rPr>
                <w:rFonts w:cs="Arial"/>
                <w:b/>
                <w:sz w:val="18"/>
                <w:szCs w:val="18"/>
              </w:rPr>
            </w:pPr>
            <w:r w:rsidRPr="001A209B">
              <w:rPr>
                <w:rFonts w:cs="Arial"/>
                <w:b/>
                <w:sz w:val="18"/>
                <w:szCs w:val="18"/>
              </w:rPr>
              <w:t>3,134</w:t>
            </w:r>
          </w:p>
        </w:tc>
        <w:tc>
          <w:tcPr>
            <w:tcW w:w="553"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3,284</w:t>
            </w:r>
          </w:p>
        </w:tc>
        <w:tc>
          <w:tcPr>
            <w:tcW w:w="553"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 xml:space="preserve"> -5</w:t>
            </w:r>
            <w:r w:rsidR="006C377E" w:rsidRPr="001A209B">
              <w:rPr>
                <w:rFonts w:cs="Arial"/>
                <w:sz w:val="18"/>
                <w:szCs w:val="18"/>
              </w:rPr>
              <w:t>%</w:t>
            </w:r>
          </w:p>
        </w:tc>
        <w:tc>
          <w:tcPr>
            <w:tcW w:w="553"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-2</w:t>
            </w:r>
            <w:r w:rsidR="006C377E" w:rsidRPr="001A209B">
              <w:rPr>
                <w:rFonts w:cs="Arial"/>
                <w:sz w:val="18"/>
                <w:szCs w:val="18"/>
              </w:rPr>
              <w:t>%</w:t>
            </w:r>
          </w:p>
        </w:tc>
        <w:tc>
          <w:tcPr>
            <w:tcW w:w="596"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+2</w:t>
            </w:r>
            <w:r w:rsidR="006C377E" w:rsidRPr="001A209B">
              <w:rPr>
                <w:rFonts w:cs="Arial"/>
                <w:sz w:val="18"/>
                <w:szCs w:val="18"/>
              </w:rPr>
              <w:t>%</w:t>
            </w:r>
          </w:p>
        </w:tc>
      </w:tr>
      <w:tr w:rsidR="00A1166C" w:rsidRPr="001A209B" w:rsidTr="00154DAA">
        <w:tc>
          <w:tcPr>
            <w:tcW w:w="1642" w:type="pct"/>
            <w:tcBorders>
              <w:top w:val="nil"/>
              <w:left w:val="nil"/>
              <w:bottom w:val="nil"/>
              <w:right w:val="nil"/>
            </w:tcBorders>
            <w:vAlign w:val="center"/>
          </w:tcPr>
          <w:p w:rsidR="00A1166C" w:rsidRPr="001A209B" w:rsidRDefault="00A1166C" w:rsidP="00A1166C">
            <w:pPr>
              <w:spacing w:before="20" w:after="20"/>
              <w:rPr>
                <w:rFonts w:cs="Arial"/>
                <w:sz w:val="18"/>
                <w:szCs w:val="18"/>
              </w:rPr>
            </w:pPr>
            <w:r w:rsidRPr="001A209B">
              <w:rPr>
                <w:rFonts w:cs="Arial"/>
                <w:sz w:val="18"/>
                <w:szCs w:val="18"/>
              </w:rPr>
              <w:t>Tobacco adjusted operating profit</w:t>
            </w:r>
          </w:p>
        </w:tc>
        <w:tc>
          <w:tcPr>
            <w:tcW w:w="550"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£m</w:t>
            </w:r>
          </w:p>
        </w:tc>
        <w:tc>
          <w:tcPr>
            <w:tcW w:w="553" w:type="pct"/>
            <w:tcBorders>
              <w:top w:val="nil"/>
              <w:left w:val="nil"/>
              <w:bottom w:val="nil"/>
              <w:right w:val="nil"/>
            </w:tcBorders>
            <w:vAlign w:val="center"/>
          </w:tcPr>
          <w:p w:rsidR="00A1166C" w:rsidRPr="001A209B" w:rsidRDefault="00A1166C" w:rsidP="00A1166C">
            <w:pPr>
              <w:spacing w:before="20" w:after="20"/>
              <w:jc w:val="right"/>
              <w:rPr>
                <w:rFonts w:cs="Arial"/>
                <w:b/>
                <w:sz w:val="18"/>
                <w:szCs w:val="18"/>
              </w:rPr>
            </w:pPr>
            <w:r w:rsidRPr="001A209B">
              <w:rPr>
                <w:rFonts w:cs="Arial"/>
                <w:b/>
                <w:sz w:val="18"/>
                <w:szCs w:val="18"/>
              </w:rPr>
              <w:t>1,296</w:t>
            </w:r>
          </w:p>
        </w:tc>
        <w:tc>
          <w:tcPr>
            <w:tcW w:w="553"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1,359</w:t>
            </w:r>
          </w:p>
        </w:tc>
        <w:tc>
          <w:tcPr>
            <w:tcW w:w="553"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-5</w:t>
            </w:r>
            <w:r w:rsidR="006C377E" w:rsidRPr="001A209B">
              <w:rPr>
                <w:rFonts w:cs="Arial"/>
                <w:sz w:val="18"/>
                <w:szCs w:val="18"/>
              </w:rPr>
              <w:t>%</w:t>
            </w:r>
          </w:p>
        </w:tc>
        <w:tc>
          <w:tcPr>
            <w:tcW w:w="553"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-2</w:t>
            </w:r>
            <w:r w:rsidR="006C377E" w:rsidRPr="001A209B">
              <w:rPr>
                <w:rFonts w:cs="Arial"/>
                <w:sz w:val="18"/>
                <w:szCs w:val="18"/>
              </w:rPr>
              <w:t>%</w:t>
            </w:r>
          </w:p>
        </w:tc>
        <w:tc>
          <w:tcPr>
            <w:tcW w:w="596"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p>
        </w:tc>
      </w:tr>
      <w:tr w:rsidR="00A1166C" w:rsidRPr="001A209B" w:rsidTr="00154DAA">
        <w:tc>
          <w:tcPr>
            <w:tcW w:w="1642" w:type="pct"/>
            <w:tcBorders>
              <w:top w:val="nil"/>
              <w:left w:val="nil"/>
              <w:bottom w:val="nil"/>
              <w:right w:val="nil"/>
            </w:tcBorders>
            <w:vAlign w:val="center"/>
          </w:tcPr>
          <w:p w:rsidR="00A1166C" w:rsidRPr="001A209B" w:rsidRDefault="00A1166C" w:rsidP="00A1166C">
            <w:pPr>
              <w:spacing w:before="20" w:after="20"/>
              <w:rPr>
                <w:rFonts w:cs="Arial"/>
                <w:sz w:val="18"/>
                <w:szCs w:val="18"/>
              </w:rPr>
            </w:pPr>
            <w:r w:rsidRPr="001A209B">
              <w:rPr>
                <w:rFonts w:cs="Arial"/>
                <w:sz w:val="18"/>
                <w:szCs w:val="18"/>
              </w:rPr>
              <w:t>Logistics adjusted operating profit</w:t>
            </w:r>
          </w:p>
        </w:tc>
        <w:tc>
          <w:tcPr>
            <w:tcW w:w="550"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£m</w:t>
            </w:r>
          </w:p>
        </w:tc>
        <w:tc>
          <w:tcPr>
            <w:tcW w:w="553" w:type="pct"/>
            <w:tcBorders>
              <w:top w:val="nil"/>
              <w:left w:val="nil"/>
              <w:bottom w:val="nil"/>
              <w:right w:val="nil"/>
            </w:tcBorders>
            <w:vAlign w:val="center"/>
          </w:tcPr>
          <w:p w:rsidR="00A1166C" w:rsidRPr="001A209B" w:rsidRDefault="00A1166C" w:rsidP="00A1166C">
            <w:pPr>
              <w:spacing w:before="20" w:after="20"/>
              <w:jc w:val="right"/>
              <w:rPr>
                <w:rFonts w:cs="Arial"/>
                <w:b/>
                <w:sz w:val="18"/>
                <w:szCs w:val="18"/>
              </w:rPr>
            </w:pPr>
            <w:r w:rsidRPr="001A209B">
              <w:rPr>
                <w:rFonts w:cs="Arial"/>
                <w:b/>
                <w:sz w:val="18"/>
                <w:szCs w:val="18"/>
              </w:rPr>
              <w:t>73</w:t>
            </w:r>
          </w:p>
        </w:tc>
        <w:tc>
          <w:tcPr>
            <w:tcW w:w="553"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74</w:t>
            </w:r>
          </w:p>
        </w:tc>
        <w:tc>
          <w:tcPr>
            <w:tcW w:w="553"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-1</w:t>
            </w:r>
            <w:r w:rsidR="006C377E" w:rsidRPr="001A209B">
              <w:rPr>
                <w:rFonts w:cs="Arial"/>
                <w:sz w:val="18"/>
                <w:szCs w:val="18"/>
              </w:rPr>
              <w:t>%</w:t>
            </w:r>
          </w:p>
        </w:tc>
        <w:tc>
          <w:tcPr>
            <w:tcW w:w="553"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-1</w:t>
            </w:r>
            <w:r w:rsidR="006C377E" w:rsidRPr="001A209B">
              <w:rPr>
                <w:rFonts w:cs="Arial"/>
                <w:sz w:val="18"/>
                <w:szCs w:val="18"/>
              </w:rPr>
              <w:t>%</w:t>
            </w:r>
          </w:p>
        </w:tc>
        <w:tc>
          <w:tcPr>
            <w:tcW w:w="596"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p>
        </w:tc>
      </w:tr>
      <w:tr w:rsidR="00A1166C" w:rsidRPr="001A209B" w:rsidTr="00154DAA">
        <w:tc>
          <w:tcPr>
            <w:tcW w:w="1642" w:type="pct"/>
            <w:tcBorders>
              <w:top w:val="nil"/>
              <w:left w:val="nil"/>
              <w:bottom w:val="nil"/>
              <w:right w:val="nil"/>
            </w:tcBorders>
            <w:vAlign w:val="center"/>
          </w:tcPr>
          <w:p w:rsidR="00A1166C" w:rsidRPr="001A209B" w:rsidRDefault="00A1166C" w:rsidP="00A1166C">
            <w:pPr>
              <w:spacing w:before="20" w:after="20"/>
              <w:rPr>
                <w:rFonts w:cs="Arial"/>
                <w:sz w:val="18"/>
                <w:szCs w:val="18"/>
              </w:rPr>
            </w:pPr>
            <w:r w:rsidRPr="001A209B">
              <w:rPr>
                <w:rFonts w:cs="Arial"/>
                <w:sz w:val="18"/>
                <w:szCs w:val="18"/>
              </w:rPr>
              <w:t>Total adjusted operating profit</w:t>
            </w:r>
          </w:p>
        </w:tc>
        <w:tc>
          <w:tcPr>
            <w:tcW w:w="550"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£m</w:t>
            </w:r>
          </w:p>
        </w:tc>
        <w:tc>
          <w:tcPr>
            <w:tcW w:w="553" w:type="pct"/>
            <w:tcBorders>
              <w:top w:val="nil"/>
              <w:left w:val="nil"/>
              <w:bottom w:val="nil"/>
              <w:right w:val="nil"/>
            </w:tcBorders>
            <w:vAlign w:val="center"/>
          </w:tcPr>
          <w:p w:rsidR="00A1166C" w:rsidRPr="001A209B" w:rsidRDefault="00A1166C" w:rsidP="00A1166C">
            <w:pPr>
              <w:spacing w:before="20" w:after="20"/>
              <w:jc w:val="right"/>
              <w:rPr>
                <w:rFonts w:cs="Arial"/>
                <w:b/>
                <w:sz w:val="18"/>
                <w:szCs w:val="18"/>
              </w:rPr>
            </w:pPr>
            <w:r w:rsidRPr="001A209B">
              <w:rPr>
                <w:rFonts w:cs="Arial"/>
                <w:b/>
                <w:sz w:val="18"/>
                <w:szCs w:val="18"/>
              </w:rPr>
              <w:t>1,367</w:t>
            </w:r>
          </w:p>
        </w:tc>
        <w:tc>
          <w:tcPr>
            <w:tcW w:w="553"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1,425</w:t>
            </w:r>
          </w:p>
        </w:tc>
        <w:tc>
          <w:tcPr>
            <w:tcW w:w="553"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-4</w:t>
            </w:r>
            <w:r w:rsidR="006C377E" w:rsidRPr="001A209B">
              <w:rPr>
                <w:rFonts w:cs="Arial"/>
                <w:sz w:val="18"/>
                <w:szCs w:val="18"/>
              </w:rPr>
              <w:t>%</w:t>
            </w:r>
          </w:p>
        </w:tc>
        <w:tc>
          <w:tcPr>
            <w:tcW w:w="553"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-1</w:t>
            </w:r>
            <w:r w:rsidR="006C377E" w:rsidRPr="001A209B">
              <w:rPr>
                <w:rFonts w:cs="Arial"/>
                <w:sz w:val="18"/>
                <w:szCs w:val="18"/>
              </w:rPr>
              <w:t>%</w:t>
            </w:r>
          </w:p>
        </w:tc>
        <w:tc>
          <w:tcPr>
            <w:tcW w:w="596"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p>
        </w:tc>
      </w:tr>
      <w:tr w:rsidR="00A1166C" w:rsidRPr="001A209B" w:rsidTr="00154DAA">
        <w:tc>
          <w:tcPr>
            <w:tcW w:w="1642" w:type="pct"/>
            <w:tcBorders>
              <w:top w:val="nil"/>
              <w:left w:val="nil"/>
              <w:bottom w:val="nil"/>
              <w:right w:val="nil"/>
            </w:tcBorders>
            <w:vAlign w:val="center"/>
          </w:tcPr>
          <w:p w:rsidR="00A1166C" w:rsidRPr="001A209B" w:rsidRDefault="00A1166C" w:rsidP="00A1166C">
            <w:pPr>
              <w:spacing w:before="20" w:after="20"/>
              <w:rPr>
                <w:rFonts w:cs="Arial"/>
                <w:sz w:val="18"/>
                <w:szCs w:val="18"/>
              </w:rPr>
            </w:pPr>
            <w:r w:rsidRPr="001A209B">
              <w:rPr>
                <w:rFonts w:cs="Arial"/>
                <w:sz w:val="18"/>
                <w:szCs w:val="18"/>
              </w:rPr>
              <w:t>Adjusted earnings per share</w:t>
            </w:r>
          </w:p>
        </w:tc>
        <w:tc>
          <w:tcPr>
            <w:tcW w:w="550"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pence</w:t>
            </w:r>
          </w:p>
        </w:tc>
        <w:tc>
          <w:tcPr>
            <w:tcW w:w="553" w:type="pct"/>
            <w:tcBorders>
              <w:top w:val="nil"/>
              <w:left w:val="nil"/>
              <w:bottom w:val="nil"/>
              <w:right w:val="nil"/>
            </w:tcBorders>
            <w:vAlign w:val="center"/>
          </w:tcPr>
          <w:p w:rsidR="00A1166C" w:rsidRPr="001A209B" w:rsidRDefault="00A1166C" w:rsidP="00A1166C">
            <w:pPr>
              <w:spacing w:before="20" w:after="20"/>
              <w:jc w:val="right"/>
              <w:rPr>
                <w:rFonts w:cs="Arial"/>
                <w:b/>
                <w:sz w:val="18"/>
                <w:szCs w:val="18"/>
              </w:rPr>
            </w:pPr>
            <w:r w:rsidRPr="001A209B">
              <w:rPr>
                <w:rFonts w:cs="Arial"/>
                <w:b/>
                <w:sz w:val="18"/>
                <w:szCs w:val="18"/>
              </w:rPr>
              <w:t>89.6</w:t>
            </w:r>
          </w:p>
        </w:tc>
        <w:tc>
          <w:tcPr>
            <w:tcW w:w="553"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90.2</w:t>
            </w:r>
          </w:p>
        </w:tc>
        <w:tc>
          <w:tcPr>
            <w:tcW w:w="553"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-1</w:t>
            </w:r>
            <w:r w:rsidR="006C377E" w:rsidRPr="001A209B">
              <w:rPr>
                <w:rFonts w:cs="Arial"/>
                <w:sz w:val="18"/>
                <w:szCs w:val="18"/>
              </w:rPr>
              <w:t>%</w:t>
            </w:r>
          </w:p>
        </w:tc>
        <w:tc>
          <w:tcPr>
            <w:tcW w:w="553"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+3</w:t>
            </w:r>
            <w:r w:rsidR="006C377E" w:rsidRPr="001A209B">
              <w:rPr>
                <w:rFonts w:cs="Arial"/>
                <w:sz w:val="18"/>
                <w:szCs w:val="18"/>
              </w:rPr>
              <w:t>%</w:t>
            </w:r>
          </w:p>
        </w:tc>
        <w:tc>
          <w:tcPr>
            <w:tcW w:w="596" w:type="pct"/>
            <w:tcBorders>
              <w:top w:val="nil"/>
              <w:left w:val="nil"/>
              <w:bottom w:val="nil"/>
              <w:right w:val="nil"/>
            </w:tcBorders>
            <w:vAlign w:val="center"/>
          </w:tcPr>
          <w:p w:rsidR="00A1166C" w:rsidRPr="001A209B" w:rsidRDefault="00A1166C" w:rsidP="00A1166C">
            <w:pPr>
              <w:spacing w:before="20" w:after="20"/>
              <w:jc w:val="right"/>
              <w:rPr>
                <w:rFonts w:cs="Arial"/>
                <w:sz w:val="18"/>
                <w:szCs w:val="18"/>
              </w:rPr>
            </w:pPr>
          </w:p>
        </w:tc>
      </w:tr>
      <w:tr w:rsidR="00A1166C" w:rsidRPr="001A209B" w:rsidTr="00154DAA">
        <w:tc>
          <w:tcPr>
            <w:tcW w:w="1642" w:type="pct"/>
            <w:tcBorders>
              <w:top w:val="nil"/>
              <w:left w:val="nil"/>
              <w:right w:val="nil"/>
            </w:tcBorders>
            <w:vAlign w:val="center"/>
          </w:tcPr>
          <w:p w:rsidR="00A1166C" w:rsidRPr="001A209B" w:rsidRDefault="00A1166C" w:rsidP="00A1166C">
            <w:pPr>
              <w:spacing w:before="20" w:after="20"/>
              <w:rPr>
                <w:rFonts w:cs="Arial"/>
                <w:sz w:val="18"/>
                <w:szCs w:val="18"/>
              </w:rPr>
            </w:pPr>
            <w:r w:rsidRPr="001A209B">
              <w:rPr>
                <w:rFonts w:cs="Arial"/>
                <w:sz w:val="18"/>
                <w:szCs w:val="18"/>
              </w:rPr>
              <w:t>Interim dividend per share</w:t>
            </w:r>
          </w:p>
        </w:tc>
        <w:tc>
          <w:tcPr>
            <w:tcW w:w="550" w:type="pct"/>
            <w:tcBorders>
              <w:top w:val="nil"/>
              <w:left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pence</w:t>
            </w:r>
          </w:p>
        </w:tc>
        <w:tc>
          <w:tcPr>
            <w:tcW w:w="553" w:type="pct"/>
            <w:tcBorders>
              <w:top w:val="nil"/>
              <w:left w:val="nil"/>
              <w:right w:val="nil"/>
            </w:tcBorders>
            <w:vAlign w:val="center"/>
          </w:tcPr>
          <w:p w:rsidR="00A1166C" w:rsidRPr="001A209B" w:rsidRDefault="00A1166C" w:rsidP="00A1166C">
            <w:pPr>
              <w:spacing w:before="20" w:after="20"/>
              <w:jc w:val="right"/>
              <w:rPr>
                <w:rFonts w:cs="Arial"/>
                <w:b/>
                <w:sz w:val="18"/>
                <w:szCs w:val="18"/>
              </w:rPr>
            </w:pPr>
            <w:r w:rsidRPr="001A209B">
              <w:rPr>
                <w:rFonts w:cs="Arial"/>
                <w:b/>
                <w:sz w:val="18"/>
                <w:szCs w:val="18"/>
              </w:rPr>
              <w:t>38.8</w:t>
            </w:r>
          </w:p>
        </w:tc>
        <w:tc>
          <w:tcPr>
            <w:tcW w:w="553" w:type="pct"/>
            <w:tcBorders>
              <w:top w:val="nil"/>
              <w:left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35.2</w:t>
            </w:r>
          </w:p>
        </w:tc>
        <w:tc>
          <w:tcPr>
            <w:tcW w:w="553" w:type="pct"/>
            <w:tcBorders>
              <w:top w:val="nil"/>
              <w:left w:val="nil"/>
              <w:right w:val="nil"/>
            </w:tcBorders>
            <w:vAlign w:val="center"/>
          </w:tcPr>
          <w:p w:rsidR="00A1166C" w:rsidRPr="001A209B" w:rsidRDefault="00A1166C" w:rsidP="00A1166C">
            <w:pPr>
              <w:spacing w:before="20" w:after="20"/>
              <w:jc w:val="right"/>
              <w:rPr>
                <w:rFonts w:cs="Arial"/>
                <w:sz w:val="18"/>
                <w:szCs w:val="18"/>
              </w:rPr>
            </w:pPr>
            <w:r w:rsidRPr="001A209B">
              <w:rPr>
                <w:rFonts w:cs="Arial"/>
                <w:sz w:val="18"/>
                <w:szCs w:val="18"/>
              </w:rPr>
              <w:t>+10</w:t>
            </w:r>
            <w:r w:rsidR="006C377E" w:rsidRPr="001A209B">
              <w:rPr>
                <w:rFonts w:cs="Arial"/>
                <w:sz w:val="18"/>
                <w:szCs w:val="18"/>
              </w:rPr>
              <w:t>%</w:t>
            </w:r>
          </w:p>
        </w:tc>
        <w:tc>
          <w:tcPr>
            <w:tcW w:w="553" w:type="pct"/>
            <w:tcBorders>
              <w:top w:val="nil"/>
              <w:left w:val="nil"/>
              <w:right w:val="nil"/>
            </w:tcBorders>
            <w:vAlign w:val="center"/>
          </w:tcPr>
          <w:p w:rsidR="00A1166C" w:rsidRPr="001A209B" w:rsidRDefault="00A1166C" w:rsidP="00A1166C">
            <w:pPr>
              <w:spacing w:before="20" w:after="20"/>
              <w:jc w:val="right"/>
              <w:rPr>
                <w:rFonts w:cs="Arial"/>
                <w:sz w:val="18"/>
                <w:szCs w:val="18"/>
              </w:rPr>
            </w:pPr>
          </w:p>
        </w:tc>
        <w:tc>
          <w:tcPr>
            <w:tcW w:w="596" w:type="pct"/>
            <w:tcBorders>
              <w:top w:val="nil"/>
              <w:left w:val="nil"/>
              <w:right w:val="nil"/>
            </w:tcBorders>
            <w:vAlign w:val="center"/>
          </w:tcPr>
          <w:p w:rsidR="00A1166C" w:rsidRPr="001A209B" w:rsidRDefault="00A1166C" w:rsidP="00A1166C">
            <w:pPr>
              <w:spacing w:before="20" w:after="20"/>
              <w:jc w:val="right"/>
              <w:rPr>
                <w:rFonts w:cs="Arial"/>
                <w:sz w:val="18"/>
                <w:szCs w:val="18"/>
              </w:rPr>
            </w:pPr>
          </w:p>
        </w:tc>
      </w:tr>
    </w:tbl>
    <w:p w:rsidR="00154DAA" w:rsidRPr="001A209B" w:rsidRDefault="00305E8B" w:rsidP="00305E8B">
      <w:pPr>
        <w:spacing w:before="20" w:after="20"/>
        <w:jc w:val="both"/>
        <w:rPr>
          <w:rFonts w:cs="Arial"/>
          <w:bCs/>
          <w:i/>
          <w:sz w:val="16"/>
          <w:szCs w:val="16"/>
        </w:rPr>
      </w:pPr>
      <w:r w:rsidRPr="001A209B">
        <w:rPr>
          <w:rFonts w:cs="Arial"/>
          <w:i/>
          <w:sz w:val="18"/>
          <w:szCs w:val="18"/>
          <w:vertAlign w:val="superscript"/>
        </w:rPr>
        <w:t xml:space="preserve">1 </w:t>
      </w:r>
      <w:r w:rsidRPr="001A209B">
        <w:rPr>
          <w:rFonts w:cs="Arial"/>
          <w:bCs/>
          <w:i/>
          <w:sz w:val="16"/>
          <w:szCs w:val="16"/>
        </w:rPr>
        <w:t>Change at constant currency removes the effect of exchange rate movements on the translation of the results of our overseas operations. Underlying change additionally removes the impact of the stock optimisation programme</w:t>
      </w:r>
      <w:r w:rsidR="002E3F10" w:rsidRPr="001A209B">
        <w:rPr>
          <w:rFonts w:cs="Arial"/>
          <w:bCs/>
          <w:i/>
          <w:sz w:val="16"/>
          <w:szCs w:val="16"/>
        </w:rPr>
        <w:t xml:space="preserve"> which is reducing trade inventories in a number of markets</w:t>
      </w:r>
      <w:r w:rsidRPr="001A209B">
        <w:rPr>
          <w:rFonts w:cs="Arial"/>
          <w:bCs/>
          <w:i/>
          <w:sz w:val="16"/>
          <w:szCs w:val="16"/>
        </w:rPr>
        <w:t>. See page 1</w:t>
      </w:r>
      <w:r w:rsidR="007A266C" w:rsidRPr="001A209B">
        <w:rPr>
          <w:rFonts w:cs="Arial"/>
          <w:bCs/>
          <w:i/>
          <w:sz w:val="16"/>
          <w:szCs w:val="16"/>
        </w:rPr>
        <w:t>1</w:t>
      </w:r>
      <w:r w:rsidRPr="001A209B">
        <w:rPr>
          <w:rFonts w:cs="Arial"/>
          <w:bCs/>
          <w:i/>
          <w:sz w:val="16"/>
          <w:szCs w:val="16"/>
        </w:rPr>
        <w:t xml:space="preserve"> for basis of presentation</w:t>
      </w:r>
      <w:r w:rsidR="00171906" w:rsidRPr="001A209B">
        <w:rPr>
          <w:rFonts w:cs="Arial"/>
          <w:bCs/>
          <w:i/>
          <w:sz w:val="16"/>
          <w:szCs w:val="16"/>
        </w:rPr>
        <w:t>. References in this document to percentage growth and increases or decreases in our adjusted results are on a constant currency basis unless stated otherwise</w:t>
      </w:r>
      <w:r w:rsidRPr="001A209B">
        <w:rPr>
          <w:rFonts w:cs="Arial"/>
          <w:bCs/>
          <w:i/>
          <w:sz w:val="16"/>
          <w:szCs w:val="16"/>
        </w:rPr>
        <w:t>.</w:t>
      </w:r>
    </w:p>
    <w:p w:rsidR="00305E8B" w:rsidRPr="001A209B" w:rsidRDefault="00305E8B" w:rsidP="00154DAA">
      <w:pPr>
        <w:spacing w:before="20" w:after="20"/>
        <w:jc w:val="both"/>
        <w:rPr>
          <w:rFonts w:cs="Arial"/>
          <w:b/>
          <w:bCs/>
          <w:sz w:val="18"/>
          <w:szCs w:val="18"/>
        </w:rPr>
      </w:pPr>
    </w:p>
    <w:p w:rsidR="00154DAA" w:rsidRPr="001A209B" w:rsidRDefault="00154DAA" w:rsidP="00154DAA">
      <w:pPr>
        <w:spacing w:before="20" w:after="20"/>
        <w:jc w:val="both"/>
        <w:rPr>
          <w:rFonts w:cs="Arial"/>
          <w:b/>
          <w:bCs/>
          <w:sz w:val="18"/>
          <w:szCs w:val="18"/>
        </w:rPr>
      </w:pPr>
      <w:r w:rsidRPr="001A209B">
        <w:rPr>
          <w:rFonts w:cs="Arial"/>
          <w:b/>
          <w:bCs/>
          <w:sz w:val="18"/>
          <w:szCs w:val="18"/>
        </w:rPr>
        <w:t>Enhancing quality of growth</w:t>
      </w:r>
    </w:p>
    <w:p w:rsidR="00154DAA" w:rsidRPr="001A209B" w:rsidRDefault="00154DAA" w:rsidP="00154DAA">
      <w:pPr>
        <w:pStyle w:val="ListParagraph"/>
        <w:numPr>
          <w:ilvl w:val="0"/>
          <w:numId w:val="28"/>
        </w:numPr>
        <w:spacing w:before="20" w:after="20"/>
        <w:jc w:val="both"/>
        <w:rPr>
          <w:rFonts w:cs="Arial"/>
          <w:bCs/>
          <w:sz w:val="18"/>
          <w:szCs w:val="18"/>
        </w:rPr>
      </w:pPr>
      <w:r w:rsidRPr="001A209B">
        <w:rPr>
          <w:rFonts w:cs="Arial"/>
          <w:bCs/>
          <w:sz w:val="18"/>
          <w:szCs w:val="18"/>
        </w:rPr>
        <w:t xml:space="preserve">Growth Brands: </w:t>
      </w:r>
      <w:r w:rsidR="00171906" w:rsidRPr="001A209B">
        <w:rPr>
          <w:rFonts w:cs="Arial"/>
          <w:bCs/>
          <w:sz w:val="18"/>
          <w:szCs w:val="18"/>
        </w:rPr>
        <w:t>underlying</w:t>
      </w:r>
      <w:r w:rsidR="002E3F10" w:rsidRPr="001A209B">
        <w:rPr>
          <w:rFonts w:cs="Arial"/>
          <w:sz w:val="18"/>
          <w:szCs w:val="18"/>
          <w:vertAlign w:val="superscript"/>
        </w:rPr>
        <w:t>1</w:t>
      </w:r>
      <w:r w:rsidR="00171906" w:rsidRPr="001A209B">
        <w:rPr>
          <w:rFonts w:cs="Arial"/>
          <w:bCs/>
          <w:sz w:val="18"/>
          <w:szCs w:val="18"/>
        </w:rPr>
        <w:t xml:space="preserve"> </w:t>
      </w:r>
      <w:r w:rsidRPr="001A209B">
        <w:rPr>
          <w:rFonts w:cs="Arial"/>
          <w:bCs/>
          <w:sz w:val="18"/>
          <w:szCs w:val="18"/>
        </w:rPr>
        <w:t xml:space="preserve">volumes up 4%, outperforming the market  </w:t>
      </w:r>
    </w:p>
    <w:p w:rsidR="00154DAA" w:rsidRPr="001A209B" w:rsidRDefault="00154DAA" w:rsidP="00154DAA">
      <w:pPr>
        <w:pStyle w:val="ListParagraph"/>
        <w:numPr>
          <w:ilvl w:val="0"/>
          <w:numId w:val="28"/>
        </w:numPr>
        <w:spacing w:before="20" w:after="20"/>
        <w:jc w:val="both"/>
        <w:rPr>
          <w:rFonts w:cs="Arial"/>
          <w:bCs/>
          <w:sz w:val="18"/>
          <w:szCs w:val="18"/>
        </w:rPr>
      </w:pPr>
      <w:r w:rsidRPr="001A209B">
        <w:rPr>
          <w:rFonts w:cs="Arial"/>
          <w:bCs/>
          <w:sz w:val="18"/>
          <w:szCs w:val="18"/>
        </w:rPr>
        <w:t xml:space="preserve">Specialist Brands: </w:t>
      </w:r>
      <w:r w:rsidR="00171906" w:rsidRPr="001A209B">
        <w:rPr>
          <w:rFonts w:cs="Arial"/>
          <w:bCs/>
          <w:sz w:val="18"/>
          <w:szCs w:val="18"/>
        </w:rPr>
        <w:t>underlying</w:t>
      </w:r>
      <w:r w:rsidR="002E3F10" w:rsidRPr="001A209B">
        <w:rPr>
          <w:rFonts w:cs="Arial"/>
          <w:sz w:val="18"/>
          <w:szCs w:val="18"/>
          <w:vertAlign w:val="superscript"/>
        </w:rPr>
        <w:t>1</w:t>
      </w:r>
      <w:r w:rsidR="00171906" w:rsidRPr="001A209B">
        <w:rPr>
          <w:rFonts w:cs="Arial"/>
          <w:bCs/>
          <w:sz w:val="18"/>
          <w:szCs w:val="18"/>
        </w:rPr>
        <w:t xml:space="preserve"> </w:t>
      </w:r>
      <w:r w:rsidR="005B3100" w:rsidRPr="001A209B">
        <w:rPr>
          <w:rFonts w:cs="Arial"/>
          <w:bCs/>
          <w:sz w:val="18"/>
          <w:szCs w:val="18"/>
        </w:rPr>
        <w:t xml:space="preserve">tobacco </w:t>
      </w:r>
      <w:r w:rsidRPr="001A209B">
        <w:rPr>
          <w:rFonts w:cs="Arial"/>
          <w:bCs/>
          <w:sz w:val="18"/>
          <w:szCs w:val="18"/>
        </w:rPr>
        <w:t>net revenue up 6%</w:t>
      </w:r>
    </w:p>
    <w:p w:rsidR="00154DAA" w:rsidRPr="001A209B" w:rsidRDefault="00154DAA" w:rsidP="00154DAA">
      <w:pPr>
        <w:pStyle w:val="ListParagraph"/>
        <w:numPr>
          <w:ilvl w:val="0"/>
          <w:numId w:val="29"/>
        </w:numPr>
        <w:spacing w:before="20" w:after="20"/>
        <w:jc w:val="both"/>
        <w:rPr>
          <w:rFonts w:cs="Arial"/>
          <w:bCs/>
          <w:sz w:val="18"/>
          <w:szCs w:val="18"/>
        </w:rPr>
      </w:pPr>
      <w:r w:rsidRPr="001A209B">
        <w:rPr>
          <w:rFonts w:cs="Arial"/>
          <w:bCs/>
          <w:sz w:val="18"/>
          <w:szCs w:val="18"/>
        </w:rPr>
        <w:t xml:space="preserve">Growth Markets: </w:t>
      </w:r>
      <w:r w:rsidR="00171906" w:rsidRPr="001A209B">
        <w:rPr>
          <w:rFonts w:cs="Arial"/>
          <w:bCs/>
          <w:sz w:val="18"/>
          <w:szCs w:val="18"/>
        </w:rPr>
        <w:t>underlying</w:t>
      </w:r>
      <w:r w:rsidR="002E3F10" w:rsidRPr="001A209B">
        <w:rPr>
          <w:rFonts w:cs="Arial"/>
          <w:sz w:val="18"/>
          <w:szCs w:val="18"/>
          <w:vertAlign w:val="superscript"/>
        </w:rPr>
        <w:t>1</w:t>
      </w:r>
      <w:r w:rsidR="00171906" w:rsidRPr="001A209B">
        <w:rPr>
          <w:rFonts w:cs="Arial"/>
          <w:bCs/>
          <w:sz w:val="18"/>
          <w:szCs w:val="18"/>
        </w:rPr>
        <w:t xml:space="preserve"> </w:t>
      </w:r>
      <w:r w:rsidRPr="001A209B">
        <w:rPr>
          <w:rFonts w:cs="Arial"/>
          <w:bCs/>
          <w:sz w:val="18"/>
          <w:szCs w:val="18"/>
        </w:rPr>
        <w:t xml:space="preserve">tobacco net revenue up 7% </w:t>
      </w:r>
    </w:p>
    <w:p w:rsidR="00154DAA" w:rsidRPr="001A209B" w:rsidRDefault="00154DAA" w:rsidP="00154DAA">
      <w:pPr>
        <w:pStyle w:val="ListParagraph"/>
        <w:numPr>
          <w:ilvl w:val="0"/>
          <w:numId w:val="29"/>
        </w:numPr>
        <w:spacing w:before="20" w:after="20"/>
        <w:jc w:val="both"/>
        <w:rPr>
          <w:rFonts w:cs="Arial"/>
          <w:bCs/>
          <w:sz w:val="18"/>
          <w:szCs w:val="18"/>
        </w:rPr>
      </w:pPr>
      <w:r w:rsidRPr="001A209B">
        <w:rPr>
          <w:rFonts w:cs="Arial"/>
          <w:bCs/>
          <w:sz w:val="18"/>
          <w:szCs w:val="18"/>
        </w:rPr>
        <w:t xml:space="preserve">Returns Markets: </w:t>
      </w:r>
      <w:r w:rsidR="002224E9" w:rsidRPr="001A209B">
        <w:rPr>
          <w:rFonts w:cs="Arial"/>
          <w:bCs/>
          <w:sz w:val="18"/>
          <w:szCs w:val="18"/>
        </w:rPr>
        <w:t>maintained</w:t>
      </w:r>
      <w:r w:rsidRPr="001A209B">
        <w:rPr>
          <w:rFonts w:cs="Arial"/>
          <w:bCs/>
          <w:sz w:val="18"/>
          <w:szCs w:val="18"/>
        </w:rPr>
        <w:t xml:space="preserve"> profit performance </w:t>
      </w:r>
    </w:p>
    <w:p w:rsidR="00154DAA" w:rsidRPr="001A209B" w:rsidRDefault="00154DAA" w:rsidP="00154DAA">
      <w:pPr>
        <w:spacing w:before="20" w:after="20"/>
        <w:jc w:val="both"/>
        <w:rPr>
          <w:rFonts w:cs="Arial"/>
          <w:bCs/>
          <w:sz w:val="18"/>
          <w:szCs w:val="18"/>
        </w:rPr>
      </w:pPr>
    </w:p>
    <w:p w:rsidR="00154DAA" w:rsidRPr="001A209B" w:rsidRDefault="00154DAA" w:rsidP="00154DAA">
      <w:pPr>
        <w:spacing w:before="20" w:after="20"/>
        <w:jc w:val="both"/>
        <w:rPr>
          <w:rFonts w:cs="Arial"/>
          <w:b/>
          <w:bCs/>
          <w:sz w:val="18"/>
          <w:szCs w:val="18"/>
        </w:rPr>
      </w:pPr>
      <w:r w:rsidRPr="001A209B">
        <w:rPr>
          <w:rFonts w:cs="Arial"/>
          <w:b/>
          <w:bCs/>
          <w:sz w:val="18"/>
          <w:szCs w:val="18"/>
        </w:rPr>
        <w:t xml:space="preserve">Stock </w:t>
      </w:r>
      <w:r w:rsidR="005B3100" w:rsidRPr="001A209B">
        <w:rPr>
          <w:rFonts w:cs="Arial"/>
          <w:b/>
          <w:bCs/>
          <w:sz w:val="18"/>
          <w:szCs w:val="18"/>
        </w:rPr>
        <w:t>o</w:t>
      </w:r>
      <w:r w:rsidR="007660D9" w:rsidRPr="001A209B">
        <w:rPr>
          <w:rFonts w:cs="Arial"/>
          <w:b/>
          <w:bCs/>
          <w:sz w:val="18"/>
          <w:szCs w:val="18"/>
        </w:rPr>
        <w:t>ptimisation programme reduced</w:t>
      </w:r>
      <w:r w:rsidRPr="001A209B">
        <w:rPr>
          <w:rFonts w:cs="Arial"/>
          <w:b/>
          <w:bCs/>
          <w:sz w:val="18"/>
          <w:szCs w:val="18"/>
        </w:rPr>
        <w:t xml:space="preserve"> trade inventories</w:t>
      </w:r>
    </w:p>
    <w:p w:rsidR="00154DAA" w:rsidRPr="001A209B" w:rsidRDefault="00154DAA" w:rsidP="00154DAA">
      <w:pPr>
        <w:numPr>
          <w:ilvl w:val="0"/>
          <w:numId w:val="27"/>
        </w:numPr>
        <w:spacing w:before="20" w:after="20"/>
        <w:jc w:val="both"/>
        <w:rPr>
          <w:rFonts w:cs="Arial"/>
          <w:bCs/>
          <w:sz w:val="18"/>
          <w:szCs w:val="18"/>
        </w:rPr>
      </w:pPr>
      <w:r w:rsidRPr="001A209B">
        <w:rPr>
          <w:rFonts w:cs="Arial"/>
          <w:bCs/>
          <w:sz w:val="18"/>
          <w:szCs w:val="18"/>
        </w:rPr>
        <w:t>Significant stock reductions</w:t>
      </w:r>
      <w:r w:rsidR="00B4242B" w:rsidRPr="001A209B">
        <w:rPr>
          <w:rFonts w:cs="Arial"/>
          <w:bCs/>
          <w:sz w:val="18"/>
          <w:szCs w:val="18"/>
        </w:rPr>
        <w:t xml:space="preserve"> achieved</w:t>
      </w:r>
      <w:r w:rsidR="00890879" w:rsidRPr="001A209B">
        <w:rPr>
          <w:rFonts w:cs="Arial"/>
          <w:bCs/>
          <w:sz w:val="18"/>
          <w:szCs w:val="18"/>
        </w:rPr>
        <w:t>,</w:t>
      </w:r>
      <w:r w:rsidR="00B4242B" w:rsidRPr="001A209B">
        <w:rPr>
          <w:rFonts w:cs="Arial"/>
          <w:bCs/>
          <w:sz w:val="18"/>
          <w:szCs w:val="18"/>
        </w:rPr>
        <w:t xml:space="preserve"> impacting</w:t>
      </w:r>
      <w:r w:rsidRPr="001A209B">
        <w:rPr>
          <w:rFonts w:cs="Arial"/>
          <w:bCs/>
          <w:sz w:val="18"/>
          <w:szCs w:val="18"/>
        </w:rPr>
        <w:t xml:space="preserve"> volume, revenue and profit </w:t>
      </w:r>
    </w:p>
    <w:p w:rsidR="00154DAA" w:rsidRPr="001A209B" w:rsidRDefault="00154DAA" w:rsidP="00154DAA">
      <w:pPr>
        <w:numPr>
          <w:ilvl w:val="0"/>
          <w:numId w:val="27"/>
        </w:numPr>
        <w:spacing w:before="20" w:after="20"/>
        <w:jc w:val="both"/>
        <w:rPr>
          <w:rFonts w:cs="Arial"/>
          <w:bCs/>
          <w:sz w:val="18"/>
          <w:szCs w:val="18"/>
        </w:rPr>
      </w:pPr>
      <w:r w:rsidRPr="001A209B">
        <w:rPr>
          <w:rFonts w:cs="Arial"/>
          <w:bCs/>
          <w:sz w:val="18"/>
          <w:szCs w:val="18"/>
        </w:rPr>
        <w:t>Stock optimisation programme will strengthen long-term supply effectiveness</w:t>
      </w:r>
    </w:p>
    <w:p w:rsidR="00154DAA" w:rsidRPr="001A209B" w:rsidRDefault="00154DAA" w:rsidP="00154DAA">
      <w:pPr>
        <w:spacing w:before="20" w:after="20"/>
        <w:jc w:val="both"/>
        <w:rPr>
          <w:rFonts w:cs="Arial"/>
          <w:bCs/>
          <w:sz w:val="18"/>
          <w:szCs w:val="18"/>
        </w:rPr>
      </w:pPr>
    </w:p>
    <w:p w:rsidR="00154DAA" w:rsidRPr="001A209B" w:rsidRDefault="00154DAA" w:rsidP="00154DAA">
      <w:pPr>
        <w:spacing w:before="20" w:after="20"/>
        <w:jc w:val="both"/>
        <w:rPr>
          <w:rFonts w:cs="Arial"/>
          <w:b/>
          <w:bCs/>
          <w:sz w:val="18"/>
          <w:szCs w:val="18"/>
        </w:rPr>
      </w:pPr>
      <w:r w:rsidRPr="001A209B">
        <w:rPr>
          <w:rFonts w:cs="Arial"/>
          <w:b/>
          <w:bCs/>
          <w:sz w:val="18"/>
          <w:szCs w:val="18"/>
        </w:rPr>
        <w:t>Cost optimisation programme on track</w:t>
      </w:r>
    </w:p>
    <w:p w:rsidR="00154DAA" w:rsidRPr="001A209B" w:rsidRDefault="00154DAA" w:rsidP="00154DAA">
      <w:pPr>
        <w:numPr>
          <w:ilvl w:val="0"/>
          <w:numId w:val="27"/>
        </w:numPr>
        <w:spacing w:before="20" w:after="20"/>
        <w:jc w:val="both"/>
        <w:rPr>
          <w:rFonts w:cs="Arial"/>
          <w:bCs/>
          <w:sz w:val="18"/>
          <w:szCs w:val="18"/>
        </w:rPr>
      </w:pPr>
      <w:r w:rsidRPr="001A209B">
        <w:rPr>
          <w:rFonts w:cs="Arial"/>
          <w:bCs/>
          <w:sz w:val="18"/>
          <w:szCs w:val="18"/>
        </w:rPr>
        <w:t xml:space="preserve">Cost optimisation programme on track to deliver </w:t>
      </w:r>
      <w:r w:rsidR="00890879" w:rsidRPr="001A209B">
        <w:rPr>
          <w:rFonts w:cs="Arial"/>
          <w:bCs/>
          <w:sz w:val="18"/>
          <w:szCs w:val="18"/>
        </w:rPr>
        <w:t xml:space="preserve">incremental </w:t>
      </w:r>
      <w:r w:rsidRPr="001A209B">
        <w:rPr>
          <w:rFonts w:cs="Arial"/>
          <w:bCs/>
          <w:sz w:val="18"/>
          <w:szCs w:val="18"/>
        </w:rPr>
        <w:t>savings of £60 million for the full year</w:t>
      </w:r>
    </w:p>
    <w:p w:rsidR="00154DAA" w:rsidRPr="001A209B" w:rsidRDefault="00154DAA" w:rsidP="00154DAA">
      <w:pPr>
        <w:spacing w:before="20" w:after="20"/>
        <w:jc w:val="both"/>
        <w:rPr>
          <w:rFonts w:cs="Arial"/>
          <w:b/>
          <w:bCs/>
          <w:sz w:val="18"/>
          <w:szCs w:val="18"/>
        </w:rPr>
      </w:pPr>
    </w:p>
    <w:p w:rsidR="00154DAA" w:rsidRPr="001A209B" w:rsidRDefault="00154DAA" w:rsidP="00154DAA">
      <w:pPr>
        <w:spacing w:before="20" w:after="20"/>
        <w:jc w:val="both"/>
        <w:rPr>
          <w:rFonts w:cs="Arial"/>
          <w:b/>
          <w:bCs/>
          <w:sz w:val="18"/>
          <w:szCs w:val="18"/>
        </w:rPr>
      </w:pPr>
      <w:r w:rsidRPr="001A209B">
        <w:rPr>
          <w:rFonts w:cs="Arial"/>
          <w:b/>
          <w:bCs/>
          <w:sz w:val="18"/>
          <w:szCs w:val="18"/>
        </w:rPr>
        <w:t>Sustainable shareholder returns</w:t>
      </w:r>
    </w:p>
    <w:p w:rsidR="00154DAA" w:rsidRPr="001A209B" w:rsidRDefault="00154DAA" w:rsidP="00154DAA">
      <w:pPr>
        <w:numPr>
          <w:ilvl w:val="0"/>
          <w:numId w:val="27"/>
        </w:numPr>
        <w:spacing w:before="20" w:after="20"/>
        <w:jc w:val="both"/>
        <w:rPr>
          <w:rFonts w:cs="Arial"/>
          <w:bCs/>
          <w:sz w:val="18"/>
          <w:szCs w:val="18"/>
        </w:rPr>
      </w:pPr>
      <w:r w:rsidRPr="001A209B">
        <w:rPr>
          <w:rFonts w:cs="Arial"/>
          <w:bCs/>
          <w:sz w:val="18"/>
          <w:szCs w:val="18"/>
        </w:rPr>
        <w:t>Strong interim dividend growth of 10%; quarterly dividend payments to start in 2015</w:t>
      </w:r>
    </w:p>
    <w:p w:rsidR="00154DAA" w:rsidRPr="001A209B" w:rsidRDefault="00154DAA" w:rsidP="00154DAA">
      <w:pPr>
        <w:spacing w:before="20" w:after="20"/>
        <w:jc w:val="both"/>
        <w:rPr>
          <w:rFonts w:cs="Arial"/>
          <w:b/>
          <w:bCs/>
          <w:sz w:val="18"/>
          <w:szCs w:val="18"/>
        </w:rPr>
      </w:pPr>
    </w:p>
    <w:p w:rsidR="00154DAA" w:rsidRPr="001A209B" w:rsidRDefault="00154DAA" w:rsidP="00154DAA">
      <w:pPr>
        <w:spacing w:before="20" w:after="20"/>
        <w:jc w:val="both"/>
        <w:rPr>
          <w:rFonts w:cs="Arial"/>
          <w:b/>
          <w:bCs/>
          <w:sz w:val="18"/>
          <w:szCs w:val="18"/>
        </w:rPr>
      </w:pPr>
      <w:r w:rsidRPr="001A209B">
        <w:rPr>
          <w:rFonts w:cs="Arial"/>
          <w:b/>
          <w:bCs/>
          <w:sz w:val="18"/>
          <w:szCs w:val="18"/>
        </w:rPr>
        <w:t>Full year outlook unchanged</w:t>
      </w:r>
    </w:p>
    <w:p w:rsidR="00154DAA" w:rsidRPr="001A209B" w:rsidRDefault="00154DAA" w:rsidP="00154DAA">
      <w:pPr>
        <w:numPr>
          <w:ilvl w:val="0"/>
          <w:numId w:val="27"/>
        </w:numPr>
        <w:spacing w:before="20" w:after="20"/>
        <w:jc w:val="both"/>
        <w:rPr>
          <w:rFonts w:cs="Arial"/>
          <w:bCs/>
          <w:sz w:val="18"/>
          <w:szCs w:val="18"/>
        </w:rPr>
      </w:pPr>
      <w:r w:rsidRPr="001A209B">
        <w:rPr>
          <w:rFonts w:cs="Arial"/>
          <w:bCs/>
          <w:sz w:val="18"/>
          <w:szCs w:val="18"/>
        </w:rPr>
        <w:t xml:space="preserve">Modest </w:t>
      </w:r>
      <w:r w:rsidR="0011482C" w:rsidRPr="001A209B">
        <w:rPr>
          <w:rFonts w:cs="Arial"/>
          <w:bCs/>
          <w:sz w:val="18"/>
          <w:szCs w:val="18"/>
        </w:rPr>
        <w:t xml:space="preserve">adjusted </w:t>
      </w:r>
      <w:r w:rsidRPr="001A209B">
        <w:rPr>
          <w:rFonts w:cs="Arial"/>
          <w:bCs/>
          <w:sz w:val="18"/>
          <w:szCs w:val="18"/>
        </w:rPr>
        <w:t>earnings per share growth at constant currency and further dividend growth of at least 10%</w:t>
      </w:r>
    </w:p>
    <w:p w:rsidR="00154DAA" w:rsidRPr="001A209B" w:rsidRDefault="00154DAA" w:rsidP="00154DAA">
      <w:pPr>
        <w:spacing w:before="20" w:after="20"/>
        <w:jc w:val="both"/>
        <w:rPr>
          <w:rFonts w:cs="Arial"/>
          <w:bCs/>
          <w:sz w:val="18"/>
          <w:szCs w:val="18"/>
        </w:rPr>
      </w:pPr>
    </w:p>
    <w:p w:rsidR="00154DAA" w:rsidRPr="001A209B" w:rsidRDefault="00154DAA" w:rsidP="00154DAA">
      <w:pPr>
        <w:spacing w:before="20" w:after="20"/>
        <w:jc w:val="both"/>
        <w:rPr>
          <w:rFonts w:cs="Arial"/>
          <w:bCs/>
          <w:sz w:val="18"/>
          <w:szCs w:val="18"/>
        </w:rPr>
      </w:pPr>
      <w:r w:rsidRPr="001A209B">
        <w:rPr>
          <w:rFonts w:cs="Arial"/>
          <w:b/>
          <w:bCs/>
          <w:sz w:val="18"/>
          <w:szCs w:val="18"/>
        </w:rPr>
        <w:t>Alison Cooper, Chief Executive, said:</w:t>
      </w:r>
      <w:r w:rsidRPr="001A209B">
        <w:rPr>
          <w:rFonts w:cs="Arial"/>
          <w:bCs/>
          <w:sz w:val="18"/>
          <w:szCs w:val="18"/>
        </w:rPr>
        <w:t xml:space="preserve"> “We continue to drive our strategy to build the quality and sustainability of the business. Our stock optimisation programme has inevitably impacted </w:t>
      </w:r>
      <w:r w:rsidR="00DF39D3" w:rsidRPr="001A209B">
        <w:rPr>
          <w:rFonts w:cs="Arial"/>
          <w:bCs/>
          <w:sz w:val="18"/>
          <w:szCs w:val="18"/>
        </w:rPr>
        <w:t xml:space="preserve">some of </w:t>
      </w:r>
      <w:r w:rsidRPr="001A209B">
        <w:rPr>
          <w:rFonts w:cs="Arial"/>
          <w:bCs/>
          <w:sz w:val="18"/>
          <w:szCs w:val="18"/>
        </w:rPr>
        <w:t>our numbers but I’m pleased with our</w:t>
      </w:r>
      <w:r w:rsidR="00DE5207" w:rsidRPr="001A209B">
        <w:rPr>
          <w:rFonts w:cs="Arial"/>
          <w:bCs/>
          <w:sz w:val="18"/>
          <w:szCs w:val="18"/>
        </w:rPr>
        <w:t xml:space="preserve"> underlying performance. Our </w:t>
      </w:r>
      <w:r w:rsidRPr="001A209B">
        <w:rPr>
          <w:rFonts w:cs="Arial"/>
          <w:bCs/>
          <w:sz w:val="18"/>
          <w:szCs w:val="18"/>
        </w:rPr>
        <w:t>Growth Brands again outperformed the market, with</w:t>
      </w:r>
      <w:r w:rsidR="00171906" w:rsidRPr="001A209B">
        <w:rPr>
          <w:rFonts w:cs="Arial"/>
          <w:bCs/>
          <w:sz w:val="18"/>
          <w:szCs w:val="18"/>
        </w:rPr>
        <w:t xml:space="preserve"> underlying</w:t>
      </w:r>
      <w:r w:rsidRPr="001A209B">
        <w:rPr>
          <w:rFonts w:cs="Arial"/>
          <w:bCs/>
          <w:sz w:val="18"/>
          <w:szCs w:val="18"/>
        </w:rPr>
        <w:t xml:space="preserve"> volume</w:t>
      </w:r>
      <w:r w:rsidR="00890879" w:rsidRPr="001A209B">
        <w:rPr>
          <w:rFonts w:cs="Arial"/>
          <w:bCs/>
          <w:sz w:val="18"/>
          <w:szCs w:val="18"/>
        </w:rPr>
        <w:t xml:space="preserve">s up </w:t>
      </w:r>
      <w:r w:rsidR="009536D1" w:rsidRPr="001A209B">
        <w:rPr>
          <w:rFonts w:cs="Arial"/>
          <w:bCs/>
          <w:sz w:val="18"/>
          <w:szCs w:val="18"/>
        </w:rPr>
        <w:t>4</w:t>
      </w:r>
      <w:r w:rsidR="00890879" w:rsidRPr="001A209B">
        <w:rPr>
          <w:rFonts w:cs="Arial"/>
          <w:bCs/>
          <w:sz w:val="18"/>
          <w:szCs w:val="18"/>
        </w:rPr>
        <w:t xml:space="preserve"> per cent. </w:t>
      </w:r>
      <w:r w:rsidRPr="001A209B">
        <w:rPr>
          <w:rFonts w:cs="Arial"/>
          <w:bCs/>
          <w:sz w:val="18"/>
          <w:szCs w:val="18"/>
        </w:rPr>
        <w:t>Actively managing our cost base is releasing funds to invest in these brands and their development is being further supported by the stock optimisation programme.</w:t>
      </w:r>
    </w:p>
    <w:p w:rsidR="00154DAA" w:rsidRPr="001A209B" w:rsidRDefault="00154DAA" w:rsidP="00154DAA">
      <w:pPr>
        <w:spacing w:before="20" w:after="20"/>
        <w:jc w:val="both"/>
        <w:rPr>
          <w:rFonts w:cs="Arial"/>
          <w:bCs/>
          <w:sz w:val="18"/>
          <w:szCs w:val="18"/>
        </w:rPr>
      </w:pPr>
    </w:p>
    <w:p w:rsidR="00154DAA" w:rsidRPr="001A209B" w:rsidRDefault="00154DAA" w:rsidP="00154DAA">
      <w:pPr>
        <w:spacing w:before="20" w:after="20"/>
        <w:jc w:val="both"/>
        <w:rPr>
          <w:rFonts w:cs="Arial"/>
          <w:bCs/>
          <w:sz w:val="18"/>
          <w:szCs w:val="18"/>
        </w:rPr>
      </w:pPr>
      <w:r w:rsidRPr="001A209B">
        <w:rPr>
          <w:rFonts w:cs="Arial"/>
          <w:bCs/>
          <w:sz w:val="18"/>
          <w:szCs w:val="18"/>
        </w:rPr>
        <w:t xml:space="preserve">“Our second half priority is to </w:t>
      </w:r>
      <w:r w:rsidR="00B4242B" w:rsidRPr="001A209B">
        <w:rPr>
          <w:rFonts w:cs="Arial"/>
          <w:bCs/>
          <w:sz w:val="18"/>
          <w:szCs w:val="18"/>
        </w:rPr>
        <w:t>build</w:t>
      </w:r>
      <w:r w:rsidRPr="001A209B">
        <w:rPr>
          <w:rFonts w:cs="Arial"/>
          <w:bCs/>
          <w:sz w:val="18"/>
          <w:szCs w:val="18"/>
        </w:rPr>
        <w:t xml:space="preserve"> </w:t>
      </w:r>
      <w:r w:rsidR="00D566CA" w:rsidRPr="001A209B">
        <w:rPr>
          <w:rFonts w:cs="Arial"/>
          <w:bCs/>
          <w:sz w:val="18"/>
          <w:szCs w:val="18"/>
        </w:rPr>
        <w:t xml:space="preserve">on </w:t>
      </w:r>
      <w:r w:rsidRPr="001A209B">
        <w:rPr>
          <w:rFonts w:cs="Arial"/>
          <w:bCs/>
          <w:sz w:val="18"/>
          <w:szCs w:val="18"/>
        </w:rPr>
        <w:t>our growth momentum with a particular focus on strengthening our market shares, which are on an improving trend across many territories. Conditions are still tough in some markets but we continue to demonstrate our resilience and remain on course to deliver our full year targets.’’</w:t>
      </w:r>
    </w:p>
    <w:p w:rsidR="002224E9" w:rsidRPr="001A209B" w:rsidRDefault="002224E9" w:rsidP="00154DAA">
      <w:pPr>
        <w:spacing w:before="20" w:after="20"/>
        <w:jc w:val="both"/>
        <w:rPr>
          <w:rFonts w:cs="Arial"/>
          <w:bCs/>
          <w:sz w:val="18"/>
          <w:szCs w:val="18"/>
        </w:rPr>
      </w:pPr>
    </w:p>
    <w:tbl>
      <w:tblPr>
        <w:tblStyle w:val="TableGrid"/>
        <w:tblW w:w="5000" w:type="pct"/>
        <w:tblCellMar>
          <w:left w:w="85" w:type="dxa"/>
          <w:right w:w="85" w:type="dxa"/>
        </w:tblCellMar>
        <w:tblLook w:val="04A0" w:firstRow="1" w:lastRow="0" w:firstColumn="1" w:lastColumn="0" w:noHBand="0" w:noVBand="1"/>
      </w:tblPr>
      <w:tblGrid>
        <w:gridCol w:w="3414"/>
        <w:gridCol w:w="1143"/>
        <w:gridCol w:w="1151"/>
        <w:gridCol w:w="1151"/>
        <w:gridCol w:w="1151"/>
        <w:gridCol w:w="1151"/>
        <w:gridCol w:w="59"/>
      </w:tblGrid>
      <w:tr w:rsidR="002224E9" w:rsidRPr="001A209B" w:rsidTr="002211AB">
        <w:tc>
          <w:tcPr>
            <w:tcW w:w="1851" w:type="pct"/>
            <w:tcBorders>
              <w:left w:val="nil"/>
              <w:bottom w:val="nil"/>
              <w:right w:val="nil"/>
            </w:tcBorders>
            <w:vAlign w:val="center"/>
          </w:tcPr>
          <w:p w:rsidR="002224E9" w:rsidRPr="001A209B" w:rsidRDefault="002224E9" w:rsidP="002211AB">
            <w:pPr>
              <w:tabs>
                <w:tab w:val="left" w:pos="3590"/>
              </w:tabs>
              <w:spacing w:before="20" w:after="20"/>
              <w:rPr>
                <w:rFonts w:cs="Arial"/>
                <w:sz w:val="18"/>
                <w:szCs w:val="18"/>
              </w:rPr>
            </w:pPr>
            <w:r w:rsidRPr="001A209B">
              <w:rPr>
                <w:rFonts w:cs="Arial"/>
                <w:b/>
                <w:sz w:val="18"/>
                <w:szCs w:val="18"/>
              </w:rPr>
              <w:t>Overview – Reported Basis</w:t>
            </w:r>
            <w:r w:rsidR="001339E2" w:rsidRPr="001A209B">
              <w:rPr>
                <w:rFonts w:cs="Arial"/>
                <w:b/>
                <w:sz w:val="18"/>
                <w:szCs w:val="18"/>
              </w:rPr>
              <w:t>*</w:t>
            </w:r>
          </w:p>
        </w:tc>
        <w:tc>
          <w:tcPr>
            <w:tcW w:w="620" w:type="pct"/>
            <w:tcBorders>
              <w:left w:val="nil"/>
              <w:bottom w:val="nil"/>
              <w:right w:val="nil"/>
            </w:tcBorders>
            <w:vAlign w:val="center"/>
          </w:tcPr>
          <w:p w:rsidR="002224E9" w:rsidRPr="001A209B" w:rsidRDefault="002224E9" w:rsidP="002211AB">
            <w:pPr>
              <w:tabs>
                <w:tab w:val="left" w:pos="3590"/>
              </w:tabs>
              <w:spacing w:before="20" w:after="20"/>
              <w:jc w:val="center"/>
              <w:rPr>
                <w:rFonts w:cs="Arial"/>
                <w:sz w:val="18"/>
                <w:szCs w:val="18"/>
              </w:rPr>
            </w:pPr>
          </w:p>
        </w:tc>
        <w:tc>
          <w:tcPr>
            <w:tcW w:w="1248" w:type="pct"/>
            <w:gridSpan w:val="2"/>
            <w:tcBorders>
              <w:left w:val="nil"/>
              <w:bottom w:val="single" w:sz="4" w:space="0" w:color="auto"/>
              <w:right w:val="nil"/>
            </w:tcBorders>
            <w:vAlign w:val="center"/>
          </w:tcPr>
          <w:p w:rsidR="002224E9" w:rsidRPr="001A209B" w:rsidRDefault="002224E9" w:rsidP="002211AB">
            <w:pPr>
              <w:tabs>
                <w:tab w:val="left" w:pos="3590"/>
              </w:tabs>
              <w:spacing w:before="20" w:after="20"/>
              <w:jc w:val="center"/>
              <w:rPr>
                <w:rFonts w:cs="Arial"/>
                <w:sz w:val="18"/>
                <w:szCs w:val="18"/>
              </w:rPr>
            </w:pPr>
            <w:r w:rsidRPr="001A209B">
              <w:rPr>
                <w:rFonts w:cs="Arial"/>
                <w:b/>
                <w:bCs/>
                <w:sz w:val="18"/>
                <w:szCs w:val="18"/>
              </w:rPr>
              <w:t>Half Year Result</w:t>
            </w:r>
          </w:p>
        </w:tc>
        <w:tc>
          <w:tcPr>
            <w:tcW w:w="1280" w:type="pct"/>
            <w:gridSpan w:val="3"/>
            <w:tcBorders>
              <w:left w:val="nil"/>
              <w:bottom w:val="single" w:sz="4" w:space="0" w:color="auto"/>
              <w:right w:val="nil"/>
            </w:tcBorders>
            <w:vAlign w:val="center"/>
          </w:tcPr>
          <w:p w:rsidR="002224E9" w:rsidRPr="001A209B" w:rsidRDefault="002224E9" w:rsidP="002211AB">
            <w:pPr>
              <w:tabs>
                <w:tab w:val="left" w:pos="3590"/>
              </w:tabs>
              <w:spacing w:before="20" w:after="20"/>
              <w:jc w:val="center"/>
              <w:rPr>
                <w:rFonts w:cs="Arial"/>
                <w:sz w:val="18"/>
                <w:szCs w:val="18"/>
              </w:rPr>
            </w:pPr>
            <w:r w:rsidRPr="001A209B">
              <w:rPr>
                <w:rFonts w:cs="Arial"/>
                <w:b/>
                <w:bCs/>
                <w:sz w:val="18"/>
                <w:szCs w:val="18"/>
              </w:rPr>
              <w:t>Change</w:t>
            </w:r>
          </w:p>
        </w:tc>
      </w:tr>
      <w:tr w:rsidR="002224E9" w:rsidRPr="001A209B" w:rsidTr="002211AB">
        <w:trPr>
          <w:gridAfter w:val="1"/>
          <w:wAfter w:w="32" w:type="pct"/>
        </w:trPr>
        <w:tc>
          <w:tcPr>
            <w:tcW w:w="1851" w:type="pct"/>
            <w:tcBorders>
              <w:top w:val="nil"/>
              <w:left w:val="nil"/>
              <w:bottom w:val="nil"/>
              <w:right w:val="nil"/>
            </w:tcBorders>
            <w:vAlign w:val="center"/>
          </w:tcPr>
          <w:p w:rsidR="002224E9" w:rsidRPr="001A209B" w:rsidRDefault="002224E9" w:rsidP="002211AB">
            <w:pPr>
              <w:tabs>
                <w:tab w:val="left" w:pos="3590"/>
              </w:tabs>
              <w:spacing w:before="20" w:after="20"/>
              <w:rPr>
                <w:rFonts w:cs="Arial"/>
                <w:sz w:val="18"/>
                <w:szCs w:val="18"/>
              </w:rPr>
            </w:pPr>
          </w:p>
        </w:tc>
        <w:tc>
          <w:tcPr>
            <w:tcW w:w="620" w:type="pct"/>
            <w:tcBorders>
              <w:top w:val="nil"/>
              <w:left w:val="nil"/>
              <w:bottom w:val="nil"/>
              <w:right w:val="nil"/>
            </w:tcBorders>
          </w:tcPr>
          <w:p w:rsidR="002224E9" w:rsidRPr="001A209B" w:rsidRDefault="002224E9" w:rsidP="002211AB">
            <w:pPr>
              <w:tabs>
                <w:tab w:val="left" w:pos="3590"/>
              </w:tabs>
              <w:spacing w:before="20" w:after="20"/>
              <w:jc w:val="right"/>
              <w:rPr>
                <w:rFonts w:cs="Arial"/>
                <w:sz w:val="18"/>
                <w:szCs w:val="18"/>
              </w:rPr>
            </w:pPr>
          </w:p>
        </w:tc>
        <w:tc>
          <w:tcPr>
            <w:tcW w:w="624" w:type="pct"/>
            <w:tcBorders>
              <w:left w:val="nil"/>
              <w:bottom w:val="single" w:sz="4" w:space="0" w:color="auto"/>
              <w:right w:val="nil"/>
            </w:tcBorders>
            <w:vAlign w:val="bottom"/>
          </w:tcPr>
          <w:p w:rsidR="002224E9" w:rsidRPr="001A209B" w:rsidRDefault="002224E9" w:rsidP="002211AB">
            <w:pPr>
              <w:spacing w:before="20" w:after="20"/>
              <w:jc w:val="right"/>
              <w:rPr>
                <w:rFonts w:cs="Arial"/>
                <w:b/>
                <w:sz w:val="18"/>
                <w:szCs w:val="18"/>
              </w:rPr>
            </w:pPr>
            <w:r w:rsidRPr="001A209B">
              <w:rPr>
                <w:rFonts w:cs="Arial"/>
                <w:b/>
                <w:sz w:val="18"/>
                <w:szCs w:val="18"/>
              </w:rPr>
              <w:t>2014</w:t>
            </w:r>
          </w:p>
        </w:tc>
        <w:tc>
          <w:tcPr>
            <w:tcW w:w="624" w:type="pct"/>
            <w:tcBorders>
              <w:left w:val="nil"/>
              <w:bottom w:val="single" w:sz="4" w:space="0" w:color="auto"/>
              <w:right w:val="nil"/>
            </w:tcBorders>
            <w:vAlign w:val="bottom"/>
          </w:tcPr>
          <w:p w:rsidR="002224E9" w:rsidRPr="001A209B" w:rsidRDefault="002224E9" w:rsidP="002211AB">
            <w:pPr>
              <w:spacing w:before="20" w:after="20"/>
              <w:jc w:val="right"/>
              <w:rPr>
                <w:rFonts w:cs="Arial"/>
                <w:sz w:val="18"/>
                <w:szCs w:val="18"/>
              </w:rPr>
            </w:pPr>
            <w:r w:rsidRPr="001A209B">
              <w:rPr>
                <w:rFonts w:cs="Arial"/>
                <w:sz w:val="18"/>
                <w:szCs w:val="18"/>
              </w:rPr>
              <w:t>2013</w:t>
            </w:r>
          </w:p>
        </w:tc>
        <w:tc>
          <w:tcPr>
            <w:tcW w:w="624" w:type="pct"/>
            <w:tcBorders>
              <w:left w:val="nil"/>
              <w:bottom w:val="single" w:sz="4" w:space="0" w:color="auto"/>
              <w:right w:val="nil"/>
            </w:tcBorders>
            <w:vAlign w:val="bottom"/>
          </w:tcPr>
          <w:p w:rsidR="002224E9" w:rsidRPr="001A209B" w:rsidRDefault="002224E9" w:rsidP="002211AB">
            <w:pPr>
              <w:spacing w:before="20" w:after="20"/>
              <w:jc w:val="right"/>
              <w:rPr>
                <w:rFonts w:cs="Arial"/>
                <w:sz w:val="18"/>
                <w:szCs w:val="18"/>
              </w:rPr>
            </w:pPr>
            <w:r w:rsidRPr="001A209B">
              <w:rPr>
                <w:rFonts w:cs="Arial"/>
                <w:sz w:val="18"/>
                <w:szCs w:val="18"/>
              </w:rPr>
              <w:t xml:space="preserve">Actual </w:t>
            </w:r>
          </w:p>
        </w:tc>
        <w:tc>
          <w:tcPr>
            <w:tcW w:w="624" w:type="pct"/>
            <w:tcBorders>
              <w:left w:val="nil"/>
              <w:bottom w:val="single" w:sz="4" w:space="0" w:color="auto"/>
              <w:right w:val="nil"/>
            </w:tcBorders>
            <w:vAlign w:val="bottom"/>
          </w:tcPr>
          <w:p w:rsidR="002224E9" w:rsidRPr="001A209B" w:rsidRDefault="002224E9" w:rsidP="002211AB">
            <w:pPr>
              <w:spacing w:before="20" w:after="20"/>
              <w:jc w:val="right"/>
              <w:rPr>
                <w:rFonts w:cs="Arial"/>
                <w:sz w:val="18"/>
                <w:szCs w:val="18"/>
              </w:rPr>
            </w:pPr>
            <w:r w:rsidRPr="001A209B">
              <w:rPr>
                <w:rFonts w:cs="Arial"/>
                <w:sz w:val="18"/>
                <w:szCs w:val="18"/>
              </w:rPr>
              <w:t>Underlying</w:t>
            </w:r>
            <w:r w:rsidR="00DF39D3" w:rsidRPr="001A209B">
              <w:rPr>
                <w:rFonts w:cs="Arial"/>
                <w:sz w:val="18"/>
                <w:szCs w:val="18"/>
                <w:vertAlign w:val="superscript"/>
              </w:rPr>
              <w:t>1</w:t>
            </w:r>
          </w:p>
        </w:tc>
      </w:tr>
      <w:tr w:rsidR="002224E9" w:rsidRPr="001A209B" w:rsidTr="002211AB">
        <w:trPr>
          <w:gridAfter w:val="1"/>
          <w:wAfter w:w="32" w:type="pct"/>
        </w:trPr>
        <w:tc>
          <w:tcPr>
            <w:tcW w:w="1851" w:type="pct"/>
            <w:tcBorders>
              <w:top w:val="nil"/>
              <w:left w:val="nil"/>
              <w:bottom w:val="nil"/>
              <w:right w:val="nil"/>
            </w:tcBorders>
          </w:tcPr>
          <w:p w:rsidR="002224E9" w:rsidRPr="001A209B" w:rsidRDefault="002224E9" w:rsidP="002211AB">
            <w:pPr>
              <w:spacing w:before="20" w:after="20"/>
              <w:rPr>
                <w:rFonts w:cs="Arial"/>
                <w:sz w:val="18"/>
                <w:szCs w:val="18"/>
              </w:rPr>
            </w:pPr>
            <w:r w:rsidRPr="001A209B">
              <w:rPr>
                <w:rFonts w:cs="Arial"/>
                <w:sz w:val="18"/>
                <w:szCs w:val="18"/>
              </w:rPr>
              <w:t>Total tobacco volume</w:t>
            </w:r>
          </w:p>
        </w:tc>
        <w:tc>
          <w:tcPr>
            <w:tcW w:w="620" w:type="pct"/>
            <w:tcBorders>
              <w:top w:val="nil"/>
              <w:left w:val="nil"/>
              <w:bottom w:val="nil"/>
              <w:right w:val="nil"/>
            </w:tcBorders>
            <w:vAlign w:val="center"/>
          </w:tcPr>
          <w:p w:rsidR="002224E9" w:rsidRPr="001A209B" w:rsidRDefault="002224E9" w:rsidP="002211AB">
            <w:pPr>
              <w:spacing w:before="20" w:after="20"/>
              <w:jc w:val="right"/>
              <w:rPr>
                <w:rFonts w:cs="Arial"/>
                <w:sz w:val="18"/>
                <w:szCs w:val="18"/>
              </w:rPr>
            </w:pPr>
            <w:r w:rsidRPr="001A209B">
              <w:rPr>
                <w:rFonts w:cs="Arial"/>
                <w:sz w:val="18"/>
                <w:szCs w:val="18"/>
              </w:rPr>
              <w:t>bn SE</w:t>
            </w:r>
          </w:p>
        </w:tc>
        <w:tc>
          <w:tcPr>
            <w:tcW w:w="624" w:type="pct"/>
            <w:tcBorders>
              <w:left w:val="nil"/>
              <w:bottom w:val="nil"/>
              <w:right w:val="nil"/>
            </w:tcBorders>
            <w:vAlign w:val="center"/>
          </w:tcPr>
          <w:p w:rsidR="002224E9" w:rsidRPr="001A209B" w:rsidRDefault="002224E9" w:rsidP="002211AB">
            <w:pPr>
              <w:spacing w:before="20" w:after="20"/>
              <w:jc w:val="right"/>
              <w:rPr>
                <w:rFonts w:cs="Arial"/>
                <w:b/>
                <w:sz w:val="18"/>
                <w:szCs w:val="18"/>
              </w:rPr>
            </w:pPr>
            <w:r w:rsidRPr="001A209B">
              <w:rPr>
                <w:rFonts w:cs="Arial"/>
                <w:b/>
                <w:sz w:val="18"/>
                <w:szCs w:val="18"/>
              </w:rPr>
              <w:t xml:space="preserve">140 </w:t>
            </w:r>
          </w:p>
        </w:tc>
        <w:tc>
          <w:tcPr>
            <w:tcW w:w="624" w:type="pct"/>
            <w:tcBorders>
              <w:left w:val="nil"/>
              <w:bottom w:val="nil"/>
              <w:right w:val="nil"/>
            </w:tcBorders>
            <w:vAlign w:val="center"/>
          </w:tcPr>
          <w:p w:rsidR="002224E9" w:rsidRPr="001A209B" w:rsidRDefault="002224E9" w:rsidP="002211AB">
            <w:pPr>
              <w:spacing w:before="20" w:after="20"/>
              <w:jc w:val="right"/>
              <w:rPr>
                <w:rFonts w:cs="Arial"/>
                <w:sz w:val="18"/>
                <w:szCs w:val="18"/>
              </w:rPr>
            </w:pPr>
            <w:r w:rsidRPr="001A209B">
              <w:rPr>
                <w:rFonts w:cs="Arial"/>
                <w:sz w:val="18"/>
                <w:szCs w:val="18"/>
              </w:rPr>
              <w:t xml:space="preserve">152 </w:t>
            </w:r>
          </w:p>
        </w:tc>
        <w:tc>
          <w:tcPr>
            <w:tcW w:w="624" w:type="pct"/>
            <w:tcBorders>
              <w:left w:val="nil"/>
              <w:bottom w:val="nil"/>
              <w:right w:val="nil"/>
            </w:tcBorders>
            <w:vAlign w:val="center"/>
          </w:tcPr>
          <w:p w:rsidR="002224E9" w:rsidRPr="001A209B" w:rsidRDefault="002224E9" w:rsidP="002211AB">
            <w:pPr>
              <w:spacing w:before="20" w:after="20"/>
              <w:jc w:val="right"/>
              <w:rPr>
                <w:rFonts w:cs="Arial"/>
                <w:sz w:val="18"/>
                <w:szCs w:val="18"/>
              </w:rPr>
            </w:pPr>
            <w:r w:rsidRPr="001A209B">
              <w:rPr>
                <w:rFonts w:cs="Arial"/>
                <w:sz w:val="18"/>
                <w:szCs w:val="18"/>
              </w:rPr>
              <w:t>-8%</w:t>
            </w:r>
          </w:p>
        </w:tc>
        <w:tc>
          <w:tcPr>
            <w:tcW w:w="624" w:type="pct"/>
            <w:tcBorders>
              <w:left w:val="nil"/>
              <w:bottom w:val="nil"/>
              <w:right w:val="nil"/>
            </w:tcBorders>
            <w:vAlign w:val="center"/>
          </w:tcPr>
          <w:p w:rsidR="002224E9" w:rsidRPr="001A209B" w:rsidRDefault="002224E9" w:rsidP="002211AB">
            <w:pPr>
              <w:spacing w:before="20" w:after="20"/>
              <w:jc w:val="right"/>
              <w:rPr>
                <w:rFonts w:cs="Arial"/>
                <w:sz w:val="18"/>
                <w:szCs w:val="18"/>
              </w:rPr>
            </w:pPr>
            <w:r w:rsidRPr="001A209B">
              <w:rPr>
                <w:rFonts w:cs="Arial"/>
                <w:sz w:val="18"/>
                <w:szCs w:val="18"/>
              </w:rPr>
              <w:t>-4%</w:t>
            </w:r>
          </w:p>
        </w:tc>
      </w:tr>
      <w:tr w:rsidR="002224E9" w:rsidRPr="001A209B" w:rsidTr="002211AB">
        <w:trPr>
          <w:gridAfter w:val="1"/>
          <w:wAfter w:w="32" w:type="pct"/>
        </w:trPr>
        <w:tc>
          <w:tcPr>
            <w:tcW w:w="1851" w:type="pct"/>
            <w:tcBorders>
              <w:top w:val="nil"/>
              <w:left w:val="nil"/>
              <w:bottom w:val="nil"/>
              <w:right w:val="nil"/>
            </w:tcBorders>
          </w:tcPr>
          <w:p w:rsidR="002224E9" w:rsidRPr="001A209B" w:rsidRDefault="002224E9" w:rsidP="002211AB">
            <w:pPr>
              <w:spacing w:before="20" w:after="20"/>
              <w:rPr>
                <w:rFonts w:cs="Arial"/>
                <w:sz w:val="18"/>
                <w:szCs w:val="18"/>
              </w:rPr>
            </w:pPr>
            <w:r w:rsidRPr="001A209B">
              <w:rPr>
                <w:rFonts w:cs="Arial"/>
                <w:sz w:val="18"/>
                <w:szCs w:val="18"/>
              </w:rPr>
              <w:t>Revenue</w:t>
            </w:r>
          </w:p>
        </w:tc>
        <w:tc>
          <w:tcPr>
            <w:tcW w:w="620" w:type="pct"/>
            <w:tcBorders>
              <w:top w:val="nil"/>
              <w:left w:val="nil"/>
              <w:bottom w:val="nil"/>
              <w:right w:val="nil"/>
            </w:tcBorders>
            <w:vAlign w:val="center"/>
          </w:tcPr>
          <w:p w:rsidR="002224E9" w:rsidRPr="001A209B" w:rsidRDefault="002224E9" w:rsidP="002211AB">
            <w:pPr>
              <w:spacing w:before="20" w:after="20"/>
              <w:jc w:val="right"/>
              <w:rPr>
                <w:rFonts w:cs="Arial"/>
                <w:sz w:val="18"/>
                <w:szCs w:val="18"/>
              </w:rPr>
            </w:pPr>
            <w:r w:rsidRPr="001A209B">
              <w:rPr>
                <w:rFonts w:cs="Arial"/>
                <w:sz w:val="18"/>
                <w:szCs w:val="18"/>
              </w:rPr>
              <w:t>£m</w:t>
            </w:r>
          </w:p>
        </w:tc>
        <w:tc>
          <w:tcPr>
            <w:tcW w:w="624" w:type="pct"/>
            <w:tcBorders>
              <w:top w:val="nil"/>
              <w:left w:val="nil"/>
              <w:bottom w:val="nil"/>
              <w:right w:val="nil"/>
            </w:tcBorders>
            <w:vAlign w:val="center"/>
          </w:tcPr>
          <w:p w:rsidR="002224E9" w:rsidRPr="001A209B" w:rsidRDefault="002224E9" w:rsidP="002211AB">
            <w:pPr>
              <w:spacing w:before="20" w:after="20"/>
              <w:jc w:val="right"/>
              <w:rPr>
                <w:rFonts w:cs="Arial"/>
                <w:b/>
                <w:sz w:val="18"/>
                <w:szCs w:val="18"/>
              </w:rPr>
            </w:pPr>
            <w:r w:rsidRPr="001A209B">
              <w:rPr>
                <w:rFonts w:cs="Arial"/>
                <w:b/>
                <w:sz w:val="18"/>
                <w:szCs w:val="18"/>
              </w:rPr>
              <w:t>12,717</w:t>
            </w:r>
          </w:p>
        </w:tc>
        <w:tc>
          <w:tcPr>
            <w:tcW w:w="624" w:type="pct"/>
            <w:tcBorders>
              <w:top w:val="nil"/>
              <w:left w:val="nil"/>
              <w:bottom w:val="nil"/>
              <w:right w:val="nil"/>
            </w:tcBorders>
            <w:vAlign w:val="center"/>
          </w:tcPr>
          <w:p w:rsidR="002224E9" w:rsidRPr="001A209B" w:rsidRDefault="002224E9" w:rsidP="002211AB">
            <w:pPr>
              <w:spacing w:before="20" w:after="20"/>
              <w:jc w:val="right"/>
              <w:rPr>
                <w:rFonts w:cs="Arial"/>
                <w:sz w:val="18"/>
                <w:szCs w:val="18"/>
              </w:rPr>
            </w:pPr>
            <w:r w:rsidRPr="001A209B">
              <w:rPr>
                <w:rFonts w:cs="Arial"/>
                <w:sz w:val="18"/>
                <w:szCs w:val="18"/>
              </w:rPr>
              <w:t>13,376</w:t>
            </w:r>
          </w:p>
        </w:tc>
        <w:tc>
          <w:tcPr>
            <w:tcW w:w="624" w:type="pct"/>
            <w:tcBorders>
              <w:top w:val="nil"/>
              <w:left w:val="nil"/>
              <w:bottom w:val="nil"/>
              <w:right w:val="nil"/>
            </w:tcBorders>
            <w:vAlign w:val="center"/>
          </w:tcPr>
          <w:p w:rsidR="002224E9" w:rsidRPr="001A209B" w:rsidRDefault="002224E9" w:rsidP="002211AB">
            <w:pPr>
              <w:spacing w:before="20" w:after="20"/>
              <w:jc w:val="right"/>
              <w:rPr>
                <w:rFonts w:cs="Arial"/>
                <w:sz w:val="18"/>
                <w:szCs w:val="18"/>
              </w:rPr>
            </w:pPr>
            <w:r w:rsidRPr="001A209B">
              <w:rPr>
                <w:rFonts w:cs="Arial"/>
                <w:sz w:val="18"/>
                <w:szCs w:val="18"/>
              </w:rPr>
              <w:t>-5%</w:t>
            </w:r>
          </w:p>
        </w:tc>
        <w:tc>
          <w:tcPr>
            <w:tcW w:w="624" w:type="pct"/>
            <w:tcBorders>
              <w:top w:val="nil"/>
              <w:left w:val="nil"/>
              <w:bottom w:val="nil"/>
              <w:right w:val="nil"/>
            </w:tcBorders>
            <w:vAlign w:val="center"/>
          </w:tcPr>
          <w:p w:rsidR="002224E9" w:rsidRPr="001A209B" w:rsidRDefault="002224E9" w:rsidP="002211AB">
            <w:pPr>
              <w:spacing w:before="20" w:after="20"/>
              <w:jc w:val="right"/>
              <w:rPr>
                <w:rFonts w:cs="Arial"/>
                <w:sz w:val="18"/>
                <w:szCs w:val="18"/>
              </w:rPr>
            </w:pPr>
          </w:p>
        </w:tc>
      </w:tr>
      <w:tr w:rsidR="002224E9" w:rsidRPr="001A209B" w:rsidTr="002211AB">
        <w:trPr>
          <w:gridAfter w:val="1"/>
          <w:wAfter w:w="32" w:type="pct"/>
        </w:trPr>
        <w:tc>
          <w:tcPr>
            <w:tcW w:w="1851" w:type="pct"/>
            <w:tcBorders>
              <w:top w:val="nil"/>
              <w:left w:val="nil"/>
              <w:bottom w:val="nil"/>
              <w:right w:val="nil"/>
            </w:tcBorders>
          </w:tcPr>
          <w:p w:rsidR="002224E9" w:rsidRPr="001A209B" w:rsidRDefault="002224E9" w:rsidP="002211AB">
            <w:pPr>
              <w:spacing w:before="20" w:after="20"/>
              <w:rPr>
                <w:rFonts w:cs="Arial"/>
                <w:sz w:val="18"/>
                <w:szCs w:val="18"/>
              </w:rPr>
            </w:pPr>
            <w:r w:rsidRPr="001A209B">
              <w:rPr>
                <w:rFonts w:cs="Arial"/>
                <w:sz w:val="18"/>
                <w:szCs w:val="18"/>
              </w:rPr>
              <w:t>Operating profit</w:t>
            </w:r>
          </w:p>
        </w:tc>
        <w:tc>
          <w:tcPr>
            <w:tcW w:w="620" w:type="pct"/>
            <w:tcBorders>
              <w:top w:val="nil"/>
              <w:left w:val="nil"/>
              <w:bottom w:val="nil"/>
              <w:right w:val="nil"/>
            </w:tcBorders>
            <w:vAlign w:val="center"/>
          </w:tcPr>
          <w:p w:rsidR="002224E9" w:rsidRPr="001A209B" w:rsidRDefault="002224E9" w:rsidP="002211AB">
            <w:pPr>
              <w:spacing w:before="20" w:after="20"/>
              <w:jc w:val="right"/>
              <w:rPr>
                <w:rFonts w:cs="Arial"/>
                <w:sz w:val="18"/>
                <w:szCs w:val="18"/>
              </w:rPr>
            </w:pPr>
            <w:r w:rsidRPr="001A209B">
              <w:rPr>
                <w:rFonts w:cs="Arial"/>
                <w:sz w:val="18"/>
                <w:szCs w:val="18"/>
              </w:rPr>
              <w:t>£m</w:t>
            </w:r>
          </w:p>
        </w:tc>
        <w:tc>
          <w:tcPr>
            <w:tcW w:w="624" w:type="pct"/>
            <w:tcBorders>
              <w:top w:val="nil"/>
              <w:left w:val="nil"/>
              <w:bottom w:val="nil"/>
              <w:right w:val="nil"/>
            </w:tcBorders>
            <w:vAlign w:val="center"/>
          </w:tcPr>
          <w:p w:rsidR="002224E9" w:rsidRPr="001A209B" w:rsidRDefault="002224E9" w:rsidP="002211AB">
            <w:pPr>
              <w:spacing w:before="20" w:after="20"/>
              <w:jc w:val="right"/>
              <w:rPr>
                <w:rFonts w:cs="Arial"/>
                <w:b/>
                <w:sz w:val="18"/>
                <w:szCs w:val="18"/>
              </w:rPr>
            </w:pPr>
            <w:r w:rsidRPr="001A209B">
              <w:rPr>
                <w:rFonts w:cs="Arial"/>
                <w:b/>
                <w:sz w:val="18"/>
                <w:szCs w:val="18"/>
              </w:rPr>
              <w:t>999</w:t>
            </w:r>
          </w:p>
        </w:tc>
        <w:tc>
          <w:tcPr>
            <w:tcW w:w="624" w:type="pct"/>
            <w:tcBorders>
              <w:top w:val="nil"/>
              <w:left w:val="nil"/>
              <w:bottom w:val="nil"/>
              <w:right w:val="nil"/>
            </w:tcBorders>
            <w:vAlign w:val="center"/>
          </w:tcPr>
          <w:p w:rsidR="002224E9" w:rsidRPr="001A209B" w:rsidRDefault="002224E9" w:rsidP="002211AB">
            <w:pPr>
              <w:spacing w:before="20" w:after="20"/>
              <w:jc w:val="right"/>
              <w:rPr>
                <w:rFonts w:cs="Arial"/>
                <w:sz w:val="18"/>
                <w:szCs w:val="18"/>
              </w:rPr>
            </w:pPr>
            <w:r w:rsidRPr="001A209B">
              <w:rPr>
                <w:rFonts w:cs="Arial"/>
                <w:sz w:val="18"/>
                <w:szCs w:val="18"/>
              </w:rPr>
              <w:t>1,201</w:t>
            </w:r>
          </w:p>
        </w:tc>
        <w:tc>
          <w:tcPr>
            <w:tcW w:w="624" w:type="pct"/>
            <w:tcBorders>
              <w:top w:val="nil"/>
              <w:left w:val="nil"/>
              <w:bottom w:val="nil"/>
              <w:right w:val="nil"/>
            </w:tcBorders>
            <w:vAlign w:val="center"/>
          </w:tcPr>
          <w:p w:rsidR="002224E9" w:rsidRPr="001A209B" w:rsidRDefault="002224E9" w:rsidP="002211AB">
            <w:pPr>
              <w:spacing w:before="20" w:after="20"/>
              <w:jc w:val="right"/>
              <w:rPr>
                <w:rFonts w:cs="Arial"/>
                <w:sz w:val="18"/>
                <w:szCs w:val="18"/>
              </w:rPr>
            </w:pPr>
            <w:r w:rsidRPr="001A209B">
              <w:rPr>
                <w:rFonts w:cs="Arial"/>
                <w:sz w:val="18"/>
                <w:szCs w:val="18"/>
              </w:rPr>
              <w:t>-17%</w:t>
            </w:r>
          </w:p>
        </w:tc>
        <w:tc>
          <w:tcPr>
            <w:tcW w:w="624" w:type="pct"/>
            <w:tcBorders>
              <w:top w:val="nil"/>
              <w:left w:val="nil"/>
              <w:bottom w:val="nil"/>
              <w:right w:val="nil"/>
            </w:tcBorders>
            <w:vAlign w:val="center"/>
          </w:tcPr>
          <w:p w:rsidR="002224E9" w:rsidRPr="001A209B" w:rsidRDefault="002224E9" w:rsidP="002211AB">
            <w:pPr>
              <w:spacing w:before="20" w:after="20"/>
              <w:jc w:val="right"/>
              <w:rPr>
                <w:rFonts w:cs="Arial"/>
                <w:sz w:val="18"/>
                <w:szCs w:val="18"/>
              </w:rPr>
            </w:pPr>
          </w:p>
        </w:tc>
      </w:tr>
      <w:tr w:rsidR="002224E9" w:rsidRPr="001A209B" w:rsidTr="002211AB">
        <w:trPr>
          <w:gridAfter w:val="1"/>
          <w:wAfter w:w="32" w:type="pct"/>
        </w:trPr>
        <w:tc>
          <w:tcPr>
            <w:tcW w:w="1851" w:type="pct"/>
            <w:tcBorders>
              <w:top w:val="nil"/>
              <w:left w:val="nil"/>
              <w:right w:val="nil"/>
            </w:tcBorders>
          </w:tcPr>
          <w:p w:rsidR="002224E9" w:rsidRPr="001A209B" w:rsidRDefault="002224E9" w:rsidP="002211AB">
            <w:pPr>
              <w:spacing w:before="20" w:after="20"/>
              <w:rPr>
                <w:rFonts w:cs="Arial"/>
                <w:sz w:val="18"/>
                <w:szCs w:val="18"/>
              </w:rPr>
            </w:pPr>
            <w:r w:rsidRPr="001A209B">
              <w:rPr>
                <w:rFonts w:cs="Arial"/>
                <w:sz w:val="18"/>
                <w:szCs w:val="18"/>
              </w:rPr>
              <w:t>Basic earnings per share</w:t>
            </w:r>
          </w:p>
        </w:tc>
        <w:tc>
          <w:tcPr>
            <w:tcW w:w="620" w:type="pct"/>
            <w:tcBorders>
              <w:top w:val="nil"/>
              <w:left w:val="nil"/>
              <w:right w:val="nil"/>
            </w:tcBorders>
            <w:vAlign w:val="center"/>
          </w:tcPr>
          <w:p w:rsidR="002224E9" w:rsidRPr="001A209B" w:rsidRDefault="002224E9" w:rsidP="002211AB">
            <w:pPr>
              <w:spacing w:before="20" w:after="20"/>
              <w:jc w:val="right"/>
              <w:rPr>
                <w:rFonts w:cs="Arial"/>
                <w:sz w:val="18"/>
                <w:szCs w:val="18"/>
              </w:rPr>
            </w:pPr>
            <w:r w:rsidRPr="001A209B">
              <w:rPr>
                <w:rFonts w:cs="Arial"/>
                <w:sz w:val="18"/>
                <w:szCs w:val="18"/>
              </w:rPr>
              <w:t>pence</w:t>
            </w:r>
          </w:p>
        </w:tc>
        <w:tc>
          <w:tcPr>
            <w:tcW w:w="624" w:type="pct"/>
            <w:tcBorders>
              <w:top w:val="nil"/>
              <w:left w:val="nil"/>
              <w:right w:val="nil"/>
            </w:tcBorders>
            <w:vAlign w:val="center"/>
          </w:tcPr>
          <w:p w:rsidR="002224E9" w:rsidRPr="001A209B" w:rsidRDefault="002224E9" w:rsidP="002211AB">
            <w:pPr>
              <w:spacing w:before="20" w:after="20"/>
              <w:jc w:val="right"/>
              <w:rPr>
                <w:rFonts w:cs="Arial"/>
                <w:b/>
                <w:sz w:val="18"/>
                <w:szCs w:val="18"/>
              </w:rPr>
            </w:pPr>
            <w:r w:rsidRPr="001A209B">
              <w:rPr>
                <w:rFonts w:cs="Arial"/>
                <w:b/>
                <w:sz w:val="18"/>
                <w:szCs w:val="18"/>
              </w:rPr>
              <w:t>38.1</w:t>
            </w:r>
          </w:p>
        </w:tc>
        <w:tc>
          <w:tcPr>
            <w:tcW w:w="624" w:type="pct"/>
            <w:tcBorders>
              <w:top w:val="nil"/>
              <w:left w:val="nil"/>
              <w:right w:val="nil"/>
            </w:tcBorders>
            <w:vAlign w:val="center"/>
          </w:tcPr>
          <w:p w:rsidR="002224E9" w:rsidRPr="001A209B" w:rsidRDefault="002224E9" w:rsidP="002211AB">
            <w:pPr>
              <w:spacing w:before="20" w:after="20"/>
              <w:jc w:val="right"/>
              <w:rPr>
                <w:rFonts w:cs="Arial"/>
                <w:sz w:val="18"/>
                <w:szCs w:val="18"/>
              </w:rPr>
            </w:pPr>
            <w:r w:rsidRPr="001A209B">
              <w:rPr>
                <w:rFonts w:cs="Arial"/>
                <w:sz w:val="18"/>
                <w:szCs w:val="18"/>
              </w:rPr>
              <w:t>62.4</w:t>
            </w:r>
          </w:p>
        </w:tc>
        <w:tc>
          <w:tcPr>
            <w:tcW w:w="624" w:type="pct"/>
            <w:tcBorders>
              <w:top w:val="nil"/>
              <w:left w:val="nil"/>
              <w:right w:val="nil"/>
            </w:tcBorders>
            <w:vAlign w:val="center"/>
          </w:tcPr>
          <w:p w:rsidR="002224E9" w:rsidRPr="001A209B" w:rsidRDefault="002224E9" w:rsidP="002211AB">
            <w:pPr>
              <w:spacing w:before="20" w:after="20"/>
              <w:jc w:val="right"/>
              <w:rPr>
                <w:rFonts w:cs="Arial"/>
                <w:sz w:val="18"/>
                <w:szCs w:val="18"/>
              </w:rPr>
            </w:pPr>
            <w:r w:rsidRPr="001A209B">
              <w:rPr>
                <w:rFonts w:cs="Arial"/>
                <w:sz w:val="18"/>
                <w:szCs w:val="18"/>
              </w:rPr>
              <w:t>-39%</w:t>
            </w:r>
          </w:p>
        </w:tc>
        <w:tc>
          <w:tcPr>
            <w:tcW w:w="624" w:type="pct"/>
            <w:tcBorders>
              <w:top w:val="nil"/>
              <w:left w:val="nil"/>
              <w:right w:val="nil"/>
            </w:tcBorders>
            <w:vAlign w:val="center"/>
          </w:tcPr>
          <w:p w:rsidR="002224E9" w:rsidRPr="001A209B" w:rsidRDefault="002224E9" w:rsidP="002211AB">
            <w:pPr>
              <w:spacing w:before="20" w:after="20"/>
              <w:jc w:val="right"/>
              <w:rPr>
                <w:rFonts w:cs="Arial"/>
                <w:sz w:val="18"/>
                <w:szCs w:val="18"/>
              </w:rPr>
            </w:pPr>
          </w:p>
        </w:tc>
      </w:tr>
    </w:tbl>
    <w:p w:rsidR="00154DAA" w:rsidRPr="001A209B" w:rsidRDefault="00154DAA" w:rsidP="00154DAA">
      <w:pPr>
        <w:spacing w:before="20" w:after="20"/>
        <w:rPr>
          <w:rFonts w:cs="Arial"/>
          <w:bCs/>
          <w:i/>
          <w:sz w:val="16"/>
          <w:szCs w:val="16"/>
        </w:rPr>
      </w:pPr>
      <w:r w:rsidRPr="001A209B">
        <w:rPr>
          <w:rFonts w:cs="Arial"/>
          <w:bCs/>
          <w:i/>
          <w:sz w:val="16"/>
          <w:szCs w:val="16"/>
        </w:rPr>
        <w:t>*</w:t>
      </w:r>
      <w:r w:rsidR="00B0758A" w:rsidRPr="001A209B">
        <w:rPr>
          <w:rFonts w:cs="Arial"/>
          <w:bCs/>
          <w:i/>
          <w:sz w:val="16"/>
          <w:szCs w:val="16"/>
        </w:rPr>
        <w:t>Reported results were adversely affected by our stock optimisation programme, but the reduction in profits and EPS is mainly due to increased non-cash amortisation charges and deferred tax charges.</w:t>
      </w:r>
      <w:r w:rsidR="00DF39D3" w:rsidRPr="001A209B">
        <w:rPr>
          <w:rFonts w:cs="Arial"/>
          <w:i/>
          <w:sz w:val="18"/>
          <w:szCs w:val="18"/>
          <w:vertAlign w:val="superscript"/>
        </w:rPr>
        <w:t xml:space="preserve"> 1 </w:t>
      </w:r>
      <w:r w:rsidR="007A266C" w:rsidRPr="001A209B">
        <w:rPr>
          <w:rFonts w:cs="Arial"/>
          <w:bCs/>
          <w:i/>
          <w:sz w:val="16"/>
          <w:szCs w:val="16"/>
        </w:rPr>
        <w:t>See page 11</w:t>
      </w:r>
      <w:r w:rsidR="00DF39D3" w:rsidRPr="001A209B">
        <w:rPr>
          <w:rFonts w:cs="Arial"/>
          <w:bCs/>
          <w:i/>
          <w:sz w:val="16"/>
          <w:szCs w:val="16"/>
        </w:rPr>
        <w:t xml:space="preserve"> for basis of presentation.</w:t>
      </w:r>
    </w:p>
    <w:p w:rsidR="005D5FC1" w:rsidRPr="001A209B" w:rsidRDefault="00FF346A" w:rsidP="00D00A01">
      <w:pPr>
        <w:pBdr>
          <w:top w:val="single" w:sz="24" w:space="1" w:color="A60D1F"/>
          <w:left w:val="single" w:sz="24" w:space="4" w:color="A60D1F"/>
          <w:bottom w:val="single" w:sz="24" w:space="1" w:color="A60D1F"/>
          <w:right w:val="single" w:sz="24" w:space="4" w:color="A60D1F"/>
        </w:pBdr>
        <w:tabs>
          <w:tab w:val="left" w:pos="1009"/>
        </w:tabs>
        <w:spacing w:before="20" w:after="20"/>
        <w:jc w:val="center"/>
        <w:rPr>
          <w:rFonts w:cs="Arial"/>
          <w:b/>
          <w:color w:val="A60D1F"/>
          <w:sz w:val="18"/>
          <w:szCs w:val="18"/>
        </w:rPr>
      </w:pPr>
      <w:r w:rsidRPr="001A209B">
        <w:rPr>
          <w:rFonts w:cs="Arial"/>
          <w:b/>
          <w:color w:val="A60D1F"/>
          <w:sz w:val="18"/>
          <w:szCs w:val="18"/>
        </w:rPr>
        <w:lastRenderedPageBreak/>
        <w:t>BUSINESS</w:t>
      </w:r>
      <w:r w:rsidR="005D5FC1" w:rsidRPr="001A209B">
        <w:rPr>
          <w:rFonts w:cs="Arial"/>
          <w:b/>
          <w:color w:val="A60D1F"/>
          <w:sz w:val="18"/>
          <w:szCs w:val="18"/>
        </w:rPr>
        <w:t xml:space="preserve"> REVIEW</w:t>
      </w:r>
    </w:p>
    <w:p w:rsidR="005D5FC1" w:rsidRPr="001A209B" w:rsidRDefault="005D5FC1" w:rsidP="00853E15">
      <w:pPr>
        <w:spacing w:before="20" w:after="20"/>
        <w:jc w:val="both"/>
        <w:rPr>
          <w:rFonts w:cs="Arial"/>
          <w:b/>
          <w:sz w:val="18"/>
          <w:szCs w:val="18"/>
          <w:u w:val="single"/>
        </w:rPr>
      </w:pPr>
    </w:p>
    <w:p w:rsidR="00403426" w:rsidRPr="001A209B" w:rsidRDefault="00850BB2" w:rsidP="00853E15">
      <w:pPr>
        <w:spacing w:before="20" w:after="20"/>
        <w:jc w:val="both"/>
        <w:rPr>
          <w:rFonts w:cs="Arial"/>
          <w:b/>
          <w:color w:val="A60D1F"/>
          <w:sz w:val="18"/>
          <w:szCs w:val="18"/>
        </w:rPr>
      </w:pPr>
      <w:r w:rsidRPr="001A209B">
        <w:rPr>
          <w:rFonts w:cs="Arial"/>
          <w:b/>
          <w:color w:val="A60D1F"/>
          <w:sz w:val="18"/>
          <w:szCs w:val="18"/>
        </w:rPr>
        <w:t>Overview</w:t>
      </w:r>
    </w:p>
    <w:p w:rsidR="00DA00F5" w:rsidRPr="001A209B" w:rsidRDefault="00521081" w:rsidP="00853E15">
      <w:pPr>
        <w:spacing w:before="20" w:after="20"/>
        <w:jc w:val="both"/>
        <w:rPr>
          <w:rFonts w:cs="Arial"/>
          <w:sz w:val="18"/>
          <w:szCs w:val="18"/>
        </w:rPr>
      </w:pPr>
      <w:r w:rsidRPr="001A209B">
        <w:rPr>
          <w:rFonts w:cs="Arial"/>
          <w:sz w:val="18"/>
          <w:szCs w:val="18"/>
        </w:rPr>
        <w:t xml:space="preserve">The success of </w:t>
      </w:r>
      <w:r w:rsidR="006C32E2" w:rsidRPr="001A209B">
        <w:rPr>
          <w:rFonts w:cs="Arial"/>
          <w:sz w:val="18"/>
          <w:szCs w:val="18"/>
        </w:rPr>
        <w:t>our strategy continues</w:t>
      </w:r>
      <w:r w:rsidR="00C1492F" w:rsidRPr="001A209B">
        <w:rPr>
          <w:rFonts w:cs="Arial"/>
          <w:sz w:val="18"/>
          <w:szCs w:val="18"/>
        </w:rPr>
        <w:t xml:space="preserve"> to improve the quality of our growth and </w:t>
      </w:r>
      <w:r w:rsidR="006C32E2" w:rsidRPr="001A209B">
        <w:rPr>
          <w:rFonts w:cs="Arial"/>
          <w:sz w:val="18"/>
          <w:szCs w:val="18"/>
        </w:rPr>
        <w:t>strengthen</w:t>
      </w:r>
      <w:r w:rsidR="00403426" w:rsidRPr="001A209B">
        <w:rPr>
          <w:rFonts w:cs="Arial"/>
          <w:sz w:val="18"/>
          <w:szCs w:val="18"/>
        </w:rPr>
        <w:t xml:space="preserve"> </w:t>
      </w:r>
      <w:r w:rsidR="00130FE0" w:rsidRPr="001A209B">
        <w:rPr>
          <w:rFonts w:cs="Arial"/>
          <w:sz w:val="18"/>
          <w:szCs w:val="18"/>
        </w:rPr>
        <w:t>our</w:t>
      </w:r>
      <w:r w:rsidR="00403426" w:rsidRPr="001A209B">
        <w:rPr>
          <w:rFonts w:cs="Arial"/>
          <w:sz w:val="18"/>
          <w:szCs w:val="18"/>
        </w:rPr>
        <w:t xml:space="preserve"> sustainability</w:t>
      </w:r>
      <w:r w:rsidR="00130FE0" w:rsidRPr="001A209B">
        <w:rPr>
          <w:rFonts w:cs="Arial"/>
          <w:sz w:val="18"/>
          <w:szCs w:val="18"/>
        </w:rPr>
        <w:t xml:space="preserve">. </w:t>
      </w:r>
      <w:r w:rsidR="00CF7482" w:rsidRPr="001A209B">
        <w:rPr>
          <w:rFonts w:cs="Arial"/>
          <w:sz w:val="18"/>
          <w:szCs w:val="18"/>
        </w:rPr>
        <w:t xml:space="preserve">We </w:t>
      </w:r>
      <w:r w:rsidR="00C30574" w:rsidRPr="001A209B">
        <w:rPr>
          <w:rFonts w:cs="Arial"/>
          <w:sz w:val="18"/>
          <w:szCs w:val="18"/>
        </w:rPr>
        <w:t>are focused on</w:t>
      </w:r>
      <w:r w:rsidR="00D20E86" w:rsidRPr="001A209B">
        <w:rPr>
          <w:rFonts w:cs="Arial"/>
          <w:sz w:val="18"/>
          <w:szCs w:val="18"/>
        </w:rPr>
        <w:t xml:space="preserve"> </w:t>
      </w:r>
      <w:r w:rsidR="00CF7482" w:rsidRPr="001A209B">
        <w:rPr>
          <w:rFonts w:cs="Arial"/>
          <w:sz w:val="18"/>
          <w:szCs w:val="18"/>
        </w:rPr>
        <w:t>maximis</w:t>
      </w:r>
      <w:r w:rsidR="00C30574" w:rsidRPr="001A209B">
        <w:rPr>
          <w:rFonts w:cs="Arial"/>
          <w:sz w:val="18"/>
          <w:szCs w:val="18"/>
        </w:rPr>
        <w:t>ing</w:t>
      </w:r>
      <w:r w:rsidR="00FA487C" w:rsidRPr="001A209B">
        <w:rPr>
          <w:rFonts w:cs="Arial"/>
          <w:sz w:val="18"/>
          <w:szCs w:val="18"/>
        </w:rPr>
        <w:t xml:space="preserve"> opportunities for our Growth Brands and Growth Markets</w:t>
      </w:r>
      <w:r w:rsidR="00CF7482" w:rsidRPr="001A209B">
        <w:rPr>
          <w:rFonts w:cs="Arial"/>
          <w:sz w:val="18"/>
          <w:szCs w:val="18"/>
        </w:rPr>
        <w:t xml:space="preserve">, whilst generating </w:t>
      </w:r>
      <w:r w:rsidR="00283D0A" w:rsidRPr="001A209B">
        <w:rPr>
          <w:rFonts w:cs="Arial"/>
          <w:sz w:val="18"/>
          <w:szCs w:val="18"/>
        </w:rPr>
        <w:t xml:space="preserve">strong returns </w:t>
      </w:r>
      <w:r w:rsidR="00CF7482" w:rsidRPr="001A209B">
        <w:rPr>
          <w:rFonts w:cs="Arial"/>
          <w:sz w:val="18"/>
          <w:szCs w:val="18"/>
        </w:rPr>
        <w:t>from</w:t>
      </w:r>
      <w:r w:rsidR="00283D0A" w:rsidRPr="001A209B">
        <w:rPr>
          <w:rFonts w:cs="Arial"/>
          <w:sz w:val="18"/>
          <w:szCs w:val="18"/>
        </w:rPr>
        <w:t xml:space="preserve"> our Specialist Brands and</w:t>
      </w:r>
      <w:r w:rsidR="00A3305D" w:rsidRPr="001A209B">
        <w:rPr>
          <w:rFonts w:cs="Arial"/>
          <w:sz w:val="18"/>
          <w:szCs w:val="18"/>
        </w:rPr>
        <w:t xml:space="preserve"> Returns Markets</w:t>
      </w:r>
      <w:r w:rsidR="00283D0A" w:rsidRPr="001A209B">
        <w:rPr>
          <w:rFonts w:cs="Arial"/>
          <w:sz w:val="18"/>
          <w:szCs w:val="18"/>
        </w:rPr>
        <w:t xml:space="preserve">. </w:t>
      </w:r>
    </w:p>
    <w:p w:rsidR="00DA00F5" w:rsidRPr="001A209B" w:rsidRDefault="00DA00F5" w:rsidP="00853E15">
      <w:pPr>
        <w:spacing w:before="20" w:after="20"/>
        <w:jc w:val="both"/>
        <w:rPr>
          <w:rFonts w:cs="Arial"/>
          <w:sz w:val="18"/>
          <w:szCs w:val="18"/>
        </w:rPr>
      </w:pPr>
    </w:p>
    <w:p w:rsidR="005A3A72" w:rsidRPr="001A209B" w:rsidRDefault="00903657" w:rsidP="00853E15">
      <w:pPr>
        <w:spacing w:before="20" w:after="20"/>
        <w:jc w:val="both"/>
        <w:rPr>
          <w:rFonts w:cs="Arial"/>
          <w:sz w:val="18"/>
          <w:szCs w:val="18"/>
        </w:rPr>
      </w:pPr>
      <w:r w:rsidRPr="001A209B">
        <w:rPr>
          <w:rFonts w:cs="Arial"/>
          <w:sz w:val="18"/>
          <w:szCs w:val="18"/>
        </w:rPr>
        <w:t xml:space="preserve">In support of our strategy, we are optimising our cost base and </w:t>
      </w:r>
      <w:r w:rsidR="002300AF" w:rsidRPr="001A209B">
        <w:rPr>
          <w:rFonts w:cs="Arial"/>
          <w:sz w:val="18"/>
          <w:szCs w:val="18"/>
        </w:rPr>
        <w:t>implementing</w:t>
      </w:r>
      <w:r w:rsidRPr="001A209B">
        <w:rPr>
          <w:rFonts w:cs="Arial"/>
          <w:sz w:val="18"/>
          <w:szCs w:val="18"/>
        </w:rPr>
        <w:t xml:space="preserve"> a stock optimisation programme.  The stock programme is reducing trade inventories </w:t>
      </w:r>
      <w:r w:rsidR="008A56AD" w:rsidRPr="001A209B">
        <w:rPr>
          <w:rFonts w:cs="Arial"/>
          <w:sz w:val="18"/>
          <w:szCs w:val="18"/>
        </w:rPr>
        <w:t>in some</w:t>
      </w:r>
      <w:r w:rsidRPr="001A209B">
        <w:rPr>
          <w:rFonts w:cs="Arial"/>
          <w:sz w:val="18"/>
          <w:szCs w:val="18"/>
        </w:rPr>
        <w:t xml:space="preserve"> markets,</w:t>
      </w:r>
      <w:r w:rsidR="008A56AD" w:rsidRPr="001A209B">
        <w:rPr>
          <w:rFonts w:cs="Arial"/>
          <w:sz w:val="18"/>
          <w:szCs w:val="18"/>
        </w:rPr>
        <w:t xml:space="preserve"> </w:t>
      </w:r>
      <w:r w:rsidR="0065087F" w:rsidRPr="001A209B">
        <w:rPr>
          <w:rFonts w:cs="Arial"/>
          <w:sz w:val="18"/>
          <w:szCs w:val="18"/>
        </w:rPr>
        <w:t xml:space="preserve">most </w:t>
      </w:r>
      <w:r w:rsidR="008A56AD" w:rsidRPr="001A209B">
        <w:rPr>
          <w:rFonts w:cs="Arial"/>
          <w:sz w:val="18"/>
          <w:szCs w:val="18"/>
        </w:rPr>
        <w:t xml:space="preserve">notably </w:t>
      </w:r>
      <w:r w:rsidR="0065087F" w:rsidRPr="001A209B">
        <w:rPr>
          <w:rFonts w:cs="Arial"/>
          <w:sz w:val="18"/>
          <w:szCs w:val="18"/>
        </w:rPr>
        <w:t>in our Growth Markets of Iraq and Russia. This has impacted</w:t>
      </w:r>
      <w:r w:rsidR="00B0758A" w:rsidRPr="001A209B">
        <w:rPr>
          <w:rFonts w:cs="Arial"/>
          <w:sz w:val="18"/>
          <w:szCs w:val="18"/>
        </w:rPr>
        <w:t xml:space="preserve"> our </w:t>
      </w:r>
      <w:r w:rsidRPr="001A209B">
        <w:rPr>
          <w:rFonts w:cs="Arial"/>
          <w:sz w:val="18"/>
          <w:szCs w:val="18"/>
        </w:rPr>
        <w:t>volume, revenue and profit perform</w:t>
      </w:r>
      <w:r w:rsidR="002300AF" w:rsidRPr="001A209B">
        <w:rPr>
          <w:rFonts w:cs="Arial"/>
          <w:sz w:val="18"/>
          <w:szCs w:val="18"/>
        </w:rPr>
        <w:t>ance</w:t>
      </w:r>
      <w:r w:rsidRPr="001A209B">
        <w:rPr>
          <w:rFonts w:cs="Arial"/>
          <w:sz w:val="18"/>
          <w:szCs w:val="18"/>
        </w:rPr>
        <w:t xml:space="preserve"> but </w:t>
      </w:r>
      <w:r w:rsidR="0065087F" w:rsidRPr="001A209B">
        <w:rPr>
          <w:rFonts w:cs="Arial"/>
          <w:sz w:val="18"/>
          <w:szCs w:val="18"/>
        </w:rPr>
        <w:t xml:space="preserve">is </w:t>
      </w:r>
      <w:r w:rsidRPr="001A209B">
        <w:rPr>
          <w:rFonts w:cs="Arial"/>
          <w:sz w:val="18"/>
          <w:szCs w:val="18"/>
        </w:rPr>
        <w:t>providi</w:t>
      </w:r>
      <w:r w:rsidR="002300AF" w:rsidRPr="001A209B">
        <w:rPr>
          <w:rFonts w:cs="Arial"/>
          <w:sz w:val="18"/>
          <w:szCs w:val="18"/>
        </w:rPr>
        <w:t>ng long-t</w:t>
      </w:r>
      <w:r w:rsidRPr="001A209B">
        <w:rPr>
          <w:rFonts w:cs="Arial"/>
          <w:sz w:val="18"/>
          <w:szCs w:val="18"/>
        </w:rPr>
        <w:t xml:space="preserve">erm benefits to our supply effectiveness. </w:t>
      </w:r>
    </w:p>
    <w:p w:rsidR="00A15D54" w:rsidRPr="001A209B" w:rsidRDefault="00A15D54" w:rsidP="00853E15">
      <w:pPr>
        <w:spacing w:before="20" w:after="20"/>
        <w:jc w:val="both"/>
        <w:rPr>
          <w:rFonts w:cs="Arial"/>
          <w:sz w:val="18"/>
          <w:szCs w:val="18"/>
        </w:rPr>
      </w:pPr>
    </w:p>
    <w:p w:rsidR="00A15D54" w:rsidRPr="001A209B" w:rsidRDefault="00A15D54" w:rsidP="00A15D54">
      <w:pPr>
        <w:spacing w:before="20" w:after="20"/>
        <w:jc w:val="both"/>
        <w:rPr>
          <w:rFonts w:cs="Arial"/>
          <w:b/>
          <w:color w:val="A60D1F"/>
          <w:sz w:val="18"/>
          <w:szCs w:val="18"/>
        </w:rPr>
      </w:pPr>
      <w:r w:rsidRPr="001A209B">
        <w:rPr>
          <w:rFonts w:cs="Arial"/>
          <w:b/>
          <w:color w:val="A60D1F"/>
          <w:sz w:val="18"/>
          <w:szCs w:val="18"/>
        </w:rPr>
        <w:t>Robust First Half Performance</w:t>
      </w:r>
    </w:p>
    <w:p w:rsidR="00B3060B" w:rsidRPr="001A209B" w:rsidRDefault="001D4BB3" w:rsidP="00853E15">
      <w:pPr>
        <w:spacing w:before="20" w:after="20"/>
        <w:jc w:val="both"/>
        <w:rPr>
          <w:rFonts w:cs="Arial"/>
          <w:sz w:val="18"/>
          <w:szCs w:val="18"/>
        </w:rPr>
      </w:pPr>
      <w:r w:rsidRPr="001A209B">
        <w:rPr>
          <w:rFonts w:cs="Arial"/>
          <w:sz w:val="18"/>
          <w:szCs w:val="18"/>
        </w:rPr>
        <w:t>We delivered a</w:t>
      </w:r>
      <w:r w:rsidR="009105D6" w:rsidRPr="001A209B">
        <w:rPr>
          <w:rFonts w:cs="Arial"/>
          <w:sz w:val="18"/>
          <w:szCs w:val="18"/>
        </w:rPr>
        <w:t xml:space="preserve"> robust </w:t>
      </w:r>
      <w:r w:rsidR="00521081" w:rsidRPr="001A209B">
        <w:rPr>
          <w:rFonts w:cs="Arial"/>
          <w:sz w:val="18"/>
          <w:szCs w:val="18"/>
        </w:rPr>
        <w:t xml:space="preserve">first half </w:t>
      </w:r>
      <w:r w:rsidR="009105D6" w:rsidRPr="001A209B">
        <w:rPr>
          <w:rFonts w:cs="Arial"/>
          <w:sz w:val="18"/>
          <w:szCs w:val="18"/>
        </w:rPr>
        <w:t>performance</w:t>
      </w:r>
      <w:r w:rsidRPr="001A209B">
        <w:rPr>
          <w:rFonts w:cs="Arial"/>
          <w:sz w:val="18"/>
          <w:szCs w:val="18"/>
        </w:rPr>
        <w:t>, improving</w:t>
      </w:r>
      <w:r w:rsidR="00521081" w:rsidRPr="001A209B">
        <w:rPr>
          <w:rFonts w:cs="Arial"/>
          <w:sz w:val="18"/>
          <w:szCs w:val="18"/>
        </w:rPr>
        <w:t xml:space="preserve"> </w:t>
      </w:r>
      <w:r w:rsidR="00B3060B" w:rsidRPr="001A209B">
        <w:rPr>
          <w:rFonts w:cs="Arial"/>
          <w:sz w:val="18"/>
          <w:szCs w:val="18"/>
        </w:rPr>
        <w:t>tobacco net revenue b</w:t>
      </w:r>
      <w:r w:rsidR="00F97C7D" w:rsidRPr="001A209B">
        <w:rPr>
          <w:rFonts w:cs="Arial"/>
          <w:sz w:val="18"/>
          <w:szCs w:val="18"/>
        </w:rPr>
        <w:t>y</w:t>
      </w:r>
      <w:r w:rsidR="00926DED" w:rsidRPr="001A209B">
        <w:rPr>
          <w:rFonts w:cs="Arial"/>
          <w:sz w:val="18"/>
          <w:szCs w:val="18"/>
        </w:rPr>
        <w:t xml:space="preserve"> 2</w:t>
      </w:r>
      <w:r w:rsidR="00F14F23" w:rsidRPr="001A209B">
        <w:rPr>
          <w:rFonts w:cs="Arial"/>
          <w:b/>
          <w:bCs/>
          <w:sz w:val="18"/>
          <w:szCs w:val="18"/>
        </w:rPr>
        <w:t xml:space="preserve"> </w:t>
      </w:r>
      <w:r w:rsidR="00B3060B" w:rsidRPr="001A209B">
        <w:rPr>
          <w:rFonts w:cs="Arial"/>
          <w:sz w:val="18"/>
          <w:szCs w:val="18"/>
        </w:rPr>
        <w:t>per cent</w:t>
      </w:r>
      <w:r w:rsidR="00C1492F" w:rsidRPr="001A209B">
        <w:rPr>
          <w:rFonts w:cs="Arial"/>
          <w:sz w:val="18"/>
          <w:szCs w:val="18"/>
        </w:rPr>
        <w:t xml:space="preserve"> on an underlying basis. A</w:t>
      </w:r>
      <w:r w:rsidR="00F97C7D" w:rsidRPr="001A209B">
        <w:rPr>
          <w:rFonts w:cs="Arial"/>
          <w:sz w:val="18"/>
          <w:szCs w:val="18"/>
        </w:rPr>
        <w:t xml:space="preserve">djusted operating profit </w:t>
      </w:r>
      <w:r w:rsidR="00C1492F" w:rsidRPr="001A209B">
        <w:rPr>
          <w:rFonts w:cs="Arial"/>
          <w:sz w:val="18"/>
          <w:szCs w:val="18"/>
        </w:rPr>
        <w:t>declined</w:t>
      </w:r>
      <w:r w:rsidR="00F97C7D" w:rsidRPr="001A209B">
        <w:rPr>
          <w:rFonts w:cs="Arial"/>
          <w:sz w:val="18"/>
          <w:szCs w:val="18"/>
        </w:rPr>
        <w:t xml:space="preserve"> </w:t>
      </w:r>
      <w:r w:rsidR="00C1492F" w:rsidRPr="001A209B">
        <w:rPr>
          <w:rFonts w:cs="Arial"/>
          <w:sz w:val="18"/>
          <w:szCs w:val="18"/>
        </w:rPr>
        <w:t>by 1</w:t>
      </w:r>
      <w:r w:rsidR="00D00A01" w:rsidRPr="001A209B">
        <w:rPr>
          <w:rFonts w:cs="Arial"/>
          <w:sz w:val="18"/>
          <w:szCs w:val="18"/>
        </w:rPr>
        <w:t xml:space="preserve"> </w:t>
      </w:r>
      <w:r w:rsidR="00903657" w:rsidRPr="001A209B">
        <w:rPr>
          <w:rFonts w:cs="Arial"/>
          <w:sz w:val="18"/>
          <w:szCs w:val="18"/>
        </w:rPr>
        <w:t xml:space="preserve">per cent, impacted by the stock </w:t>
      </w:r>
      <w:r w:rsidR="002E3F10" w:rsidRPr="001A209B">
        <w:rPr>
          <w:rFonts w:cs="Arial"/>
          <w:sz w:val="18"/>
          <w:szCs w:val="18"/>
        </w:rPr>
        <w:t xml:space="preserve">optimisation </w:t>
      </w:r>
      <w:r w:rsidR="00903657" w:rsidRPr="001A209B">
        <w:rPr>
          <w:rFonts w:cs="Arial"/>
          <w:sz w:val="18"/>
          <w:szCs w:val="18"/>
        </w:rPr>
        <w:t>programme and investment</w:t>
      </w:r>
      <w:r w:rsidR="002300AF" w:rsidRPr="001A209B">
        <w:rPr>
          <w:rFonts w:cs="Arial"/>
          <w:sz w:val="18"/>
          <w:szCs w:val="18"/>
        </w:rPr>
        <w:t xml:space="preserve"> in our brands</w:t>
      </w:r>
      <w:r w:rsidR="00903657" w:rsidRPr="001A209B">
        <w:rPr>
          <w:rFonts w:cs="Arial"/>
          <w:sz w:val="18"/>
          <w:szCs w:val="18"/>
        </w:rPr>
        <w:t xml:space="preserve">, </w:t>
      </w:r>
      <w:r w:rsidR="00B3060B" w:rsidRPr="001A209B">
        <w:rPr>
          <w:rFonts w:cs="Arial"/>
          <w:sz w:val="18"/>
          <w:szCs w:val="18"/>
        </w:rPr>
        <w:t>an</w:t>
      </w:r>
      <w:r w:rsidR="00D00A01" w:rsidRPr="001A209B">
        <w:rPr>
          <w:rFonts w:cs="Arial"/>
          <w:sz w:val="18"/>
          <w:szCs w:val="18"/>
        </w:rPr>
        <w:t xml:space="preserve">d </w:t>
      </w:r>
      <w:r w:rsidR="00C1492F" w:rsidRPr="001A209B">
        <w:rPr>
          <w:rFonts w:cs="Arial"/>
          <w:sz w:val="18"/>
          <w:szCs w:val="18"/>
        </w:rPr>
        <w:t xml:space="preserve">we grew </w:t>
      </w:r>
      <w:r w:rsidR="00D00A01" w:rsidRPr="001A209B">
        <w:rPr>
          <w:rFonts w:cs="Arial"/>
          <w:sz w:val="18"/>
          <w:szCs w:val="18"/>
        </w:rPr>
        <w:t xml:space="preserve">adjusted earnings per share </w:t>
      </w:r>
      <w:r w:rsidR="00C1492F" w:rsidRPr="001A209B">
        <w:rPr>
          <w:rFonts w:cs="Arial"/>
          <w:sz w:val="18"/>
          <w:szCs w:val="18"/>
        </w:rPr>
        <w:t xml:space="preserve">by 3 </w:t>
      </w:r>
      <w:r w:rsidR="00B3060B" w:rsidRPr="001A209B">
        <w:rPr>
          <w:rFonts w:cs="Arial"/>
          <w:sz w:val="18"/>
          <w:szCs w:val="18"/>
        </w:rPr>
        <w:t xml:space="preserve">per cent. </w:t>
      </w:r>
    </w:p>
    <w:p w:rsidR="00C1492F" w:rsidRPr="001A209B" w:rsidRDefault="00C1492F" w:rsidP="00853E15">
      <w:pPr>
        <w:spacing w:before="20" w:after="20"/>
        <w:jc w:val="both"/>
        <w:rPr>
          <w:rFonts w:cs="Arial"/>
          <w:sz w:val="18"/>
          <w:szCs w:val="18"/>
        </w:rPr>
      </w:pPr>
    </w:p>
    <w:p w:rsidR="00917456" w:rsidRPr="001A209B" w:rsidRDefault="00B3060B" w:rsidP="00853E15">
      <w:pPr>
        <w:spacing w:before="20" w:after="20"/>
        <w:jc w:val="both"/>
        <w:rPr>
          <w:rFonts w:cs="Arial"/>
          <w:sz w:val="18"/>
          <w:szCs w:val="18"/>
        </w:rPr>
      </w:pPr>
      <w:r w:rsidRPr="001A209B">
        <w:rPr>
          <w:rFonts w:cs="Arial"/>
          <w:sz w:val="18"/>
          <w:szCs w:val="18"/>
        </w:rPr>
        <w:t xml:space="preserve">We increased the interim dividend by </w:t>
      </w:r>
      <w:r w:rsidR="00FB31F0" w:rsidRPr="001A209B">
        <w:rPr>
          <w:rFonts w:cs="Arial"/>
          <w:sz w:val="18"/>
          <w:szCs w:val="18"/>
        </w:rPr>
        <w:t>10</w:t>
      </w:r>
      <w:r w:rsidR="00F97C7D" w:rsidRPr="001A209B">
        <w:rPr>
          <w:rFonts w:cs="Arial"/>
          <w:sz w:val="18"/>
          <w:szCs w:val="18"/>
        </w:rPr>
        <w:t xml:space="preserve"> </w:t>
      </w:r>
      <w:r w:rsidRPr="001A209B">
        <w:rPr>
          <w:rFonts w:cs="Arial"/>
          <w:sz w:val="18"/>
          <w:szCs w:val="18"/>
        </w:rPr>
        <w:t>per cent to</w:t>
      </w:r>
      <w:r w:rsidR="00F14F23" w:rsidRPr="001A209B">
        <w:rPr>
          <w:rFonts w:cs="Arial"/>
          <w:sz w:val="18"/>
          <w:szCs w:val="18"/>
        </w:rPr>
        <w:t xml:space="preserve"> </w:t>
      </w:r>
      <w:r w:rsidR="00B64DA8" w:rsidRPr="001A209B">
        <w:rPr>
          <w:rFonts w:cs="Arial"/>
          <w:sz w:val="18"/>
          <w:szCs w:val="18"/>
        </w:rPr>
        <w:t>38.8 pence</w:t>
      </w:r>
      <w:r w:rsidR="00F97C7D" w:rsidRPr="001A209B">
        <w:rPr>
          <w:rFonts w:cs="Arial"/>
          <w:sz w:val="18"/>
          <w:szCs w:val="18"/>
        </w:rPr>
        <w:t xml:space="preserve"> </w:t>
      </w:r>
      <w:r w:rsidRPr="001A209B">
        <w:rPr>
          <w:rFonts w:cs="Arial"/>
          <w:sz w:val="18"/>
          <w:szCs w:val="18"/>
        </w:rPr>
        <w:t xml:space="preserve">per share, in line with our commitment to grow dividends ahead of adjusted earnings </w:t>
      </w:r>
      <w:r w:rsidR="009105D6" w:rsidRPr="001A209B">
        <w:rPr>
          <w:rFonts w:cs="Arial"/>
          <w:sz w:val="18"/>
          <w:szCs w:val="18"/>
        </w:rPr>
        <w:t xml:space="preserve">per share </w:t>
      </w:r>
      <w:r w:rsidRPr="001A209B">
        <w:rPr>
          <w:rFonts w:cs="Arial"/>
          <w:sz w:val="18"/>
          <w:szCs w:val="18"/>
        </w:rPr>
        <w:t xml:space="preserve">and by at least 10 per cent </w:t>
      </w:r>
      <w:r w:rsidR="00F85511" w:rsidRPr="001A209B">
        <w:rPr>
          <w:rFonts w:cs="Arial"/>
          <w:sz w:val="18"/>
          <w:szCs w:val="18"/>
        </w:rPr>
        <w:t>per</w:t>
      </w:r>
      <w:r w:rsidR="00A52EC2" w:rsidRPr="001A209B">
        <w:rPr>
          <w:rFonts w:cs="Arial"/>
          <w:sz w:val="18"/>
          <w:szCs w:val="18"/>
        </w:rPr>
        <w:t xml:space="preserve"> year</w:t>
      </w:r>
      <w:r w:rsidR="00F85511" w:rsidRPr="001A209B">
        <w:rPr>
          <w:rFonts w:cs="Arial"/>
          <w:sz w:val="18"/>
          <w:szCs w:val="18"/>
        </w:rPr>
        <w:t xml:space="preserve"> over the medium term.</w:t>
      </w:r>
      <w:r w:rsidR="00E33437" w:rsidRPr="001A209B">
        <w:rPr>
          <w:rFonts w:cs="Arial"/>
          <w:sz w:val="18"/>
          <w:szCs w:val="18"/>
        </w:rPr>
        <w:t xml:space="preserve"> </w:t>
      </w:r>
      <w:r w:rsidR="00CD7021" w:rsidRPr="001A209B">
        <w:rPr>
          <w:rFonts w:cs="Arial"/>
          <w:sz w:val="18"/>
          <w:szCs w:val="18"/>
        </w:rPr>
        <w:t xml:space="preserve">With effect from our 2015 financial year we will pay </w:t>
      </w:r>
      <w:r w:rsidR="002300AF" w:rsidRPr="001A209B">
        <w:rPr>
          <w:rFonts w:cs="Arial"/>
          <w:sz w:val="18"/>
          <w:szCs w:val="18"/>
        </w:rPr>
        <w:t xml:space="preserve">dividends on a </w:t>
      </w:r>
      <w:r w:rsidR="00CD7021" w:rsidRPr="001A209B">
        <w:rPr>
          <w:rFonts w:cs="Arial"/>
          <w:sz w:val="18"/>
          <w:szCs w:val="18"/>
        </w:rPr>
        <w:t xml:space="preserve">quarterly </w:t>
      </w:r>
      <w:r w:rsidR="002300AF" w:rsidRPr="001A209B">
        <w:rPr>
          <w:rFonts w:cs="Arial"/>
          <w:sz w:val="18"/>
          <w:szCs w:val="18"/>
        </w:rPr>
        <w:t>basis in order</w:t>
      </w:r>
      <w:r w:rsidR="00CD7021" w:rsidRPr="001A209B">
        <w:rPr>
          <w:rFonts w:cs="Arial"/>
          <w:sz w:val="18"/>
          <w:szCs w:val="18"/>
        </w:rPr>
        <w:t xml:space="preserve"> to give shareholders more regular cash return</w:t>
      </w:r>
      <w:r w:rsidR="00903657" w:rsidRPr="001A209B">
        <w:rPr>
          <w:rFonts w:cs="Arial"/>
          <w:sz w:val="18"/>
          <w:szCs w:val="18"/>
        </w:rPr>
        <w:t>s</w:t>
      </w:r>
      <w:r w:rsidR="00CD7021" w:rsidRPr="001A209B">
        <w:rPr>
          <w:rFonts w:cs="Arial"/>
          <w:sz w:val="18"/>
          <w:szCs w:val="18"/>
        </w:rPr>
        <w:t>.</w:t>
      </w:r>
    </w:p>
    <w:p w:rsidR="00917456" w:rsidRPr="001A209B" w:rsidRDefault="00917456" w:rsidP="00853E15">
      <w:pPr>
        <w:spacing w:before="20" w:after="20"/>
        <w:jc w:val="both"/>
        <w:rPr>
          <w:rFonts w:cs="Arial"/>
          <w:sz w:val="18"/>
          <w:szCs w:val="18"/>
        </w:rPr>
      </w:pPr>
    </w:p>
    <w:p w:rsidR="00DD3AA1" w:rsidRPr="001A209B" w:rsidRDefault="005D5FC1" w:rsidP="00853E15">
      <w:pPr>
        <w:spacing w:before="20" w:after="20"/>
        <w:jc w:val="both"/>
        <w:rPr>
          <w:rFonts w:cs="Arial"/>
          <w:b/>
          <w:color w:val="A60D1F"/>
          <w:sz w:val="18"/>
          <w:szCs w:val="18"/>
        </w:rPr>
      </w:pPr>
      <w:r w:rsidRPr="001A209B">
        <w:rPr>
          <w:rFonts w:cs="Arial"/>
          <w:b/>
          <w:color w:val="A60D1F"/>
          <w:sz w:val="18"/>
          <w:szCs w:val="18"/>
        </w:rPr>
        <w:t xml:space="preserve">Growth Brands </w:t>
      </w:r>
      <w:r w:rsidR="00130FE0" w:rsidRPr="001A209B">
        <w:rPr>
          <w:rFonts w:cs="Arial"/>
          <w:b/>
          <w:color w:val="A60D1F"/>
          <w:sz w:val="18"/>
          <w:szCs w:val="18"/>
        </w:rPr>
        <w:t>Continue To Outperform</w:t>
      </w:r>
      <w:r w:rsidRPr="001A209B">
        <w:rPr>
          <w:rFonts w:cs="Arial"/>
          <w:b/>
          <w:color w:val="A60D1F"/>
          <w:sz w:val="18"/>
          <w:szCs w:val="18"/>
        </w:rPr>
        <w:t xml:space="preserve"> </w:t>
      </w:r>
    </w:p>
    <w:p w:rsidR="00F85511" w:rsidRPr="001A209B" w:rsidRDefault="00C30574" w:rsidP="00853E15">
      <w:pPr>
        <w:spacing w:before="20" w:after="20"/>
        <w:jc w:val="both"/>
        <w:rPr>
          <w:rFonts w:cs="Arial"/>
          <w:sz w:val="18"/>
          <w:szCs w:val="18"/>
        </w:rPr>
      </w:pPr>
      <w:r w:rsidRPr="001A209B">
        <w:rPr>
          <w:rFonts w:cs="Arial"/>
          <w:sz w:val="18"/>
          <w:szCs w:val="18"/>
        </w:rPr>
        <w:t>We have 10 high quality Growth Brands: Davidoff, Gauloises Blondes, JPS, West, Fine, News, USA Gold, Bastos, Lambert &amp; Butler and Parker &amp; Simpson.</w:t>
      </w:r>
    </w:p>
    <w:p w:rsidR="00F85511" w:rsidRPr="001A209B" w:rsidRDefault="00F85511" w:rsidP="00853E15">
      <w:pPr>
        <w:spacing w:before="20" w:after="20"/>
        <w:jc w:val="both"/>
        <w:rPr>
          <w:rFonts w:cs="Arial"/>
          <w:sz w:val="18"/>
          <w:szCs w:val="18"/>
        </w:rPr>
      </w:pPr>
    </w:p>
    <w:p w:rsidR="0065087F" w:rsidRPr="001A209B" w:rsidRDefault="00C30574" w:rsidP="00853E15">
      <w:pPr>
        <w:spacing w:before="20" w:after="20"/>
        <w:jc w:val="both"/>
        <w:rPr>
          <w:rFonts w:cs="Arial"/>
          <w:sz w:val="18"/>
          <w:szCs w:val="18"/>
        </w:rPr>
      </w:pPr>
      <w:r w:rsidRPr="001A209B">
        <w:rPr>
          <w:rFonts w:cs="Arial"/>
          <w:sz w:val="18"/>
          <w:szCs w:val="18"/>
        </w:rPr>
        <w:t>These brands</w:t>
      </w:r>
      <w:r w:rsidR="00C23DCD" w:rsidRPr="001A209B">
        <w:rPr>
          <w:rFonts w:cs="Arial"/>
          <w:sz w:val="18"/>
          <w:szCs w:val="18"/>
        </w:rPr>
        <w:t xml:space="preserve"> continue to outperform the market</w:t>
      </w:r>
      <w:r w:rsidR="00DB3B2D" w:rsidRPr="001A209B">
        <w:rPr>
          <w:rFonts w:cs="Arial"/>
          <w:sz w:val="18"/>
          <w:szCs w:val="18"/>
        </w:rPr>
        <w:t xml:space="preserve">, with </w:t>
      </w:r>
      <w:r w:rsidR="00EA1760" w:rsidRPr="001A209B">
        <w:rPr>
          <w:rFonts w:cs="Arial"/>
          <w:sz w:val="18"/>
          <w:szCs w:val="18"/>
        </w:rPr>
        <w:t xml:space="preserve">underlying </w:t>
      </w:r>
      <w:r w:rsidR="00DB3B2D" w:rsidRPr="001A209B">
        <w:rPr>
          <w:rFonts w:cs="Arial"/>
          <w:sz w:val="18"/>
          <w:szCs w:val="18"/>
        </w:rPr>
        <w:t xml:space="preserve">volumes up </w:t>
      </w:r>
      <w:r w:rsidR="00581113" w:rsidRPr="001A209B">
        <w:rPr>
          <w:rFonts w:cs="Arial"/>
          <w:sz w:val="18"/>
          <w:szCs w:val="18"/>
        </w:rPr>
        <w:t>4</w:t>
      </w:r>
      <w:r w:rsidR="001C1924" w:rsidRPr="001A209B">
        <w:rPr>
          <w:rFonts w:cs="Arial"/>
          <w:sz w:val="18"/>
          <w:szCs w:val="18"/>
        </w:rPr>
        <w:t xml:space="preserve"> per cent and</w:t>
      </w:r>
      <w:r w:rsidR="006D2A4D" w:rsidRPr="001A209B">
        <w:rPr>
          <w:rFonts w:cs="Arial"/>
          <w:sz w:val="18"/>
          <w:szCs w:val="18"/>
        </w:rPr>
        <w:t xml:space="preserve"> </w:t>
      </w:r>
      <w:r w:rsidR="00EA1760" w:rsidRPr="001A209B">
        <w:rPr>
          <w:rFonts w:cs="Arial"/>
          <w:sz w:val="18"/>
          <w:szCs w:val="18"/>
        </w:rPr>
        <w:t xml:space="preserve">underlying </w:t>
      </w:r>
      <w:r w:rsidR="00707940" w:rsidRPr="001A209B">
        <w:rPr>
          <w:rFonts w:cs="Arial"/>
          <w:sz w:val="18"/>
          <w:szCs w:val="18"/>
        </w:rPr>
        <w:t xml:space="preserve">net </w:t>
      </w:r>
      <w:r w:rsidR="00C23DCD" w:rsidRPr="001A209B">
        <w:rPr>
          <w:rFonts w:cs="Arial"/>
          <w:sz w:val="18"/>
          <w:szCs w:val="18"/>
        </w:rPr>
        <w:t xml:space="preserve">revenues </w:t>
      </w:r>
      <w:r w:rsidR="00B00180" w:rsidRPr="001A209B">
        <w:rPr>
          <w:rFonts w:cs="Arial"/>
          <w:sz w:val="18"/>
          <w:szCs w:val="18"/>
        </w:rPr>
        <w:t>up</w:t>
      </w:r>
      <w:r w:rsidR="00D00A01" w:rsidRPr="001A209B">
        <w:rPr>
          <w:rFonts w:cs="Arial"/>
          <w:sz w:val="18"/>
          <w:szCs w:val="18"/>
        </w:rPr>
        <w:t xml:space="preserve"> 6</w:t>
      </w:r>
      <w:r w:rsidR="006D2A4D" w:rsidRPr="001A209B">
        <w:rPr>
          <w:rFonts w:cs="Arial"/>
          <w:sz w:val="18"/>
          <w:szCs w:val="18"/>
        </w:rPr>
        <w:t xml:space="preserve"> per cent</w:t>
      </w:r>
      <w:r w:rsidR="00C23DCD" w:rsidRPr="001A209B">
        <w:rPr>
          <w:rFonts w:cs="Arial"/>
          <w:sz w:val="18"/>
          <w:szCs w:val="18"/>
        </w:rPr>
        <w:t xml:space="preserve">. </w:t>
      </w:r>
    </w:p>
    <w:p w:rsidR="00890879" w:rsidRPr="001A209B" w:rsidRDefault="00890879" w:rsidP="00853E15">
      <w:pPr>
        <w:spacing w:before="20" w:after="20"/>
        <w:jc w:val="both"/>
        <w:rPr>
          <w:rFonts w:cs="Arial"/>
          <w:sz w:val="18"/>
          <w:szCs w:val="18"/>
        </w:rPr>
      </w:pPr>
    </w:p>
    <w:p w:rsidR="00193D06" w:rsidRPr="001A209B" w:rsidRDefault="00C23DCD" w:rsidP="00853E15">
      <w:pPr>
        <w:spacing w:before="20" w:after="20"/>
        <w:jc w:val="both"/>
        <w:rPr>
          <w:rFonts w:cs="Arial"/>
          <w:sz w:val="18"/>
          <w:szCs w:val="18"/>
        </w:rPr>
      </w:pPr>
      <w:r w:rsidRPr="001A209B">
        <w:rPr>
          <w:rFonts w:cs="Arial"/>
          <w:sz w:val="18"/>
          <w:szCs w:val="18"/>
        </w:rPr>
        <w:t xml:space="preserve">These results reflect the quality of growth we’re targeting and were achieved against a </w:t>
      </w:r>
      <w:r w:rsidR="00F97C7D" w:rsidRPr="001A209B">
        <w:rPr>
          <w:rFonts w:cs="Arial"/>
          <w:sz w:val="18"/>
          <w:szCs w:val="18"/>
        </w:rPr>
        <w:t xml:space="preserve">backdrop of market declines of </w:t>
      </w:r>
      <w:r w:rsidR="00581113" w:rsidRPr="001A209B">
        <w:rPr>
          <w:rFonts w:cs="Arial"/>
          <w:bCs/>
          <w:sz w:val="18"/>
          <w:szCs w:val="18"/>
        </w:rPr>
        <w:t>4</w:t>
      </w:r>
      <w:r w:rsidRPr="001A209B">
        <w:rPr>
          <w:rFonts w:cs="Arial"/>
          <w:sz w:val="18"/>
          <w:szCs w:val="18"/>
        </w:rPr>
        <w:t xml:space="preserve"> per cent.</w:t>
      </w:r>
      <w:r w:rsidR="00193D06" w:rsidRPr="001A209B">
        <w:rPr>
          <w:rFonts w:cs="Arial"/>
          <w:sz w:val="18"/>
          <w:szCs w:val="18"/>
        </w:rPr>
        <w:t xml:space="preserve"> </w:t>
      </w:r>
      <w:r w:rsidR="00DB3B2D" w:rsidRPr="001A209B">
        <w:rPr>
          <w:rFonts w:cs="Arial"/>
          <w:sz w:val="18"/>
          <w:szCs w:val="18"/>
        </w:rPr>
        <w:t>Our Grow</w:t>
      </w:r>
      <w:r w:rsidR="00D96DFA" w:rsidRPr="001A209B">
        <w:rPr>
          <w:rFonts w:cs="Arial"/>
          <w:sz w:val="18"/>
          <w:szCs w:val="18"/>
        </w:rPr>
        <w:t>th Brand performance in Growth M</w:t>
      </w:r>
      <w:r w:rsidR="00DB3B2D" w:rsidRPr="001A209B">
        <w:rPr>
          <w:rFonts w:cs="Arial"/>
          <w:sz w:val="18"/>
          <w:szCs w:val="18"/>
        </w:rPr>
        <w:t xml:space="preserve">arkets was particularly strong, with </w:t>
      </w:r>
      <w:r w:rsidR="00EA1760" w:rsidRPr="001A209B">
        <w:rPr>
          <w:rFonts w:cs="Arial"/>
          <w:sz w:val="18"/>
          <w:szCs w:val="18"/>
        </w:rPr>
        <w:t xml:space="preserve">underlying </w:t>
      </w:r>
      <w:r w:rsidR="00DB3B2D" w:rsidRPr="001A209B">
        <w:rPr>
          <w:rFonts w:cs="Arial"/>
          <w:sz w:val="18"/>
          <w:szCs w:val="18"/>
        </w:rPr>
        <w:t xml:space="preserve">volumes increasing </w:t>
      </w:r>
      <w:r w:rsidR="00A52EC2" w:rsidRPr="001A209B">
        <w:rPr>
          <w:rFonts w:cs="Arial"/>
          <w:sz w:val="18"/>
          <w:szCs w:val="18"/>
        </w:rPr>
        <w:t>1</w:t>
      </w:r>
      <w:r w:rsidR="00455D8F" w:rsidRPr="001A209B">
        <w:rPr>
          <w:rFonts w:cs="Arial"/>
          <w:sz w:val="18"/>
          <w:szCs w:val="18"/>
        </w:rPr>
        <w:t>1</w:t>
      </w:r>
      <w:r w:rsidR="00DB3B2D" w:rsidRPr="001A209B">
        <w:rPr>
          <w:rFonts w:cs="Arial"/>
          <w:sz w:val="18"/>
          <w:szCs w:val="18"/>
        </w:rPr>
        <w:t xml:space="preserve"> per cent. </w:t>
      </w:r>
      <w:r w:rsidR="00C30574" w:rsidRPr="001A209B">
        <w:rPr>
          <w:rFonts w:cs="Arial"/>
          <w:sz w:val="18"/>
          <w:szCs w:val="18"/>
        </w:rPr>
        <w:t>The i</w:t>
      </w:r>
      <w:r w:rsidR="00193D06" w:rsidRPr="001A209B">
        <w:rPr>
          <w:rFonts w:cs="Arial"/>
          <w:sz w:val="18"/>
          <w:szCs w:val="18"/>
        </w:rPr>
        <w:t>nvestment</w:t>
      </w:r>
      <w:r w:rsidR="00C30574" w:rsidRPr="001A209B">
        <w:rPr>
          <w:rFonts w:cs="Arial"/>
          <w:sz w:val="18"/>
          <w:szCs w:val="18"/>
        </w:rPr>
        <w:t>s</w:t>
      </w:r>
      <w:r w:rsidR="00193D06" w:rsidRPr="001A209B">
        <w:rPr>
          <w:rFonts w:cs="Arial"/>
          <w:sz w:val="18"/>
          <w:szCs w:val="18"/>
        </w:rPr>
        <w:t xml:space="preserve"> </w:t>
      </w:r>
      <w:r w:rsidR="00C30574" w:rsidRPr="001A209B">
        <w:rPr>
          <w:rFonts w:cs="Arial"/>
          <w:sz w:val="18"/>
          <w:szCs w:val="18"/>
        </w:rPr>
        <w:t xml:space="preserve">we’re making to </w:t>
      </w:r>
      <w:r w:rsidR="00193D06" w:rsidRPr="001A209B">
        <w:rPr>
          <w:rFonts w:cs="Arial"/>
          <w:sz w:val="18"/>
          <w:szCs w:val="18"/>
        </w:rPr>
        <w:t xml:space="preserve">support </w:t>
      </w:r>
      <w:r w:rsidR="000B38B5" w:rsidRPr="001A209B">
        <w:rPr>
          <w:rFonts w:cs="Arial"/>
          <w:sz w:val="18"/>
          <w:szCs w:val="18"/>
        </w:rPr>
        <w:t xml:space="preserve">the development of these brands </w:t>
      </w:r>
      <w:r w:rsidR="00C30574" w:rsidRPr="001A209B">
        <w:rPr>
          <w:rFonts w:cs="Arial"/>
          <w:sz w:val="18"/>
          <w:szCs w:val="18"/>
        </w:rPr>
        <w:t>are</w:t>
      </w:r>
      <w:r w:rsidR="00193D06" w:rsidRPr="001A209B">
        <w:rPr>
          <w:rFonts w:cs="Arial"/>
          <w:sz w:val="18"/>
          <w:szCs w:val="18"/>
        </w:rPr>
        <w:t xml:space="preserve"> focused on </w:t>
      </w:r>
      <w:r w:rsidR="00DB3B2D" w:rsidRPr="001A209B">
        <w:rPr>
          <w:rFonts w:cs="Arial"/>
          <w:sz w:val="18"/>
          <w:szCs w:val="18"/>
        </w:rPr>
        <w:t xml:space="preserve">initiatives that </w:t>
      </w:r>
      <w:r w:rsidR="00C30574" w:rsidRPr="001A209B">
        <w:rPr>
          <w:rFonts w:cs="Arial"/>
          <w:sz w:val="18"/>
          <w:szCs w:val="18"/>
        </w:rPr>
        <w:t>will build</w:t>
      </w:r>
      <w:r w:rsidR="00193D06" w:rsidRPr="001A209B">
        <w:rPr>
          <w:rFonts w:cs="Arial"/>
          <w:sz w:val="18"/>
          <w:szCs w:val="18"/>
        </w:rPr>
        <w:t xml:space="preserve"> our presence in </w:t>
      </w:r>
      <w:r w:rsidR="00E10F91" w:rsidRPr="001A209B">
        <w:rPr>
          <w:rFonts w:cs="Arial"/>
          <w:sz w:val="18"/>
          <w:szCs w:val="18"/>
        </w:rPr>
        <w:t>profitable high growth segments</w:t>
      </w:r>
      <w:r w:rsidR="00193D06" w:rsidRPr="001A209B">
        <w:rPr>
          <w:rFonts w:cs="Arial"/>
          <w:sz w:val="18"/>
          <w:szCs w:val="18"/>
        </w:rPr>
        <w:t>.</w:t>
      </w:r>
    </w:p>
    <w:p w:rsidR="00193D06" w:rsidRPr="001A209B" w:rsidRDefault="00193D06" w:rsidP="00853E15">
      <w:pPr>
        <w:spacing w:before="20" w:after="20"/>
        <w:jc w:val="both"/>
        <w:rPr>
          <w:rFonts w:cs="Arial"/>
          <w:sz w:val="18"/>
          <w:szCs w:val="18"/>
        </w:rPr>
      </w:pPr>
    </w:p>
    <w:p w:rsidR="00C23DCD" w:rsidRPr="001A209B" w:rsidRDefault="00DB3B2D" w:rsidP="00853E15">
      <w:pPr>
        <w:spacing w:before="20" w:after="20"/>
        <w:jc w:val="both"/>
        <w:rPr>
          <w:rFonts w:cs="Arial"/>
          <w:sz w:val="18"/>
          <w:szCs w:val="18"/>
        </w:rPr>
      </w:pPr>
      <w:r w:rsidRPr="001A209B">
        <w:rPr>
          <w:rFonts w:cs="Arial"/>
          <w:sz w:val="18"/>
          <w:szCs w:val="18"/>
        </w:rPr>
        <w:t xml:space="preserve">Growth Brand highlights included the </w:t>
      </w:r>
      <w:r w:rsidR="007879BD" w:rsidRPr="001A209B">
        <w:rPr>
          <w:rFonts w:cs="Arial"/>
          <w:sz w:val="18"/>
          <w:szCs w:val="18"/>
        </w:rPr>
        <w:t xml:space="preserve">rejuvenation of Davidoff </w:t>
      </w:r>
      <w:r w:rsidRPr="001A209B">
        <w:rPr>
          <w:rFonts w:cs="Arial"/>
          <w:sz w:val="18"/>
          <w:szCs w:val="18"/>
        </w:rPr>
        <w:t xml:space="preserve">which </w:t>
      </w:r>
      <w:r w:rsidR="00BD2B41" w:rsidRPr="001A209B">
        <w:rPr>
          <w:rFonts w:cs="Arial"/>
          <w:sz w:val="18"/>
          <w:szCs w:val="18"/>
        </w:rPr>
        <w:t xml:space="preserve">has supported the brand’s growth momentum in Asia, the Middle East and Europe. JPS made further gains in Australia and the EU and we delivered another strong performance from West in Asia, led by the success of slimmer formats. Gauloises Blondes made good progress in the Middle East and we continued to build Parker &amp; Simpson volume with launches in several new markets. Elsewhere, </w:t>
      </w:r>
      <w:r w:rsidR="002F400A" w:rsidRPr="001A209B">
        <w:rPr>
          <w:rFonts w:cs="Arial"/>
          <w:sz w:val="18"/>
          <w:szCs w:val="18"/>
        </w:rPr>
        <w:t xml:space="preserve">USA Gold </w:t>
      </w:r>
      <w:r w:rsidR="00B00180" w:rsidRPr="001A209B">
        <w:rPr>
          <w:rFonts w:cs="Arial"/>
          <w:sz w:val="18"/>
          <w:szCs w:val="18"/>
        </w:rPr>
        <w:t xml:space="preserve">improved share </w:t>
      </w:r>
      <w:r w:rsidR="0097423E" w:rsidRPr="001A209B">
        <w:rPr>
          <w:rFonts w:cs="Arial"/>
          <w:sz w:val="18"/>
          <w:szCs w:val="18"/>
        </w:rPr>
        <w:t>in</w:t>
      </w:r>
      <w:r w:rsidR="00B00180" w:rsidRPr="001A209B">
        <w:rPr>
          <w:rFonts w:cs="Arial"/>
          <w:sz w:val="18"/>
          <w:szCs w:val="18"/>
        </w:rPr>
        <w:t xml:space="preserve"> key focus states</w:t>
      </w:r>
      <w:r w:rsidR="00BD2B41" w:rsidRPr="001A209B">
        <w:rPr>
          <w:rFonts w:cs="Arial"/>
          <w:sz w:val="18"/>
          <w:szCs w:val="18"/>
        </w:rPr>
        <w:t xml:space="preserve"> and we strengthened the Lambert &amp; Butler brand franchise with the launch of a new </w:t>
      </w:r>
      <w:r w:rsidR="00521081" w:rsidRPr="001A209B">
        <w:rPr>
          <w:rFonts w:cs="Arial"/>
          <w:sz w:val="18"/>
          <w:szCs w:val="18"/>
        </w:rPr>
        <w:t xml:space="preserve">value </w:t>
      </w:r>
      <w:r w:rsidR="00BD2B41" w:rsidRPr="001A209B">
        <w:rPr>
          <w:rFonts w:cs="Arial"/>
          <w:sz w:val="18"/>
          <w:szCs w:val="18"/>
        </w:rPr>
        <w:t>variant</w:t>
      </w:r>
      <w:r w:rsidR="0097423E" w:rsidRPr="001A209B">
        <w:rPr>
          <w:rFonts w:cs="Arial"/>
          <w:sz w:val="18"/>
          <w:szCs w:val="18"/>
        </w:rPr>
        <w:t xml:space="preserve">. </w:t>
      </w:r>
      <w:r w:rsidR="00B00180" w:rsidRPr="001A209B">
        <w:rPr>
          <w:rFonts w:cs="Arial"/>
          <w:sz w:val="18"/>
          <w:szCs w:val="18"/>
        </w:rPr>
        <w:t xml:space="preserve">We also grew volumes of </w:t>
      </w:r>
      <w:r w:rsidR="00B626E7" w:rsidRPr="001A209B">
        <w:rPr>
          <w:rFonts w:cs="Arial"/>
          <w:sz w:val="18"/>
          <w:szCs w:val="18"/>
        </w:rPr>
        <w:t>Bastos in Vietnam, Fi</w:t>
      </w:r>
      <w:r w:rsidR="00B00180" w:rsidRPr="001A209B">
        <w:rPr>
          <w:rFonts w:cs="Arial"/>
          <w:sz w:val="18"/>
          <w:szCs w:val="18"/>
        </w:rPr>
        <w:t>ne in Africa and News in France.</w:t>
      </w:r>
      <w:r w:rsidR="00941C60" w:rsidRPr="001A209B">
        <w:rPr>
          <w:rFonts w:cs="Arial"/>
          <w:sz w:val="18"/>
          <w:szCs w:val="18"/>
        </w:rPr>
        <w:t xml:space="preserve"> </w:t>
      </w:r>
    </w:p>
    <w:p w:rsidR="00A2098B" w:rsidRPr="001A209B" w:rsidRDefault="00A2098B" w:rsidP="00853E15">
      <w:pPr>
        <w:spacing w:before="20" w:after="20"/>
        <w:jc w:val="both"/>
        <w:rPr>
          <w:rFonts w:cs="Arial"/>
          <w:sz w:val="18"/>
          <w:szCs w:val="18"/>
        </w:rPr>
      </w:pPr>
    </w:p>
    <w:p w:rsidR="0031111B" w:rsidRPr="001A209B" w:rsidRDefault="00ED54F4" w:rsidP="00853E15">
      <w:pPr>
        <w:spacing w:before="20" w:after="20"/>
        <w:jc w:val="both"/>
        <w:rPr>
          <w:rFonts w:cs="Arial"/>
          <w:bCs/>
          <w:sz w:val="18"/>
          <w:szCs w:val="18"/>
        </w:rPr>
      </w:pPr>
      <w:r w:rsidRPr="001A209B">
        <w:rPr>
          <w:rFonts w:cs="Arial"/>
          <w:sz w:val="18"/>
          <w:szCs w:val="18"/>
        </w:rPr>
        <w:t>Overall</w:t>
      </w:r>
      <w:r w:rsidR="00B626E7" w:rsidRPr="001A209B">
        <w:rPr>
          <w:rFonts w:cs="Arial"/>
          <w:sz w:val="18"/>
          <w:szCs w:val="18"/>
        </w:rPr>
        <w:t xml:space="preserve"> </w:t>
      </w:r>
      <w:r w:rsidR="00C23DCD" w:rsidRPr="001A209B">
        <w:rPr>
          <w:rFonts w:cs="Arial"/>
          <w:sz w:val="18"/>
          <w:szCs w:val="18"/>
        </w:rPr>
        <w:t>G</w:t>
      </w:r>
      <w:r w:rsidR="00DF24E2" w:rsidRPr="001A209B">
        <w:rPr>
          <w:rFonts w:cs="Arial"/>
          <w:sz w:val="18"/>
          <w:szCs w:val="18"/>
        </w:rPr>
        <w:t xml:space="preserve">rowth Brands accounted for </w:t>
      </w:r>
      <w:r w:rsidR="00F06044" w:rsidRPr="001A209B">
        <w:rPr>
          <w:rFonts w:cs="Arial"/>
          <w:bCs/>
          <w:sz w:val="18"/>
          <w:szCs w:val="18"/>
        </w:rPr>
        <w:t>43</w:t>
      </w:r>
      <w:r w:rsidR="005D5FC1" w:rsidRPr="001A209B">
        <w:rPr>
          <w:rFonts w:cs="Arial"/>
          <w:sz w:val="18"/>
          <w:szCs w:val="18"/>
        </w:rPr>
        <w:t xml:space="preserve"> per cent of total volumes, an inc</w:t>
      </w:r>
      <w:r w:rsidR="00DF24E2" w:rsidRPr="001A209B">
        <w:rPr>
          <w:rFonts w:cs="Arial"/>
          <w:sz w:val="18"/>
          <w:szCs w:val="18"/>
        </w:rPr>
        <w:t xml:space="preserve">rease of </w:t>
      </w:r>
      <w:r w:rsidR="00581113" w:rsidRPr="001A209B">
        <w:rPr>
          <w:rFonts w:cs="Arial"/>
          <w:bCs/>
          <w:sz w:val="18"/>
          <w:szCs w:val="18"/>
        </w:rPr>
        <w:t>2</w:t>
      </w:r>
      <w:r w:rsidR="00A52EC2" w:rsidRPr="001A209B">
        <w:rPr>
          <w:rFonts w:cs="Arial"/>
          <w:bCs/>
          <w:sz w:val="18"/>
          <w:szCs w:val="18"/>
        </w:rPr>
        <w:t>10</w:t>
      </w:r>
      <w:r w:rsidR="00DF24E2" w:rsidRPr="001A209B">
        <w:rPr>
          <w:rFonts w:cs="Arial"/>
          <w:sz w:val="18"/>
          <w:szCs w:val="18"/>
        </w:rPr>
        <w:t xml:space="preserve"> basis points, and </w:t>
      </w:r>
      <w:r w:rsidR="00455D8F" w:rsidRPr="001A209B">
        <w:rPr>
          <w:rFonts w:cs="Arial"/>
          <w:bCs/>
          <w:sz w:val="18"/>
          <w:szCs w:val="18"/>
        </w:rPr>
        <w:t>40</w:t>
      </w:r>
      <w:r w:rsidR="005D5FC1" w:rsidRPr="001A209B">
        <w:rPr>
          <w:rFonts w:cs="Arial"/>
          <w:sz w:val="18"/>
          <w:szCs w:val="18"/>
        </w:rPr>
        <w:t xml:space="preserve"> per cent of tobacco net revenue, a</w:t>
      </w:r>
      <w:r w:rsidR="00D76958" w:rsidRPr="001A209B">
        <w:rPr>
          <w:rFonts w:cs="Arial"/>
          <w:sz w:val="18"/>
          <w:szCs w:val="18"/>
        </w:rPr>
        <w:t xml:space="preserve">n increase of </w:t>
      </w:r>
      <w:r w:rsidR="00455D8F" w:rsidRPr="001A209B">
        <w:rPr>
          <w:rFonts w:cs="Arial"/>
          <w:sz w:val="18"/>
          <w:szCs w:val="18"/>
        </w:rPr>
        <w:t>120</w:t>
      </w:r>
      <w:r w:rsidR="00D76958" w:rsidRPr="001A209B">
        <w:rPr>
          <w:rFonts w:cs="Arial"/>
          <w:sz w:val="18"/>
          <w:szCs w:val="18"/>
        </w:rPr>
        <w:t xml:space="preserve"> basis points.</w:t>
      </w:r>
      <w:r w:rsidR="0031111B" w:rsidRPr="001A209B">
        <w:rPr>
          <w:rFonts w:cs="Arial"/>
          <w:sz w:val="18"/>
          <w:szCs w:val="18"/>
        </w:rPr>
        <w:t xml:space="preserve"> On </w:t>
      </w:r>
      <w:r w:rsidR="0031111B" w:rsidRPr="001A209B">
        <w:rPr>
          <w:rFonts w:cs="Arial"/>
          <w:bCs/>
          <w:sz w:val="18"/>
          <w:szCs w:val="18"/>
        </w:rPr>
        <w:t xml:space="preserve">an aggregate basis, the market share of </w:t>
      </w:r>
      <w:r w:rsidR="008A56AD" w:rsidRPr="001A209B">
        <w:rPr>
          <w:rFonts w:cs="Arial"/>
          <w:bCs/>
          <w:sz w:val="18"/>
          <w:szCs w:val="18"/>
        </w:rPr>
        <w:t xml:space="preserve">our </w:t>
      </w:r>
      <w:r w:rsidR="0031111B" w:rsidRPr="001A209B">
        <w:rPr>
          <w:rFonts w:cs="Arial"/>
          <w:bCs/>
          <w:sz w:val="18"/>
          <w:szCs w:val="18"/>
        </w:rPr>
        <w:t xml:space="preserve">Growth Brands </w:t>
      </w:r>
      <w:r w:rsidR="00006ABD" w:rsidRPr="001A209B">
        <w:rPr>
          <w:rFonts w:cs="Arial"/>
          <w:bCs/>
          <w:sz w:val="18"/>
          <w:szCs w:val="18"/>
        </w:rPr>
        <w:t>grew to</w:t>
      </w:r>
      <w:r w:rsidR="0031111B" w:rsidRPr="001A209B">
        <w:rPr>
          <w:rFonts w:cs="Arial"/>
          <w:bCs/>
          <w:sz w:val="18"/>
          <w:szCs w:val="18"/>
        </w:rPr>
        <w:t xml:space="preserve"> 5.4 per cent.</w:t>
      </w:r>
    </w:p>
    <w:p w:rsidR="000A6DC1" w:rsidRPr="001A209B" w:rsidRDefault="000A6DC1" w:rsidP="00853E15">
      <w:pPr>
        <w:spacing w:before="20" w:after="20"/>
        <w:jc w:val="both"/>
        <w:rPr>
          <w:rFonts w:cs="Arial"/>
          <w:b/>
          <w:sz w:val="18"/>
          <w:szCs w:val="18"/>
        </w:rPr>
      </w:pPr>
    </w:p>
    <w:p w:rsidR="005D5FC1" w:rsidRPr="001A209B" w:rsidRDefault="005D5FC1" w:rsidP="00853E15">
      <w:pPr>
        <w:spacing w:before="20" w:after="20"/>
        <w:jc w:val="both"/>
        <w:rPr>
          <w:rFonts w:cs="Arial"/>
          <w:b/>
          <w:color w:val="A60D1F"/>
          <w:sz w:val="18"/>
          <w:szCs w:val="18"/>
        </w:rPr>
      </w:pPr>
      <w:r w:rsidRPr="001A209B">
        <w:rPr>
          <w:rFonts w:cs="Arial"/>
          <w:b/>
          <w:color w:val="A60D1F"/>
          <w:sz w:val="18"/>
          <w:szCs w:val="18"/>
        </w:rPr>
        <w:t xml:space="preserve">Specialist Brands </w:t>
      </w:r>
      <w:r w:rsidR="00F24E41" w:rsidRPr="001A209B">
        <w:rPr>
          <w:rFonts w:cs="Arial"/>
          <w:b/>
          <w:color w:val="A60D1F"/>
          <w:sz w:val="18"/>
          <w:szCs w:val="18"/>
        </w:rPr>
        <w:t xml:space="preserve">Growing </w:t>
      </w:r>
      <w:r w:rsidR="005C6958" w:rsidRPr="001A209B">
        <w:rPr>
          <w:rFonts w:cs="Arial"/>
          <w:b/>
          <w:color w:val="A60D1F"/>
          <w:sz w:val="18"/>
          <w:szCs w:val="18"/>
        </w:rPr>
        <w:t>Revenue</w:t>
      </w:r>
      <w:r w:rsidR="00F24E41" w:rsidRPr="001A209B">
        <w:rPr>
          <w:rFonts w:cs="Arial"/>
          <w:b/>
          <w:color w:val="A60D1F"/>
          <w:sz w:val="18"/>
          <w:szCs w:val="18"/>
        </w:rPr>
        <w:t>s</w:t>
      </w:r>
    </w:p>
    <w:p w:rsidR="00F6360F" w:rsidRPr="001A209B" w:rsidRDefault="004F0524" w:rsidP="00853E15">
      <w:pPr>
        <w:spacing w:before="20" w:after="20"/>
        <w:jc w:val="both"/>
        <w:rPr>
          <w:rFonts w:cs="Arial"/>
          <w:sz w:val="18"/>
          <w:szCs w:val="18"/>
        </w:rPr>
      </w:pPr>
      <w:r w:rsidRPr="001A209B">
        <w:rPr>
          <w:rFonts w:cs="Arial"/>
          <w:sz w:val="18"/>
          <w:szCs w:val="18"/>
        </w:rPr>
        <w:t>Our</w:t>
      </w:r>
      <w:r w:rsidR="005D5FC1" w:rsidRPr="001A209B">
        <w:rPr>
          <w:rFonts w:cs="Arial"/>
          <w:sz w:val="18"/>
          <w:szCs w:val="18"/>
        </w:rPr>
        <w:t xml:space="preserve"> Specialist Brands </w:t>
      </w:r>
      <w:r w:rsidRPr="001A209B">
        <w:rPr>
          <w:rFonts w:cs="Arial"/>
          <w:sz w:val="18"/>
          <w:szCs w:val="18"/>
        </w:rPr>
        <w:t>highlight our un</w:t>
      </w:r>
      <w:r w:rsidR="00F6360F" w:rsidRPr="001A209B">
        <w:rPr>
          <w:rFonts w:cs="Arial"/>
          <w:sz w:val="18"/>
          <w:szCs w:val="18"/>
        </w:rPr>
        <w:t>ique total tobacco strength and consist of: Style, Gitanes (cigarettes), Golden Virginia, Drum, Route 66 (fine cut tobacco), Cohiba, Montecristo, Romeo Y Julieta (premium cigars), Backwoods (cigars), Skruf (snus) and Rizla (papers).</w:t>
      </w:r>
    </w:p>
    <w:p w:rsidR="00F6360F" w:rsidRPr="001A209B" w:rsidRDefault="00F6360F" w:rsidP="00853E15">
      <w:pPr>
        <w:spacing w:before="20" w:after="20"/>
        <w:jc w:val="both"/>
        <w:rPr>
          <w:rFonts w:cs="Arial"/>
          <w:sz w:val="18"/>
          <w:szCs w:val="18"/>
        </w:rPr>
      </w:pPr>
    </w:p>
    <w:p w:rsidR="00EE2A7C" w:rsidRPr="001A209B" w:rsidRDefault="00F6360F" w:rsidP="00853E15">
      <w:pPr>
        <w:spacing w:before="20" w:after="20"/>
        <w:jc w:val="both"/>
        <w:rPr>
          <w:rFonts w:cs="Arial"/>
          <w:sz w:val="18"/>
          <w:szCs w:val="18"/>
        </w:rPr>
      </w:pPr>
      <w:r w:rsidRPr="001A209B">
        <w:rPr>
          <w:rFonts w:cs="Arial"/>
          <w:sz w:val="18"/>
          <w:szCs w:val="18"/>
        </w:rPr>
        <w:t>These brands</w:t>
      </w:r>
      <w:r w:rsidR="00F85511" w:rsidRPr="001A209B">
        <w:rPr>
          <w:rFonts w:cs="Arial"/>
          <w:sz w:val="18"/>
          <w:szCs w:val="18"/>
        </w:rPr>
        <w:t xml:space="preserve"> </w:t>
      </w:r>
      <w:r w:rsidR="004F0524" w:rsidRPr="001A209B">
        <w:rPr>
          <w:rFonts w:cs="Arial"/>
          <w:sz w:val="18"/>
          <w:szCs w:val="18"/>
        </w:rPr>
        <w:t xml:space="preserve">provide opportunities for growth </w:t>
      </w:r>
      <w:r w:rsidR="00B626E7" w:rsidRPr="001A209B">
        <w:rPr>
          <w:rFonts w:cs="Arial"/>
          <w:sz w:val="18"/>
          <w:szCs w:val="18"/>
        </w:rPr>
        <w:t>across the tobacco spectrum</w:t>
      </w:r>
      <w:r w:rsidR="00F85511" w:rsidRPr="001A209B">
        <w:rPr>
          <w:rFonts w:cs="Arial"/>
          <w:sz w:val="18"/>
          <w:szCs w:val="18"/>
        </w:rPr>
        <w:t xml:space="preserve"> and have</w:t>
      </w:r>
      <w:r w:rsidR="005E7A5F" w:rsidRPr="001A209B">
        <w:rPr>
          <w:rFonts w:cs="Arial"/>
          <w:sz w:val="18"/>
          <w:szCs w:val="18"/>
        </w:rPr>
        <w:t xml:space="preserve"> a track record of generating strong returns.</w:t>
      </w:r>
    </w:p>
    <w:p w:rsidR="00EE2A7C" w:rsidRPr="001A209B" w:rsidRDefault="00EE2A7C" w:rsidP="00853E15">
      <w:pPr>
        <w:spacing w:before="20" w:after="20"/>
        <w:jc w:val="both"/>
        <w:rPr>
          <w:rFonts w:cs="Arial"/>
          <w:sz w:val="18"/>
          <w:szCs w:val="18"/>
        </w:rPr>
      </w:pPr>
    </w:p>
    <w:p w:rsidR="004F0524" w:rsidRPr="001A209B" w:rsidRDefault="00F60923" w:rsidP="00853E15">
      <w:pPr>
        <w:spacing w:before="20" w:after="20"/>
        <w:jc w:val="both"/>
        <w:rPr>
          <w:rFonts w:cs="Arial"/>
          <w:sz w:val="18"/>
          <w:szCs w:val="18"/>
        </w:rPr>
      </w:pPr>
      <w:r w:rsidRPr="001A209B">
        <w:rPr>
          <w:rFonts w:cs="Arial"/>
          <w:sz w:val="18"/>
          <w:szCs w:val="18"/>
        </w:rPr>
        <w:t>In cigarette we’ve focused on</w:t>
      </w:r>
      <w:r w:rsidR="004F0524" w:rsidRPr="001A209B">
        <w:rPr>
          <w:rFonts w:cs="Arial"/>
          <w:sz w:val="18"/>
          <w:szCs w:val="18"/>
        </w:rPr>
        <w:t xml:space="preserve"> building </w:t>
      </w:r>
      <w:r w:rsidR="00CA7749" w:rsidRPr="001A209B">
        <w:rPr>
          <w:rFonts w:cs="Arial"/>
          <w:sz w:val="18"/>
          <w:szCs w:val="18"/>
        </w:rPr>
        <w:t xml:space="preserve">the </w:t>
      </w:r>
      <w:r w:rsidR="004F0524" w:rsidRPr="001A209B">
        <w:rPr>
          <w:rFonts w:cs="Arial"/>
          <w:sz w:val="18"/>
          <w:szCs w:val="18"/>
        </w:rPr>
        <w:t xml:space="preserve">presence </w:t>
      </w:r>
      <w:r w:rsidR="00CA7749" w:rsidRPr="001A209B">
        <w:rPr>
          <w:rFonts w:cs="Arial"/>
          <w:sz w:val="18"/>
          <w:szCs w:val="18"/>
        </w:rPr>
        <w:t xml:space="preserve">of Gitanes in </w:t>
      </w:r>
      <w:r w:rsidR="004F0524" w:rsidRPr="001A209B">
        <w:rPr>
          <w:rFonts w:cs="Arial"/>
          <w:sz w:val="18"/>
          <w:szCs w:val="18"/>
        </w:rPr>
        <w:t>Iraq and maintaining Style’s growth momentum in Eastern Europe. Market declines in Spain undermined our overall fine cut tobacco performance</w:t>
      </w:r>
      <w:r w:rsidR="00890879" w:rsidRPr="001A209B">
        <w:rPr>
          <w:rFonts w:cs="Arial"/>
          <w:sz w:val="18"/>
          <w:szCs w:val="18"/>
        </w:rPr>
        <w:t xml:space="preserve">. </w:t>
      </w:r>
      <w:r w:rsidR="004F0524" w:rsidRPr="001A209B">
        <w:rPr>
          <w:rFonts w:cs="Arial"/>
          <w:sz w:val="18"/>
          <w:szCs w:val="18"/>
        </w:rPr>
        <w:t xml:space="preserve">In Scandinavia Skruf added to its growth </w:t>
      </w:r>
      <w:r w:rsidR="00C15BD7" w:rsidRPr="001A209B">
        <w:rPr>
          <w:rFonts w:cs="Arial"/>
          <w:sz w:val="18"/>
          <w:szCs w:val="18"/>
        </w:rPr>
        <w:t xml:space="preserve">record </w:t>
      </w:r>
      <w:r w:rsidR="004F0524" w:rsidRPr="001A209B">
        <w:rPr>
          <w:rFonts w:cs="Arial"/>
          <w:sz w:val="18"/>
          <w:szCs w:val="18"/>
        </w:rPr>
        <w:t xml:space="preserve">with another excellent performance and we </w:t>
      </w:r>
      <w:r w:rsidR="00EE2A7C" w:rsidRPr="001A209B">
        <w:rPr>
          <w:rFonts w:cs="Arial"/>
          <w:sz w:val="18"/>
          <w:szCs w:val="18"/>
        </w:rPr>
        <w:t>achieved</w:t>
      </w:r>
      <w:r w:rsidR="000A6DC1" w:rsidRPr="001A209B">
        <w:rPr>
          <w:rFonts w:cs="Arial"/>
          <w:sz w:val="18"/>
          <w:szCs w:val="18"/>
        </w:rPr>
        <w:t xml:space="preserve"> good results in mass market and premium cigars in Growth Markets</w:t>
      </w:r>
      <w:r w:rsidR="00B626E7" w:rsidRPr="001A209B">
        <w:rPr>
          <w:rFonts w:cs="Arial"/>
          <w:sz w:val="18"/>
          <w:szCs w:val="18"/>
        </w:rPr>
        <w:t>.</w:t>
      </w:r>
      <w:r w:rsidR="00F06044" w:rsidRPr="001A209B">
        <w:rPr>
          <w:rFonts w:cs="Arial"/>
          <w:sz w:val="18"/>
          <w:szCs w:val="18"/>
        </w:rPr>
        <w:t xml:space="preserve"> </w:t>
      </w:r>
    </w:p>
    <w:p w:rsidR="00B626E7" w:rsidRPr="001A209B" w:rsidRDefault="00B626E7" w:rsidP="00853E15">
      <w:pPr>
        <w:spacing w:before="20" w:after="20"/>
        <w:jc w:val="both"/>
        <w:rPr>
          <w:rFonts w:cs="Arial"/>
          <w:sz w:val="18"/>
          <w:szCs w:val="18"/>
        </w:rPr>
      </w:pPr>
    </w:p>
    <w:p w:rsidR="00605439" w:rsidRPr="001A209B" w:rsidRDefault="000A6DC1" w:rsidP="00605439">
      <w:pPr>
        <w:spacing w:before="20" w:after="20"/>
        <w:jc w:val="both"/>
        <w:rPr>
          <w:rFonts w:cs="Arial"/>
          <w:b/>
          <w:color w:val="A60D1F"/>
          <w:sz w:val="18"/>
          <w:szCs w:val="18"/>
        </w:rPr>
      </w:pPr>
      <w:r w:rsidRPr="001A209B">
        <w:rPr>
          <w:rFonts w:cs="Arial"/>
          <w:sz w:val="18"/>
          <w:szCs w:val="18"/>
        </w:rPr>
        <w:t>Overall we increased</w:t>
      </w:r>
      <w:r w:rsidR="00B626E7" w:rsidRPr="001A209B">
        <w:rPr>
          <w:rFonts w:cs="Arial"/>
          <w:sz w:val="18"/>
          <w:szCs w:val="18"/>
        </w:rPr>
        <w:t xml:space="preserve"> </w:t>
      </w:r>
      <w:r w:rsidR="005D5FC1" w:rsidRPr="001A209B">
        <w:rPr>
          <w:rFonts w:cs="Arial"/>
          <w:sz w:val="18"/>
          <w:szCs w:val="18"/>
        </w:rPr>
        <w:t xml:space="preserve">Specialist Brand </w:t>
      </w:r>
      <w:r w:rsidR="00707940" w:rsidRPr="001A209B">
        <w:rPr>
          <w:rFonts w:cs="Arial"/>
          <w:sz w:val="18"/>
          <w:szCs w:val="18"/>
        </w:rPr>
        <w:t xml:space="preserve">net </w:t>
      </w:r>
      <w:r w:rsidR="005D5FC1" w:rsidRPr="001A209B">
        <w:rPr>
          <w:rFonts w:cs="Arial"/>
          <w:sz w:val="18"/>
          <w:szCs w:val="18"/>
        </w:rPr>
        <w:t>revenue</w:t>
      </w:r>
      <w:r w:rsidR="00B626E7" w:rsidRPr="001A209B">
        <w:rPr>
          <w:rFonts w:cs="Arial"/>
          <w:sz w:val="18"/>
          <w:szCs w:val="18"/>
        </w:rPr>
        <w:t xml:space="preserve">s </w:t>
      </w:r>
      <w:r w:rsidRPr="001A209B">
        <w:rPr>
          <w:rFonts w:cs="Arial"/>
          <w:sz w:val="18"/>
          <w:szCs w:val="18"/>
        </w:rPr>
        <w:t>by</w:t>
      </w:r>
      <w:r w:rsidR="00F14F23" w:rsidRPr="001A209B">
        <w:rPr>
          <w:rFonts w:cs="Arial"/>
          <w:sz w:val="18"/>
          <w:szCs w:val="18"/>
        </w:rPr>
        <w:t xml:space="preserve"> 6</w:t>
      </w:r>
      <w:r w:rsidR="00B626E7" w:rsidRPr="001A209B">
        <w:rPr>
          <w:rFonts w:cs="Arial"/>
          <w:sz w:val="18"/>
          <w:szCs w:val="18"/>
        </w:rPr>
        <w:t xml:space="preserve"> per cent</w:t>
      </w:r>
      <w:r w:rsidR="00703CD7" w:rsidRPr="001A209B">
        <w:rPr>
          <w:rFonts w:cs="Arial"/>
          <w:sz w:val="18"/>
          <w:szCs w:val="18"/>
        </w:rPr>
        <w:t xml:space="preserve"> </w:t>
      </w:r>
      <w:r w:rsidR="00EA1760" w:rsidRPr="001A209B">
        <w:rPr>
          <w:rFonts w:cs="Arial"/>
          <w:sz w:val="18"/>
          <w:szCs w:val="18"/>
        </w:rPr>
        <w:t xml:space="preserve">on an underlying basis </w:t>
      </w:r>
      <w:r w:rsidR="00703CD7" w:rsidRPr="001A209B">
        <w:rPr>
          <w:rFonts w:cs="Arial"/>
          <w:sz w:val="18"/>
          <w:szCs w:val="18"/>
        </w:rPr>
        <w:t xml:space="preserve">and </w:t>
      </w:r>
      <w:r w:rsidR="005D5FC1" w:rsidRPr="001A209B">
        <w:rPr>
          <w:rFonts w:cs="Arial"/>
          <w:sz w:val="18"/>
          <w:szCs w:val="18"/>
        </w:rPr>
        <w:t xml:space="preserve">these brands </w:t>
      </w:r>
      <w:r w:rsidR="00703CD7" w:rsidRPr="001A209B">
        <w:rPr>
          <w:rFonts w:cs="Arial"/>
          <w:sz w:val="18"/>
          <w:szCs w:val="18"/>
        </w:rPr>
        <w:t>now account</w:t>
      </w:r>
      <w:r w:rsidR="005D5FC1" w:rsidRPr="001A209B">
        <w:rPr>
          <w:rFonts w:cs="Arial"/>
          <w:sz w:val="18"/>
          <w:szCs w:val="18"/>
        </w:rPr>
        <w:t xml:space="preserve"> for </w:t>
      </w:r>
      <w:r w:rsidR="00A52EC2" w:rsidRPr="001A209B">
        <w:rPr>
          <w:rFonts w:cs="Arial"/>
          <w:sz w:val="18"/>
          <w:szCs w:val="18"/>
        </w:rPr>
        <w:t>12.</w:t>
      </w:r>
      <w:r w:rsidR="00455D8F" w:rsidRPr="001A209B">
        <w:rPr>
          <w:rFonts w:cs="Arial"/>
          <w:sz w:val="18"/>
          <w:szCs w:val="18"/>
        </w:rPr>
        <w:t>7</w:t>
      </w:r>
      <w:r w:rsidR="00F97C7D" w:rsidRPr="001A209B">
        <w:rPr>
          <w:rFonts w:cs="Arial"/>
          <w:sz w:val="18"/>
          <w:szCs w:val="18"/>
        </w:rPr>
        <w:t xml:space="preserve"> </w:t>
      </w:r>
      <w:r w:rsidR="004F0524" w:rsidRPr="001A209B">
        <w:rPr>
          <w:rFonts w:cs="Arial"/>
          <w:sz w:val="18"/>
          <w:szCs w:val="18"/>
        </w:rPr>
        <w:t xml:space="preserve">per cent of tobacco net revenue, an increase of </w:t>
      </w:r>
      <w:r w:rsidR="00455D8F" w:rsidRPr="001A209B">
        <w:rPr>
          <w:rFonts w:cs="Arial"/>
          <w:sz w:val="18"/>
          <w:szCs w:val="18"/>
        </w:rPr>
        <w:t>7</w:t>
      </w:r>
      <w:r w:rsidR="00A52EC2" w:rsidRPr="001A209B">
        <w:rPr>
          <w:rFonts w:cs="Arial"/>
          <w:sz w:val="18"/>
          <w:szCs w:val="18"/>
        </w:rPr>
        <w:t>0</w:t>
      </w:r>
      <w:r w:rsidR="004F0524" w:rsidRPr="001A209B">
        <w:rPr>
          <w:rFonts w:cs="Arial"/>
          <w:sz w:val="18"/>
          <w:szCs w:val="18"/>
        </w:rPr>
        <w:t xml:space="preserve"> basis points.</w:t>
      </w:r>
      <w:r w:rsidR="00605439" w:rsidRPr="001A209B">
        <w:rPr>
          <w:rFonts w:cs="Arial"/>
          <w:b/>
          <w:color w:val="A60D1F"/>
          <w:sz w:val="18"/>
          <w:szCs w:val="18"/>
        </w:rPr>
        <w:br w:type="page"/>
      </w:r>
    </w:p>
    <w:p w:rsidR="005D5FC1" w:rsidRPr="001A209B" w:rsidRDefault="005D5FC1" w:rsidP="00853E15">
      <w:pPr>
        <w:spacing w:before="20" w:after="20"/>
        <w:jc w:val="both"/>
        <w:rPr>
          <w:rFonts w:cs="Arial"/>
          <w:b/>
          <w:color w:val="A60D1F"/>
          <w:sz w:val="18"/>
          <w:szCs w:val="18"/>
        </w:rPr>
      </w:pPr>
      <w:r w:rsidRPr="001A209B">
        <w:rPr>
          <w:rFonts w:cs="Arial"/>
          <w:b/>
          <w:color w:val="A60D1F"/>
          <w:sz w:val="18"/>
          <w:szCs w:val="18"/>
        </w:rPr>
        <w:t>Good Progress in Growth Markets</w:t>
      </w:r>
    </w:p>
    <w:p w:rsidR="001F6072" w:rsidRPr="001A209B" w:rsidRDefault="000A6DC1" w:rsidP="00853E15">
      <w:pPr>
        <w:spacing w:before="20" w:after="20"/>
        <w:jc w:val="both"/>
        <w:rPr>
          <w:rFonts w:cs="Arial"/>
          <w:sz w:val="18"/>
          <w:szCs w:val="18"/>
        </w:rPr>
      </w:pPr>
      <w:r w:rsidRPr="001A209B">
        <w:rPr>
          <w:rFonts w:cs="Arial"/>
          <w:sz w:val="18"/>
          <w:szCs w:val="18"/>
        </w:rPr>
        <w:t xml:space="preserve">We made good progress in a broad spread of </w:t>
      </w:r>
      <w:r w:rsidR="00130FE0" w:rsidRPr="001A209B">
        <w:rPr>
          <w:rFonts w:cs="Arial"/>
          <w:sz w:val="18"/>
          <w:szCs w:val="18"/>
        </w:rPr>
        <w:t xml:space="preserve">Growth Markets, increasing </w:t>
      </w:r>
      <w:r w:rsidR="00A076AE" w:rsidRPr="001A209B">
        <w:rPr>
          <w:rFonts w:cs="Arial"/>
          <w:sz w:val="18"/>
          <w:szCs w:val="18"/>
        </w:rPr>
        <w:t xml:space="preserve">underlying </w:t>
      </w:r>
      <w:r w:rsidR="00130FE0" w:rsidRPr="001A209B">
        <w:rPr>
          <w:rFonts w:cs="Arial"/>
          <w:sz w:val="18"/>
          <w:szCs w:val="18"/>
        </w:rPr>
        <w:t xml:space="preserve">net revenue by </w:t>
      </w:r>
      <w:r w:rsidR="00455D8F" w:rsidRPr="001A209B">
        <w:rPr>
          <w:rFonts w:cs="Arial"/>
          <w:sz w:val="18"/>
          <w:szCs w:val="18"/>
        </w:rPr>
        <w:t>7</w:t>
      </w:r>
      <w:r w:rsidR="00F97C7D" w:rsidRPr="001A209B">
        <w:rPr>
          <w:rFonts w:cs="Arial"/>
          <w:sz w:val="18"/>
          <w:szCs w:val="18"/>
        </w:rPr>
        <w:t xml:space="preserve"> </w:t>
      </w:r>
      <w:r w:rsidR="00130FE0" w:rsidRPr="001A209B">
        <w:rPr>
          <w:rFonts w:cs="Arial"/>
          <w:sz w:val="18"/>
          <w:szCs w:val="18"/>
        </w:rPr>
        <w:t>per cent</w:t>
      </w:r>
      <w:r w:rsidR="00455D8F" w:rsidRPr="001A209B">
        <w:rPr>
          <w:rFonts w:cs="Arial"/>
          <w:sz w:val="18"/>
          <w:szCs w:val="18"/>
        </w:rPr>
        <w:t>. A</w:t>
      </w:r>
      <w:r w:rsidR="00F97C7D" w:rsidRPr="001A209B">
        <w:rPr>
          <w:rFonts w:cs="Arial"/>
          <w:sz w:val="18"/>
          <w:szCs w:val="18"/>
        </w:rPr>
        <w:t xml:space="preserve">djusted operating profit </w:t>
      </w:r>
      <w:r w:rsidR="00455D8F" w:rsidRPr="001A209B">
        <w:rPr>
          <w:rFonts w:cs="Arial"/>
          <w:sz w:val="18"/>
          <w:szCs w:val="18"/>
        </w:rPr>
        <w:t>was down 11</w:t>
      </w:r>
      <w:r w:rsidR="00F97C7D" w:rsidRPr="001A209B">
        <w:rPr>
          <w:rFonts w:cs="Arial"/>
          <w:sz w:val="18"/>
          <w:szCs w:val="18"/>
        </w:rPr>
        <w:t xml:space="preserve"> </w:t>
      </w:r>
      <w:r w:rsidR="00130FE0" w:rsidRPr="001A209B">
        <w:rPr>
          <w:rFonts w:cs="Arial"/>
          <w:sz w:val="18"/>
          <w:szCs w:val="18"/>
        </w:rPr>
        <w:t>per cen</w:t>
      </w:r>
      <w:r w:rsidR="00434501" w:rsidRPr="001A209B">
        <w:rPr>
          <w:rFonts w:cs="Arial"/>
          <w:sz w:val="18"/>
          <w:szCs w:val="18"/>
        </w:rPr>
        <w:t xml:space="preserve">t, </w:t>
      </w:r>
      <w:r w:rsidR="00DF7FAE" w:rsidRPr="001A209B">
        <w:rPr>
          <w:rFonts w:cs="Arial"/>
          <w:sz w:val="18"/>
          <w:szCs w:val="18"/>
        </w:rPr>
        <w:t xml:space="preserve">reflecting </w:t>
      </w:r>
      <w:r w:rsidR="008A56AD" w:rsidRPr="001A209B">
        <w:rPr>
          <w:rFonts w:cs="Arial"/>
          <w:sz w:val="18"/>
          <w:szCs w:val="18"/>
        </w:rPr>
        <w:t xml:space="preserve">the </w:t>
      </w:r>
      <w:r w:rsidR="00DF7FAE" w:rsidRPr="001A209B">
        <w:rPr>
          <w:rFonts w:cs="Arial"/>
          <w:sz w:val="18"/>
          <w:szCs w:val="18"/>
        </w:rPr>
        <w:t xml:space="preserve">focus of our </w:t>
      </w:r>
      <w:r w:rsidR="008A56AD" w:rsidRPr="001A209B">
        <w:rPr>
          <w:rFonts w:cs="Arial"/>
          <w:sz w:val="18"/>
          <w:szCs w:val="18"/>
        </w:rPr>
        <w:t xml:space="preserve">stock optimisation programme </w:t>
      </w:r>
      <w:r w:rsidR="00DF7FAE" w:rsidRPr="001A209B">
        <w:rPr>
          <w:rFonts w:cs="Arial"/>
          <w:sz w:val="18"/>
          <w:szCs w:val="18"/>
        </w:rPr>
        <w:t xml:space="preserve">and investments </w:t>
      </w:r>
      <w:r w:rsidR="00B4242B" w:rsidRPr="001A209B">
        <w:rPr>
          <w:rFonts w:cs="Arial"/>
          <w:sz w:val="18"/>
          <w:szCs w:val="18"/>
        </w:rPr>
        <w:t>behind</w:t>
      </w:r>
      <w:r w:rsidR="00DF7FAE" w:rsidRPr="001A209B">
        <w:rPr>
          <w:rFonts w:cs="Arial"/>
          <w:sz w:val="18"/>
          <w:szCs w:val="18"/>
        </w:rPr>
        <w:t xml:space="preserve"> growth.</w:t>
      </w:r>
      <w:r w:rsidR="009D4942" w:rsidRPr="001A209B">
        <w:rPr>
          <w:rFonts w:cs="Arial"/>
          <w:sz w:val="18"/>
          <w:szCs w:val="18"/>
        </w:rPr>
        <w:t xml:space="preserve"> </w:t>
      </w:r>
    </w:p>
    <w:p w:rsidR="00021D85" w:rsidRPr="001A209B" w:rsidRDefault="00021D85" w:rsidP="00853E15">
      <w:pPr>
        <w:spacing w:before="20" w:after="20"/>
        <w:jc w:val="both"/>
        <w:rPr>
          <w:rFonts w:cs="Arial"/>
          <w:sz w:val="18"/>
          <w:szCs w:val="18"/>
        </w:rPr>
      </w:pPr>
    </w:p>
    <w:p w:rsidR="001502FF" w:rsidRPr="001A209B" w:rsidRDefault="004B5958" w:rsidP="00853E15">
      <w:pPr>
        <w:spacing w:before="20" w:after="20"/>
        <w:jc w:val="both"/>
        <w:rPr>
          <w:rFonts w:cs="Arial"/>
          <w:sz w:val="18"/>
          <w:szCs w:val="18"/>
        </w:rPr>
      </w:pPr>
      <w:r w:rsidRPr="001A209B">
        <w:rPr>
          <w:rFonts w:cs="Arial"/>
          <w:sz w:val="18"/>
          <w:szCs w:val="18"/>
        </w:rPr>
        <w:t xml:space="preserve">In Russia </w:t>
      </w:r>
      <w:r w:rsidR="00E10F91" w:rsidRPr="001A209B">
        <w:rPr>
          <w:rFonts w:cs="Arial"/>
          <w:sz w:val="18"/>
          <w:szCs w:val="18"/>
        </w:rPr>
        <w:t xml:space="preserve">regulation is </w:t>
      </w:r>
      <w:r w:rsidR="001629BE" w:rsidRPr="001A209B">
        <w:rPr>
          <w:rFonts w:cs="Arial"/>
          <w:sz w:val="18"/>
          <w:szCs w:val="18"/>
        </w:rPr>
        <w:t xml:space="preserve">affecting industry volumes and </w:t>
      </w:r>
      <w:r w:rsidRPr="001A209B">
        <w:rPr>
          <w:rFonts w:cs="Arial"/>
          <w:sz w:val="18"/>
          <w:szCs w:val="18"/>
        </w:rPr>
        <w:t xml:space="preserve">changing </w:t>
      </w:r>
      <w:r w:rsidR="00E10F91" w:rsidRPr="001A209B">
        <w:rPr>
          <w:rFonts w:cs="Arial"/>
          <w:sz w:val="18"/>
          <w:szCs w:val="18"/>
        </w:rPr>
        <w:t>the</w:t>
      </w:r>
      <w:r w:rsidRPr="001A209B">
        <w:rPr>
          <w:rFonts w:cs="Arial"/>
          <w:sz w:val="18"/>
          <w:szCs w:val="18"/>
        </w:rPr>
        <w:t xml:space="preserve"> route</w:t>
      </w:r>
      <w:r w:rsidR="001629BE" w:rsidRPr="001A209B">
        <w:rPr>
          <w:rFonts w:cs="Arial"/>
          <w:sz w:val="18"/>
          <w:szCs w:val="18"/>
        </w:rPr>
        <w:t xml:space="preserve"> to market and w</w:t>
      </w:r>
      <w:r w:rsidR="00E10F91" w:rsidRPr="001A209B">
        <w:rPr>
          <w:rFonts w:cs="Arial"/>
          <w:sz w:val="18"/>
          <w:szCs w:val="18"/>
        </w:rPr>
        <w:t xml:space="preserve">e are </w:t>
      </w:r>
      <w:r w:rsidRPr="001A209B">
        <w:rPr>
          <w:rFonts w:cs="Arial"/>
          <w:sz w:val="18"/>
          <w:szCs w:val="18"/>
        </w:rPr>
        <w:t xml:space="preserve">working with our distributor to reduce stock levels </w:t>
      </w:r>
      <w:r w:rsidR="00FA1EB4" w:rsidRPr="001A209B">
        <w:rPr>
          <w:rFonts w:cs="Arial"/>
          <w:sz w:val="18"/>
          <w:szCs w:val="18"/>
        </w:rPr>
        <w:t xml:space="preserve">to improve supply </w:t>
      </w:r>
      <w:r w:rsidRPr="001A209B">
        <w:rPr>
          <w:rFonts w:cs="Arial"/>
          <w:sz w:val="18"/>
          <w:szCs w:val="18"/>
        </w:rPr>
        <w:t>efficiencies</w:t>
      </w:r>
      <w:r w:rsidR="00FA1EB4" w:rsidRPr="001A209B">
        <w:rPr>
          <w:rFonts w:cs="Arial"/>
          <w:sz w:val="18"/>
          <w:szCs w:val="18"/>
        </w:rPr>
        <w:t xml:space="preserve">. Our local brand Maxim is regaining ground as we continue to leverage new formats and target growth in key </w:t>
      </w:r>
      <w:r w:rsidR="00B4242B" w:rsidRPr="001A209B">
        <w:rPr>
          <w:rFonts w:cs="Arial"/>
          <w:sz w:val="18"/>
          <w:szCs w:val="18"/>
        </w:rPr>
        <w:t>regions</w:t>
      </w:r>
      <w:r w:rsidR="00FA1EB4" w:rsidRPr="001A209B">
        <w:rPr>
          <w:rFonts w:cs="Arial"/>
          <w:sz w:val="18"/>
          <w:szCs w:val="18"/>
        </w:rPr>
        <w:t xml:space="preserve">. </w:t>
      </w:r>
      <w:r w:rsidR="001502FF" w:rsidRPr="001A209B">
        <w:rPr>
          <w:rFonts w:cs="Arial"/>
          <w:sz w:val="18"/>
          <w:szCs w:val="18"/>
        </w:rPr>
        <w:t xml:space="preserve">In the USA our focus on pricing and customer engagement initiatives </w:t>
      </w:r>
      <w:r w:rsidR="00FA1EB4" w:rsidRPr="001A209B">
        <w:rPr>
          <w:rFonts w:cs="Arial"/>
          <w:sz w:val="18"/>
          <w:szCs w:val="18"/>
        </w:rPr>
        <w:t>continues to strengthen</w:t>
      </w:r>
      <w:r w:rsidR="001502FF" w:rsidRPr="001A209B">
        <w:rPr>
          <w:rFonts w:cs="Arial"/>
          <w:sz w:val="18"/>
          <w:szCs w:val="18"/>
        </w:rPr>
        <w:t xml:space="preserve"> </w:t>
      </w:r>
      <w:r w:rsidR="00842AE6" w:rsidRPr="001A209B">
        <w:rPr>
          <w:rFonts w:cs="Arial"/>
          <w:sz w:val="18"/>
          <w:szCs w:val="18"/>
        </w:rPr>
        <w:t>our market share and improve</w:t>
      </w:r>
      <w:r w:rsidR="001502FF" w:rsidRPr="001A209B">
        <w:rPr>
          <w:rFonts w:cs="Arial"/>
          <w:sz w:val="18"/>
          <w:szCs w:val="18"/>
        </w:rPr>
        <w:t xml:space="preserve"> profitability.</w:t>
      </w:r>
      <w:r w:rsidR="00842AE6" w:rsidRPr="001A209B">
        <w:rPr>
          <w:rFonts w:cs="Arial"/>
          <w:sz w:val="18"/>
          <w:szCs w:val="18"/>
        </w:rPr>
        <w:t xml:space="preserve"> Building further momentum behind our performance in both these markets is a priority for the second half.</w:t>
      </w:r>
    </w:p>
    <w:p w:rsidR="00842AE6" w:rsidRPr="001A209B" w:rsidRDefault="00842AE6" w:rsidP="00853E15">
      <w:pPr>
        <w:spacing w:before="20" w:after="20"/>
        <w:jc w:val="both"/>
        <w:rPr>
          <w:rFonts w:cs="Arial"/>
          <w:sz w:val="18"/>
          <w:szCs w:val="18"/>
        </w:rPr>
      </w:pPr>
    </w:p>
    <w:p w:rsidR="005D5FC1" w:rsidRPr="001A209B" w:rsidRDefault="001F6072" w:rsidP="00853E15">
      <w:pPr>
        <w:spacing w:before="20" w:after="20"/>
        <w:jc w:val="both"/>
        <w:rPr>
          <w:rFonts w:cs="Arial"/>
          <w:sz w:val="18"/>
          <w:szCs w:val="18"/>
        </w:rPr>
      </w:pPr>
      <w:r w:rsidRPr="001A209B">
        <w:rPr>
          <w:rFonts w:cs="Arial"/>
          <w:sz w:val="18"/>
          <w:szCs w:val="18"/>
        </w:rPr>
        <w:t xml:space="preserve">Elsewhere </w:t>
      </w:r>
      <w:r w:rsidR="00C43CF5" w:rsidRPr="001A209B">
        <w:rPr>
          <w:rFonts w:cs="Arial"/>
          <w:sz w:val="18"/>
          <w:szCs w:val="18"/>
        </w:rPr>
        <w:t xml:space="preserve">we made good progress in a broad spread of </w:t>
      </w:r>
      <w:r w:rsidR="00842AE6" w:rsidRPr="001A209B">
        <w:rPr>
          <w:rFonts w:cs="Arial"/>
          <w:sz w:val="18"/>
          <w:szCs w:val="18"/>
        </w:rPr>
        <w:t>Growth Markets</w:t>
      </w:r>
      <w:r w:rsidR="00C43CF5" w:rsidRPr="001A209B">
        <w:rPr>
          <w:rFonts w:cs="Arial"/>
          <w:sz w:val="18"/>
          <w:szCs w:val="18"/>
        </w:rPr>
        <w:t xml:space="preserve"> including</w:t>
      </w:r>
      <w:r w:rsidR="001502FF" w:rsidRPr="001A209B">
        <w:rPr>
          <w:rFonts w:cs="Arial"/>
          <w:sz w:val="18"/>
          <w:szCs w:val="18"/>
        </w:rPr>
        <w:t xml:space="preserve"> Italy, </w:t>
      </w:r>
      <w:r w:rsidR="004B5958" w:rsidRPr="001A209B">
        <w:rPr>
          <w:rFonts w:cs="Arial"/>
          <w:sz w:val="18"/>
          <w:szCs w:val="18"/>
        </w:rPr>
        <w:t xml:space="preserve">Norway, Sweden, Saudi Arabia, </w:t>
      </w:r>
      <w:r w:rsidR="001502FF" w:rsidRPr="001A209B">
        <w:rPr>
          <w:rFonts w:cs="Arial"/>
          <w:sz w:val="18"/>
          <w:szCs w:val="18"/>
        </w:rPr>
        <w:t>Taiwan</w:t>
      </w:r>
      <w:r w:rsidR="004B5958" w:rsidRPr="001A209B">
        <w:rPr>
          <w:rFonts w:cs="Arial"/>
          <w:sz w:val="18"/>
          <w:szCs w:val="18"/>
        </w:rPr>
        <w:t xml:space="preserve">, Vietnam and </w:t>
      </w:r>
      <w:r w:rsidR="00E31697" w:rsidRPr="001A209B">
        <w:rPr>
          <w:rFonts w:cs="Arial"/>
          <w:sz w:val="18"/>
          <w:szCs w:val="18"/>
        </w:rPr>
        <w:t>Cambodia</w:t>
      </w:r>
      <w:r w:rsidR="001502FF" w:rsidRPr="001A209B">
        <w:rPr>
          <w:rFonts w:cs="Arial"/>
          <w:sz w:val="18"/>
          <w:szCs w:val="18"/>
        </w:rPr>
        <w:t>.</w:t>
      </w:r>
      <w:r w:rsidR="00F6360F" w:rsidRPr="001A209B">
        <w:rPr>
          <w:rFonts w:cs="Arial"/>
          <w:sz w:val="18"/>
          <w:szCs w:val="18"/>
        </w:rPr>
        <w:t xml:space="preserve"> </w:t>
      </w:r>
    </w:p>
    <w:p w:rsidR="001629BE" w:rsidRPr="001A209B" w:rsidRDefault="001629BE" w:rsidP="00853E15">
      <w:pPr>
        <w:spacing w:before="20" w:after="20"/>
        <w:jc w:val="both"/>
        <w:rPr>
          <w:rFonts w:cs="Arial"/>
          <w:sz w:val="18"/>
          <w:szCs w:val="18"/>
        </w:rPr>
      </w:pPr>
    </w:p>
    <w:p w:rsidR="001629BE" w:rsidRPr="001A209B" w:rsidRDefault="001629BE" w:rsidP="00853E15">
      <w:pPr>
        <w:spacing w:before="20" w:after="20"/>
        <w:jc w:val="both"/>
        <w:rPr>
          <w:rFonts w:cs="Arial"/>
          <w:sz w:val="18"/>
          <w:szCs w:val="18"/>
        </w:rPr>
      </w:pPr>
      <w:r w:rsidRPr="001A209B">
        <w:rPr>
          <w:rFonts w:cs="Arial"/>
          <w:sz w:val="18"/>
          <w:szCs w:val="18"/>
        </w:rPr>
        <w:t xml:space="preserve">Our overall share position in Growth Markets was </w:t>
      </w:r>
      <w:r w:rsidR="00B4242B" w:rsidRPr="001A209B">
        <w:rPr>
          <w:rFonts w:cs="Arial"/>
          <w:sz w:val="18"/>
          <w:szCs w:val="18"/>
        </w:rPr>
        <w:t>slightly down</w:t>
      </w:r>
      <w:r w:rsidRPr="001A209B">
        <w:rPr>
          <w:rFonts w:cs="Arial"/>
          <w:sz w:val="18"/>
          <w:szCs w:val="18"/>
        </w:rPr>
        <w:t>, impacted by conditions in Russia. Excluding Russia our share was up.</w:t>
      </w:r>
    </w:p>
    <w:p w:rsidR="001502FF" w:rsidRPr="001A209B" w:rsidRDefault="001502FF" w:rsidP="00853E15">
      <w:pPr>
        <w:spacing w:before="20" w:after="20"/>
        <w:jc w:val="both"/>
        <w:rPr>
          <w:rFonts w:cs="Arial"/>
          <w:sz w:val="18"/>
          <w:szCs w:val="18"/>
        </w:rPr>
      </w:pPr>
    </w:p>
    <w:p w:rsidR="005D5FC1" w:rsidRPr="001A209B" w:rsidRDefault="002B2935" w:rsidP="00853E15">
      <w:pPr>
        <w:spacing w:before="20" w:after="20"/>
        <w:jc w:val="both"/>
        <w:rPr>
          <w:rFonts w:cs="Arial"/>
          <w:b/>
          <w:color w:val="A60D1F"/>
          <w:sz w:val="18"/>
          <w:szCs w:val="18"/>
        </w:rPr>
      </w:pPr>
      <w:r w:rsidRPr="001A209B">
        <w:rPr>
          <w:rFonts w:cs="Arial"/>
          <w:b/>
          <w:color w:val="A60D1F"/>
          <w:sz w:val="18"/>
          <w:szCs w:val="18"/>
        </w:rPr>
        <w:t xml:space="preserve">Resilience </w:t>
      </w:r>
      <w:r w:rsidR="005D5FC1" w:rsidRPr="001A209B">
        <w:rPr>
          <w:rFonts w:cs="Arial"/>
          <w:b/>
          <w:color w:val="A60D1F"/>
          <w:sz w:val="18"/>
          <w:szCs w:val="18"/>
        </w:rPr>
        <w:t xml:space="preserve">in Returns Markets </w:t>
      </w:r>
    </w:p>
    <w:p w:rsidR="00D90996" w:rsidRPr="001A209B" w:rsidRDefault="00CA7749" w:rsidP="00853E15">
      <w:pPr>
        <w:spacing w:before="20" w:after="20"/>
        <w:jc w:val="both"/>
        <w:rPr>
          <w:rFonts w:cs="Arial"/>
          <w:sz w:val="18"/>
          <w:szCs w:val="18"/>
        </w:rPr>
      </w:pPr>
      <w:r w:rsidRPr="001A209B">
        <w:rPr>
          <w:rFonts w:cs="Arial"/>
          <w:sz w:val="18"/>
          <w:szCs w:val="18"/>
        </w:rPr>
        <w:t>Dividing our</w:t>
      </w:r>
      <w:r w:rsidR="005D5FC1" w:rsidRPr="001A209B">
        <w:rPr>
          <w:rFonts w:cs="Arial"/>
          <w:sz w:val="18"/>
          <w:szCs w:val="18"/>
        </w:rPr>
        <w:t xml:space="preserve"> Returns Markets into </w:t>
      </w:r>
      <w:r w:rsidRPr="001A209B">
        <w:rPr>
          <w:rFonts w:cs="Arial"/>
          <w:sz w:val="18"/>
          <w:szCs w:val="18"/>
        </w:rPr>
        <w:t>North and South</w:t>
      </w:r>
      <w:r w:rsidR="005D5FC1" w:rsidRPr="001A209B">
        <w:rPr>
          <w:rFonts w:cs="Arial"/>
          <w:sz w:val="18"/>
          <w:szCs w:val="18"/>
        </w:rPr>
        <w:t xml:space="preserve"> </w:t>
      </w:r>
      <w:r w:rsidRPr="001A209B">
        <w:rPr>
          <w:rFonts w:cs="Arial"/>
          <w:sz w:val="18"/>
          <w:szCs w:val="18"/>
        </w:rPr>
        <w:t>enables us to</w:t>
      </w:r>
      <w:r w:rsidR="005D5FC1" w:rsidRPr="001A209B">
        <w:rPr>
          <w:rFonts w:cs="Arial"/>
          <w:sz w:val="18"/>
          <w:szCs w:val="18"/>
        </w:rPr>
        <w:t xml:space="preserve"> better manage</w:t>
      </w:r>
      <w:r w:rsidR="00D90996" w:rsidRPr="001A209B">
        <w:rPr>
          <w:rFonts w:cs="Arial"/>
          <w:sz w:val="18"/>
          <w:szCs w:val="18"/>
        </w:rPr>
        <w:t xml:space="preserve"> these significant profit pools. Trading remain</w:t>
      </w:r>
      <w:r w:rsidR="006005C7" w:rsidRPr="001A209B">
        <w:rPr>
          <w:rFonts w:cs="Arial"/>
          <w:sz w:val="18"/>
          <w:szCs w:val="18"/>
        </w:rPr>
        <w:t>s</w:t>
      </w:r>
      <w:r w:rsidRPr="001A209B">
        <w:rPr>
          <w:rFonts w:cs="Arial"/>
          <w:sz w:val="18"/>
          <w:szCs w:val="18"/>
        </w:rPr>
        <w:t xml:space="preserve"> challenging in </w:t>
      </w:r>
      <w:r w:rsidR="00B30D12" w:rsidRPr="001A209B">
        <w:rPr>
          <w:rFonts w:cs="Arial"/>
          <w:sz w:val="18"/>
          <w:szCs w:val="18"/>
        </w:rPr>
        <w:t>a number</w:t>
      </w:r>
      <w:r w:rsidRPr="001A209B">
        <w:rPr>
          <w:rFonts w:cs="Arial"/>
          <w:sz w:val="18"/>
          <w:szCs w:val="18"/>
        </w:rPr>
        <w:t xml:space="preserve"> </w:t>
      </w:r>
      <w:r w:rsidR="00FC704E" w:rsidRPr="001A209B">
        <w:rPr>
          <w:rFonts w:cs="Arial"/>
          <w:sz w:val="18"/>
          <w:szCs w:val="18"/>
        </w:rPr>
        <w:t>of these markets, particularly in Returns South</w:t>
      </w:r>
      <w:r w:rsidR="00B30D12" w:rsidRPr="001A209B">
        <w:rPr>
          <w:rFonts w:cs="Arial"/>
          <w:sz w:val="18"/>
          <w:szCs w:val="18"/>
        </w:rPr>
        <w:t xml:space="preserve"> </w:t>
      </w:r>
      <w:r w:rsidR="00DF7FAE" w:rsidRPr="001A209B">
        <w:rPr>
          <w:rFonts w:cs="Arial"/>
          <w:sz w:val="18"/>
          <w:szCs w:val="18"/>
        </w:rPr>
        <w:t>as a result of</w:t>
      </w:r>
      <w:r w:rsidR="005E7A5F" w:rsidRPr="001A209B">
        <w:rPr>
          <w:rFonts w:cs="Arial"/>
          <w:sz w:val="18"/>
          <w:szCs w:val="18"/>
        </w:rPr>
        <w:t xml:space="preserve"> difficult economic conditions </w:t>
      </w:r>
      <w:r w:rsidR="00D90996" w:rsidRPr="001A209B">
        <w:rPr>
          <w:rFonts w:cs="Arial"/>
          <w:sz w:val="18"/>
          <w:szCs w:val="18"/>
        </w:rPr>
        <w:t xml:space="preserve">and </w:t>
      </w:r>
      <w:r w:rsidR="00B4242B" w:rsidRPr="001A209B">
        <w:rPr>
          <w:rFonts w:cs="Arial"/>
          <w:sz w:val="18"/>
          <w:szCs w:val="18"/>
        </w:rPr>
        <w:t>illicit trade</w:t>
      </w:r>
      <w:r w:rsidR="005E7A5F" w:rsidRPr="001A209B">
        <w:rPr>
          <w:rFonts w:cs="Arial"/>
          <w:sz w:val="18"/>
          <w:szCs w:val="18"/>
        </w:rPr>
        <w:t xml:space="preserve"> </w:t>
      </w:r>
      <w:r w:rsidR="00DF7FAE" w:rsidRPr="001A209B">
        <w:rPr>
          <w:rFonts w:cs="Arial"/>
          <w:sz w:val="18"/>
          <w:szCs w:val="18"/>
        </w:rPr>
        <w:t xml:space="preserve">which </w:t>
      </w:r>
      <w:r w:rsidR="00B4242B" w:rsidRPr="001A209B">
        <w:rPr>
          <w:rFonts w:cs="Arial"/>
          <w:sz w:val="18"/>
          <w:szCs w:val="18"/>
        </w:rPr>
        <w:t>are l</w:t>
      </w:r>
      <w:r w:rsidR="005E7A5F" w:rsidRPr="001A209B">
        <w:rPr>
          <w:rFonts w:cs="Arial"/>
          <w:sz w:val="18"/>
          <w:szCs w:val="18"/>
        </w:rPr>
        <w:t>eading to industry volume declines.</w:t>
      </w:r>
    </w:p>
    <w:p w:rsidR="00D90996" w:rsidRPr="001A209B" w:rsidRDefault="00D90996" w:rsidP="00853E15">
      <w:pPr>
        <w:spacing w:before="20" w:after="20"/>
        <w:jc w:val="both"/>
        <w:rPr>
          <w:rFonts w:cs="Arial"/>
          <w:sz w:val="18"/>
          <w:szCs w:val="18"/>
        </w:rPr>
      </w:pPr>
    </w:p>
    <w:p w:rsidR="00D90996" w:rsidRPr="001A209B" w:rsidRDefault="00DF7FAE" w:rsidP="00853E15">
      <w:pPr>
        <w:spacing w:before="20" w:after="20"/>
        <w:jc w:val="both"/>
        <w:rPr>
          <w:rFonts w:cs="Arial"/>
          <w:sz w:val="18"/>
          <w:szCs w:val="18"/>
        </w:rPr>
      </w:pPr>
      <w:r w:rsidRPr="001A209B">
        <w:rPr>
          <w:rFonts w:cs="Arial"/>
          <w:sz w:val="18"/>
          <w:szCs w:val="18"/>
        </w:rPr>
        <w:t>Against this backdrop</w:t>
      </w:r>
      <w:r w:rsidR="000342CC" w:rsidRPr="001A209B">
        <w:rPr>
          <w:rFonts w:cs="Arial"/>
          <w:sz w:val="18"/>
          <w:szCs w:val="18"/>
        </w:rPr>
        <w:t xml:space="preserve"> we</w:t>
      </w:r>
      <w:r w:rsidR="00842AE6" w:rsidRPr="001A209B">
        <w:rPr>
          <w:rFonts w:cs="Arial"/>
          <w:sz w:val="18"/>
          <w:szCs w:val="18"/>
        </w:rPr>
        <w:t xml:space="preserve"> </w:t>
      </w:r>
      <w:r w:rsidR="009D4942" w:rsidRPr="001A209B">
        <w:rPr>
          <w:rFonts w:cs="Arial"/>
          <w:sz w:val="18"/>
          <w:szCs w:val="18"/>
        </w:rPr>
        <w:t>are demonstrating greater resilience in Returns Markets, maintaining profits and improving the quality of our growth</w:t>
      </w:r>
      <w:r w:rsidR="00D07F22" w:rsidRPr="001A209B">
        <w:rPr>
          <w:rFonts w:cs="Arial"/>
          <w:sz w:val="18"/>
          <w:szCs w:val="18"/>
        </w:rPr>
        <w:t xml:space="preserve"> through further gains from our </w:t>
      </w:r>
      <w:r w:rsidR="009D4942" w:rsidRPr="001A209B">
        <w:rPr>
          <w:rFonts w:cs="Arial"/>
          <w:sz w:val="18"/>
          <w:szCs w:val="18"/>
        </w:rPr>
        <w:t>Growth Brands. Results in</w:t>
      </w:r>
      <w:r w:rsidRPr="001A209B">
        <w:rPr>
          <w:rFonts w:cs="Arial"/>
          <w:sz w:val="18"/>
          <w:szCs w:val="18"/>
        </w:rPr>
        <w:t xml:space="preserve"> </w:t>
      </w:r>
      <w:r w:rsidR="009D4942" w:rsidRPr="001A209B">
        <w:rPr>
          <w:rFonts w:cs="Arial"/>
          <w:sz w:val="18"/>
          <w:szCs w:val="18"/>
        </w:rPr>
        <w:t>Germany and Australia were particularly strong</w:t>
      </w:r>
      <w:r w:rsidR="00D07F22" w:rsidRPr="001A209B">
        <w:rPr>
          <w:rFonts w:cs="Arial"/>
          <w:sz w:val="18"/>
          <w:szCs w:val="18"/>
        </w:rPr>
        <w:t xml:space="preserve"> in Returns North, </w:t>
      </w:r>
      <w:r w:rsidR="00FC704E" w:rsidRPr="001A209B">
        <w:rPr>
          <w:rFonts w:cs="Arial"/>
          <w:bCs/>
          <w:sz w:val="18"/>
          <w:szCs w:val="18"/>
        </w:rPr>
        <w:t>mitigating</w:t>
      </w:r>
      <w:r w:rsidR="005D5FC1" w:rsidRPr="001A209B">
        <w:rPr>
          <w:rFonts w:cs="Arial"/>
          <w:bCs/>
          <w:sz w:val="18"/>
          <w:szCs w:val="18"/>
        </w:rPr>
        <w:t xml:space="preserve"> the impact of </w:t>
      </w:r>
      <w:r w:rsidR="005B39FD" w:rsidRPr="001A209B">
        <w:rPr>
          <w:rFonts w:cs="Arial"/>
          <w:bCs/>
          <w:sz w:val="18"/>
          <w:szCs w:val="18"/>
        </w:rPr>
        <w:t xml:space="preserve">weakness </w:t>
      </w:r>
      <w:r w:rsidR="005D5FC1" w:rsidRPr="001A209B">
        <w:rPr>
          <w:rFonts w:cs="Arial"/>
          <w:bCs/>
          <w:sz w:val="18"/>
          <w:szCs w:val="18"/>
        </w:rPr>
        <w:t xml:space="preserve">in Morocco, France and Spain in Returns South. </w:t>
      </w:r>
    </w:p>
    <w:p w:rsidR="00D90996" w:rsidRPr="001A209B" w:rsidRDefault="00D90996" w:rsidP="00853E15">
      <w:pPr>
        <w:spacing w:before="20" w:after="20"/>
        <w:jc w:val="both"/>
        <w:rPr>
          <w:rFonts w:cs="Arial"/>
          <w:bCs/>
          <w:sz w:val="18"/>
          <w:szCs w:val="18"/>
        </w:rPr>
      </w:pPr>
    </w:p>
    <w:p w:rsidR="005D5FC1" w:rsidRPr="001A209B" w:rsidRDefault="00024E93" w:rsidP="00853E15">
      <w:pPr>
        <w:spacing w:before="20" w:after="20"/>
        <w:jc w:val="both"/>
        <w:rPr>
          <w:rFonts w:cs="Arial"/>
          <w:sz w:val="18"/>
          <w:szCs w:val="18"/>
        </w:rPr>
      </w:pPr>
      <w:r w:rsidRPr="001A209B">
        <w:rPr>
          <w:rFonts w:cs="Arial"/>
          <w:sz w:val="18"/>
          <w:szCs w:val="18"/>
        </w:rPr>
        <w:t xml:space="preserve">Our share across </w:t>
      </w:r>
      <w:r w:rsidR="005D5FC1" w:rsidRPr="001A209B">
        <w:rPr>
          <w:rFonts w:cs="Arial"/>
          <w:sz w:val="18"/>
          <w:szCs w:val="18"/>
        </w:rPr>
        <w:t xml:space="preserve">Returns Markets was </w:t>
      </w:r>
      <w:r w:rsidR="00F14F23" w:rsidRPr="001A209B">
        <w:rPr>
          <w:rFonts w:cs="Arial"/>
          <w:sz w:val="18"/>
          <w:szCs w:val="18"/>
        </w:rPr>
        <w:t>2</w:t>
      </w:r>
      <w:r w:rsidR="00A52EC2" w:rsidRPr="001A209B">
        <w:rPr>
          <w:rFonts w:cs="Arial"/>
          <w:sz w:val="18"/>
          <w:szCs w:val="18"/>
        </w:rPr>
        <w:t>6.8</w:t>
      </w:r>
      <w:r w:rsidR="00F14F23" w:rsidRPr="001A209B">
        <w:rPr>
          <w:rFonts w:cs="Arial"/>
          <w:sz w:val="18"/>
          <w:szCs w:val="18"/>
        </w:rPr>
        <w:t xml:space="preserve"> </w:t>
      </w:r>
      <w:r w:rsidR="005D5FC1" w:rsidRPr="001A209B">
        <w:rPr>
          <w:rFonts w:cs="Arial"/>
          <w:sz w:val="18"/>
          <w:szCs w:val="18"/>
        </w:rPr>
        <w:t xml:space="preserve">per cent compared to </w:t>
      </w:r>
      <w:r w:rsidRPr="001A209B">
        <w:rPr>
          <w:rFonts w:cs="Arial"/>
          <w:sz w:val="18"/>
          <w:szCs w:val="18"/>
        </w:rPr>
        <w:t>2</w:t>
      </w:r>
      <w:r w:rsidR="00A52EC2" w:rsidRPr="001A209B">
        <w:rPr>
          <w:rFonts w:cs="Arial"/>
          <w:sz w:val="18"/>
          <w:szCs w:val="18"/>
        </w:rPr>
        <w:t>7.7</w:t>
      </w:r>
      <w:r w:rsidR="00DF7FAE" w:rsidRPr="001A209B">
        <w:rPr>
          <w:rFonts w:cs="Arial"/>
          <w:sz w:val="18"/>
          <w:szCs w:val="18"/>
        </w:rPr>
        <w:t xml:space="preserve"> per cent last year</w:t>
      </w:r>
      <w:r w:rsidR="005D5FC1" w:rsidRPr="001A209B">
        <w:rPr>
          <w:rFonts w:cs="Arial"/>
          <w:sz w:val="18"/>
          <w:szCs w:val="18"/>
        </w:rPr>
        <w:t xml:space="preserve"> </w:t>
      </w:r>
      <w:r w:rsidR="005B39FD" w:rsidRPr="001A209B">
        <w:rPr>
          <w:rFonts w:cs="Arial"/>
          <w:sz w:val="18"/>
          <w:szCs w:val="18"/>
        </w:rPr>
        <w:t>reflecting</w:t>
      </w:r>
      <w:r w:rsidR="00842AE6" w:rsidRPr="001A209B">
        <w:rPr>
          <w:rFonts w:cs="Arial"/>
          <w:sz w:val="18"/>
          <w:szCs w:val="18"/>
        </w:rPr>
        <w:t xml:space="preserve"> industry </w:t>
      </w:r>
      <w:r w:rsidR="004C1821" w:rsidRPr="001A209B">
        <w:rPr>
          <w:rFonts w:cs="Arial"/>
          <w:sz w:val="18"/>
          <w:szCs w:val="18"/>
        </w:rPr>
        <w:t xml:space="preserve">cigarette </w:t>
      </w:r>
      <w:r w:rsidR="00842AE6" w:rsidRPr="001A209B">
        <w:rPr>
          <w:rFonts w:cs="Arial"/>
          <w:sz w:val="18"/>
          <w:szCs w:val="18"/>
        </w:rPr>
        <w:t>volumes</w:t>
      </w:r>
      <w:r w:rsidR="005D5FC1" w:rsidRPr="001A209B">
        <w:rPr>
          <w:rFonts w:cs="Arial"/>
          <w:sz w:val="18"/>
          <w:szCs w:val="18"/>
        </w:rPr>
        <w:t xml:space="preserve"> </w:t>
      </w:r>
      <w:r w:rsidR="005B39FD" w:rsidRPr="001A209B">
        <w:rPr>
          <w:rFonts w:cs="Arial"/>
          <w:sz w:val="18"/>
          <w:szCs w:val="18"/>
        </w:rPr>
        <w:t xml:space="preserve">declines </w:t>
      </w:r>
      <w:r w:rsidR="005D5FC1" w:rsidRPr="001A209B">
        <w:rPr>
          <w:rFonts w:cs="Arial"/>
          <w:sz w:val="18"/>
          <w:szCs w:val="18"/>
        </w:rPr>
        <w:t xml:space="preserve">in </w:t>
      </w:r>
      <w:r w:rsidR="004C1821" w:rsidRPr="001A209B">
        <w:rPr>
          <w:rFonts w:cs="Arial"/>
          <w:sz w:val="18"/>
          <w:szCs w:val="18"/>
        </w:rPr>
        <w:t xml:space="preserve">large markets like </w:t>
      </w:r>
      <w:r w:rsidR="00DF7FAE" w:rsidRPr="001A209B">
        <w:rPr>
          <w:rFonts w:cs="Arial"/>
          <w:sz w:val="18"/>
          <w:szCs w:val="18"/>
        </w:rPr>
        <w:t>the UK</w:t>
      </w:r>
      <w:r w:rsidR="00587D0D" w:rsidRPr="001A209B">
        <w:rPr>
          <w:rFonts w:cs="Arial"/>
          <w:sz w:val="18"/>
          <w:szCs w:val="18"/>
        </w:rPr>
        <w:t xml:space="preserve"> and </w:t>
      </w:r>
      <w:r w:rsidR="005D5FC1" w:rsidRPr="001A209B">
        <w:rPr>
          <w:rFonts w:cs="Arial"/>
          <w:sz w:val="18"/>
          <w:szCs w:val="18"/>
        </w:rPr>
        <w:t>S</w:t>
      </w:r>
      <w:r w:rsidR="00DF7FAE" w:rsidRPr="001A209B">
        <w:rPr>
          <w:rFonts w:cs="Arial"/>
          <w:sz w:val="18"/>
          <w:szCs w:val="18"/>
        </w:rPr>
        <w:t>pain</w:t>
      </w:r>
      <w:r w:rsidR="004C1821" w:rsidRPr="001A209B">
        <w:rPr>
          <w:rFonts w:cs="Arial"/>
          <w:sz w:val="18"/>
          <w:szCs w:val="18"/>
        </w:rPr>
        <w:t xml:space="preserve"> </w:t>
      </w:r>
      <w:r w:rsidR="005D5FC1" w:rsidRPr="001A209B">
        <w:rPr>
          <w:rFonts w:cs="Arial"/>
          <w:sz w:val="18"/>
          <w:szCs w:val="18"/>
        </w:rPr>
        <w:t xml:space="preserve">where </w:t>
      </w:r>
      <w:r w:rsidR="003A525F" w:rsidRPr="001A209B">
        <w:rPr>
          <w:rFonts w:cs="Arial"/>
          <w:sz w:val="18"/>
          <w:szCs w:val="18"/>
        </w:rPr>
        <w:t xml:space="preserve">we have </w:t>
      </w:r>
      <w:r w:rsidR="005D5FC1" w:rsidRPr="001A209B">
        <w:rPr>
          <w:rFonts w:cs="Arial"/>
          <w:sz w:val="18"/>
          <w:szCs w:val="18"/>
        </w:rPr>
        <w:t xml:space="preserve">higher </w:t>
      </w:r>
      <w:r w:rsidR="003A525F" w:rsidRPr="001A209B">
        <w:rPr>
          <w:rFonts w:cs="Arial"/>
          <w:sz w:val="18"/>
          <w:szCs w:val="18"/>
        </w:rPr>
        <w:t xml:space="preserve">share </w:t>
      </w:r>
      <w:r w:rsidR="005D5FC1" w:rsidRPr="001A209B">
        <w:rPr>
          <w:rFonts w:cs="Arial"/>
          <w:sz w:val="18"/>
          <w:szCs w:val="18"/>
        </w:rPr>
        <w:t xml:space="preserve">than </w:t>
      </w:r>
      <w:r w:rsidR="003A525F" w:rsidRPr="001A209B">
        <w:rPr>
          <w:rFonts w:cs="Arial"/>
          <w:sz w:val="18"/>
          <w:szCs w:val="18"/>
        </w:rPr>
        <w:t xml:space="preserve">in other </w:t>
      </w:r>
      <w:r w:rsidR="005D5FC1" w:rsidRPr="001A209B">
        <w:rPr>
          <w:rFonts w:cs="Arial"/>
          <w:sz w:val="18"/>
          <w:szCs w:val="18"/>
        </w:rPr>
        <w:t>Returns Markets.</w:t>
      </w:r>
      <w:r w:rsidR="00F6360F" w:rsidRPr="001A209B">
        <w:rPr>
          <w:rFonts w:cs="Arial"/>
          <w:sz w:val="18"/>
          <w:szCs w:val="18"/>
        </w:rPr>
        <w:t xml:space="preserve"> </w:t>
      </w:r>
    </w:p>
    <w:p w:rsidR="00DF7FAE" w:rsidRPr="001A209B" w:rsidRDefault="00DF7FAE" w:rsidP="00853E15">
      <w:pPr>
        <w:spacing w:before="20" w:after="20"/>
        <w:jc w:val="both"/>
        <w:rPr>
          <w:rFonts w:cs="Arial"/>
          <w:sz w:val="18"/>
          <w:szCs w:val="18"/>
        </w:rPr>
      </w:pPr>
    </w:p>
    <w:p w:rsidR="005D5FC1" w:rsidRPr="001A209B" w:rsidRDefault="008868CF" w:rsidP="00853E15">
      <w:pPr>
        <w:spacing w:before="20" w:after="20"/>
        <w:jc w:val="both"/>
        <w:rPr>
          <w:rFonts w:cs="Arial"/>
          <w:sz w:val="18"/>
          <w:szCs w:val="18"/>
        </w:rPr>
      </w:pPr>
      <w:r w:rsidRPr="001A209B">
        <w:rPr>
          <w:rFonts w:cs="Arial"/>
          <w:sz w:val="18"/>
          <w:szCs w:val="18"/>
        </w:rPr>
        <w:t>We grew net revenue per thousand stick equivalents by</w:t>
      </w:r>
      <w:r w:rsidR="00A52EC2" w:rsidRPr="001A209B">
        <w:rPr>
          <w:rFonts w:cs="Arial"/>
          <w:sz w:val="18"/>
          <w:szCs w:val="18"/>
        </w:rPr>
        <w:t xml:space="preserve"> </w:t>
      </w:r>
      <w:r w:rsidR="00C50BC3" w:rsidRPr="001A209B">
        <w:rPr>
          <w:rFonts w:cs="Arial"/>
          <w:sz w:val="18"/>
          <w:szCs w:val="18"/>
        </w:rPr>
        <w:t>5</w:t>
      </w:r>
      <w:r w:rsidR="005B39FD" w:rsidRPr="001A209B">
        <w:rPr>
          <w:rFonts w:cs="Arial"/>
          <w:sz w:val="18"/>
          <w:szCs w:val="18"/>
        </w:rPr>
        <w:t xml:space="preserve"> per cent. A</w:t>
      </w:r>
      <w:r w:rsidR="005D5FC1" w:rsidRPr="001A209B">
        <w:rPr>
          <w:rFonts w:cs="Arial"/>
          <w:sz w:val="18"/>
          <w:szCs w:val="18"/>
        </w:rPr>
        <w:t xml:space="preserve">djusted operating profit </w:t>
      </w:r>
      <w:r w:rsidR="00BF2AC2" w:rsidRPr="001A209B">
        <w:rPr>
          <w:rFonts w:cs="Arial"/>
          <w:sz w:val="18"/>
          <w:szCs w:val="18"/>
        </w:rPr>
        <w:t xml:space="preserve">was </w:t>
      </w:r>
      <w:r w:rsidR="00D07F22" w:rsidRPr="001A209B">
        <w:rPr>
          <w:rFonts w:cs="Arial"/>
          <w:sz w:val="18"/>
          <w:szCs w:val="18"/>
        </w:rPr>
        <w:t>stable</w:t>
      </w:r>
      <w:r w:rsidR="005D5FC1" w:rsidRPr="001A209B">
        <w:rPr>
          <w:rFonts w:cs="Arial"/>
          <w:sz w:val="18"/>
          <w:szCs w:val="18"/>
        </w:rPr>
        <w:t xml:space="preserve">, a </w:t>
      </w:r>
      <w:r w:rsidR="005B39FD" w:rsidRPr="001A209B">
        <w:rPr>
          <w:rFonts w:cs="Arial"/>
          <w:bCs/>
          <w:sz w:val="18"/>
          <w:szCs w:val="18"/>
        </w:rPr>
        <w:t>robust</w:t>
      </w:r>
      <w:r w:rsidR="00F97C7D" w:rsidRPr="001A209B">
        <w:rPr>
          <w:rFonts w:cs="Arial"/>
          <w:sz w:val="18"/>
          <w:szCs w:val="18"/>
        </w:rPr>
        <w:t xml:space="preserve"> </w:t>
      </w:r>
      <w:r w:rsidR="005D5FC1" w:rsidRPr="001A209B">
        <w:rPr>
          <w:rFonts w:cs="Arial"/>
          <w:sz w:val="18"/>
          <w:szCs w:val="18"/>
        </w:rPr>
        <w:t xml:space="preserve">result given the pressures in Returns South. Growth Brands generated </w:t>
      </w:r>
      <w:r w:rsidR="008F0C3B" w:rsidRPr="001A209B">
        <w:rPr>
          <w:rFonts w:cs="Arial"/>
          <w:sz w:val="18"/>
          <w:szCs w:val="18"/>
        </w:rPr>
        <w:t>41.3</w:t>
      </w:r>
      <w:r w:rsidR="005D5FC1" w:rsidRPr="001A209B">
        <w:rPr>
          <w:rFonts w:cs="Arial"/>
          <w:sz w:val="18"/>
          <w:szCs w:val="18"/>
        </w:rPr>
        <w:t xml:space="preserve"> per cent of tobacco net revenue</w:t>
      </w:r>
      <w:r w:rsidR="00707940" w:rsidRPr="001A209B">
        <w:rPr>
          <w:rFonts w:cs="Arial"/>
          <w:sz w:val="18"/>
          <w:szCs w:val="18"/>
        </w:rPr>
        <w:t xml:space="preserve"> in Returns Markets</w:t>
      </w:r>
      <w:r w:rsidR="005D5FC1" w:rsidRPr="001A209B">
        <w:rPr>
          <w:rFonts w:cs="Arial"/>
          <w:sz w:val="18"/>
          <w:szCs w:val="18"/>
        </w:rPr>
        <w:t xml:space="preserve">, up by </w:t>
      </w:r>
      <w:r w:rsidR="008F0C3B" w:rsidRPr="001A209B">
        <w:rPr>
          <w:rFonts w:cs="Arial"/>
          <w:sz w:val="18"/>
          <w:szCs w:val="18"/>
        </w:rPr>
        <w:t>200</w:t>
      </w:r>
      <w:r w:rsidR="00D76958" w:rsidRPr="001A209B">
        <w:rPr>
          <w:rFonts w:cs="Arial"/>
          <w:sz w:val="18"/>
          <w:szCs w:val="18"/>
        </w:rPr>
        <w:t xml:space="preserve"> basis points.</w:t>
      </w:r>
    </w:p>
    <w:p w:rsidR="00024E93" w:rsidRPr="001A209B" w:rsidRDefault="00024E93" w:rsidP="00853E15">
      <w:pPr>
        <w:spacing w:before="20" w:after="20"/>
        <w:jc w:val="both"/>
        <w:rPr>
          <w:rFonts w:cs="Arial"/>
          <w:sz w:val="18"/>
          <w:szCs w:val="18"/>
        </w:rPr>
      </w:pPr>
    </w:p>
    <w:p w:rsidR="00024E93" w:rsidRPr="001A209B" w:rsidRDefault="00024E93" w:rsidP="00853E15">
      <w:pPr>
        <w:spacing w:before="20" w:after="20"/>
        <w:jc w:val="both"/>
        <w:rPr>
          <w:rFonts w:cs="Arial"/>
          <w:b/>
          <w:color w:val="A60D1F"/>
          <w:sz w:val="18"/>
          <w:szCs w:val="18"/>
        </w:rPr>
      </w:pPr>
      <w:r w:rsidRPr="001A209B">
        <w:rPr>
          <w:rFonts w:cs="Arial"/>
          <w:b/>
          <w:color w:val="A60D1F"/>
          <w:sz w:val="18"/>
          <w:szCs w:val="18"/>
        </w:rPr>
        <w:t>Fontem Ventures</w:t>
      </w:r>
      <w:r w:rsidR="00CD7A76" w:rsidRPr="001A209B">
        <w:rPr>
          <w:rFonts w:cs="Arial"/>
          <w:b/>
          <w:color w:val="A60D1F"/>
          <w:sz w:val="18"/>
          <w:szCs w:val="18"/>
        </w:rPr>
        <w:t xml:space="preserve"> </w:t>
      </w:r>
    </w:p>
    <w:p w:rsidR="009D6A67" w:rsidRPr="001A209B" w:rsidRDefault="00024E93" w:rsidP="00853E15">
      <w:pPr>
        <w:spacing w:before="20" w:after="20"/>
        <w:jc w:val="both"/>
        <w:rPr>
          <w:rFonts w:cs="Arial"/>
          <w:sz w:val="18"/>
          <w:szCs w:val="18"/>
        </w:rPr>
      </w:pPr>
      <w:r w:rsidRPr="001A209B">
        <w:rPr>
          <w:rFonts w:cs="Arial"/>
          <w:sz w:val="18"/>
          <w:szCs w:val="18"/>
        </w:rPr>
        <w:t>We’re developing opportunities for additional long-term revenue growth through our new standal</w:t>
      </w:r>
      <w:r w:rsidR="009D6A67" w:rsidRPr="001A209B">
        <w:rPr>
          <w:rFonts w:cs="Arial"/>
          <w:sz w:val="18"/>
          <w:szCs w:val="18"/>
        </w:rPr>
        <w:t>one subsidiary Fontem Ventures.</w:t>
      </w:r>
      <w:r w:rsidR="002211AB" w:rsidRPr="001A209B">
        <w:rPr>
          <w:rFonts w:cs="Arial"/>
          <w:sz w:val="18"/>
          <w:szCs w:val="18"/>
        </w:rPr>
        <w:t xml:space="preserve"> </w:t>
      </w:r>
      <w:r w:rsidRPr="001A209B">
        <w:rPr>
          <w:rFonts w:cs="Arial"/>
          <w:sz w:val="18"/>
          <w:szCs w:val="18"/>
        </w:rPr>
        <w:t xml:space="preserve">In February Fontem Ventures entered the rapidly growing </w:t>
      </w:r>
      <w:r w:rsidR="006B0075" w:rsidRPr="001A209B">
        <w:rPr>
          <w:rFonts w:cs="Arial"/>
          <w:sz w:val="18"/>
          <w:szCs w:val="18"/>
        </w:rPr>
        <w:t>e-vapour</w:t>
      </w:r>
      <w:r w:rsidRPr="001A209B">
        <w:rPr>
          <w:rFonts w:cs="Arial"/>
          <w:sz w:val="18"/>
          <w:szCs w:val="18"/>
        </w:rPr>
        <w:t xml:space="preserve"> sector with the UK launch of the Puritane </w:t>
      </w:r>
      <w:r w:rsidR="006B0075" w:rsidRPr="001A209B">
        <w:rPr>
          <w:rFonts w:cs="Arial"/>
          <w:sz w:val="18"/>
          <w:szCs w:val="18"/>
        </w:rPr>
        <w:t xml:space="preserve">e-cigarette </w:t>
      </w:r>
      <w:r w:rsidRPr="001A209B">
        <w:rPr>
          <w:rFonts w:cs="Arial"/>
          <w:sz w:val="18"/>
          <w:szCs w:val="18"/>
        </w:rPr>
        <w:t xml:space="preserve">brand. Puritane was developed </w:t>
      </w:r>
      <w:r w:rsidR="006B0075" w:rsidRPr="001A209B">
        <w:rPr>
          <w:rFonts w:cs="Arial"/>
          <w:sz w:val="18"/>
          <w:szCs w:val="18"/>
        </w:rPr>
        <w:t>in association with</w:t>
      </w:r>
      <w:r w:rsidRPr="001A209B">
        <w:rPr>
          <w:rFonts w:cs="Arial"/>
          <w:sz w:val="18"/>
          <w:szCs w:val="18"/>
        </w:rPr>
        <w:t xml:space="preserve"> Hon Lik, the acknowledged </w:t>
      </w:r>
      <w:r w:rsidR="002E3F10" w:rsidRPr="001A209B">
        <w:rPr>
          <w:rFonts w:cs="Arial"/>
          <w:sz w:val="18"/>
          <w:szCs w:val="18"/>
        </w:rPr>
        <w:t xml:space="preserve">inventor of the e-cigarette </w:t>
      </w:r>
      <w:r w:rsidR="006B0075" w:rsidRPr="001A209B">
        <w:rPr>
          <w:rFonts w:cs="Arial"/>
          <w:sz w:val="18"/>
          <w:szCs w:val="18"/>
        </w:rPr>
        <w:t xml:space="preserve">now </w:t>
      </w:r>
      <w:r w:rsidR="00CD7A76" w:rsidRPr="001A209B">
        <w:rPr>
          <w:rFonts w:cs="Arial"/>
          <w:sz w:val="18"/>
          <w:szCs w:val="18"/>
        </w:rPr>
        <w:t>working with</w:t>
      </w:r>
      <w:r w:rsidRPr="001A209B">
        <w:rPr>
          <w:rFonts w:cs="Arial"/>
          <w:sz w:val="18"/>
          <w:szCs w:val="18"/>
        </w:rPr>
        <w:t xml:space="preserve"> Fontem Ventures, </w:t>
      </w:r>
      <w:r w:rsidR="006B0075" w:rsidRPr="001A209B">
        <w:rPr>
          <w:rFonts w:cs="Arial"/>
          <w:sz w:val="18"/>
          <w:szCs w:val="18"/>
        </w:rPr>
        <w:t>and is being sold exclusively through the national retailer Boots.</w:t>
      </w:r>
      <w:r w:rsidR="005E7A5F" w:rsidRPr="001A209B">
        <w:rPr>
          <w:rFonts w:cs="Arial"/>
          <w:sz w:val="18"/>
          <w:szCs w:val="18"/>
        </w:rPr>
        <w:t xml:space="preserve"> </w:t>
      </w:r>
      <w:r w:rsidR="00F6360F" w:rsidRPr="001A209B">
        <w:rPr>
          <w:rFonts w:cs="Arial"/>
          <w:sz w:val="18"/>
          <w:szCs w:val="18"/>
        </w:rPr>
        <w:t xml:space="preserve">We continue to focus on </w:t>
      </w:r>
      <w:r w:rsidR="004707CD" w:rsidRPr="001A209B">
        <w:rPr>
          <w:rFonts w:cs="Arial"/>
          <w:sz w:val="18"/>
          <w:szCs w:val="18"/>
        </w:rPr>
        <w:t>further</w:t>
      </w:r>
      <w:r w:rsidR="00F6360F" w:rsidRPr="001A209B">
        <w:rPr>
          <w:rFonts w:cs="Arial"/>
          <w:sz w:val="18"/>
          <w:szCs w:val="18"/>
        </w:rPr>
        <w:t xml:space="preserve"> product launches, whilst further developing patented technologies.</w:t>
      </w:r>
      <w:r w:rsidR="00CD7A76" w:rsidRPr="001A209B">
        <w:rPr>
          <w:rFonts w:cs="Arial"/>
          <w:sz w:val="18"/>
          <w:szCs w:val="18"/>
        </w:rPr>
        <w:t xml:space="preserve"> </w:t>
      </w:r>
    </w:p>
    <w:p w:rsidR="004707CD" w:rsidRPr="001A209B" w:rsidRDefault="004707CD" w:rsidP="00853E15">
      <w:pPr>
        <w:spacing w:before="20" w:after="20"/>
        <w:jc w:val="both"/>
        <w:rPr>
          <w:rFonts w:cs="Arial"/>
          <w:sz w:val="18"/>
          <w:szCs w:val="18"/>
        </w:rPr>
      </w:pPr>
    </w:p>
    <w:p w:rsidR="00587D0D" w:rsidRPr="001A209B" w:rsidRDefault="005D5FC1" w:rsidP="00853E15">
      <w:pPr>
        <w:spacing w:before="20" w:after="20"/>
        <w:jc w:val="both"/>
        <w:rPr>
          <w:rFonts w:cs="Arial"/>
          <w:b/>
          <w:bCs/>
          <w:i/>
          <w:color w:val="A60D1F"/>
          <w:sz w:val="18"/>
          <w:szCs w:val="18"/>
        </w:rPr>
      </w:pPr>
      <w:r w:rsidRPr="001A209B">
        <w:rPr>
          <w:rFonts w:cs="Arial"/>
          <w:b/>
          <w:bCs/>
          <w:color w:val="A60D1F"/>
          <w:sz w:val="18"/>
          <w:szCs w:val="18"/>
        </w:rPr>
        <w:t xml:space="preserve">Logistics </w:t>
      </w:r>
    </w:p>
    <w:p w:rsidR="00123A6A" w:rsidRPr="001A209B" w:rsidRDefault="005D5FC1" w:rsidP="00853E15">
      <w:pPr>
        <w:spacing w:before="20" w:after="20"/>
        <w:jc w:val="both"/>
        <w:rPr>
          <w:rFonts w:cs="Arial"/>
          <w:sz w:val="18"/>
          <w:szCs w:val="18"/>
        </w:rPr>
      </w:pPr>
      <w:r w:rsidRPr="001A209B">
        <w:rPr>
          <w:rFonts w:cs="Arial"/>
          <w:sz w:val="18"/>
          <w:szCs w:val="18"/>
        </w:rPr>
        <w:t>Our logistics business</w:t>
      </w:r>
      <w:r w:rsidR="00842AE6" w:rsidRPr="001A209B">
        <w:rPr>
          <w:rFonts w:cs="Arial"/>
          <w:sz w:val="18"/>
          <w:szCs w:val="18"/>
        </w:rPr>
        <w:t xml:space="preserve"> Logista</w:t>
      </w:r>
      <w:r w:rsidR="00B9427C" w:rsidRPr="001A209B">
        <w:rPr>
          <w:rFonts w:cs="Arial"/>
          <w:sz w:val="18"/>
          <w:szCs w:val="18"/>
        </w:rPr>
        <w:t xml:space="preserve"> </w:t>
      </w:r>
      <w:r w:rsidR="000A7E22" w:rsidRPr="001A209B">
        <w:rPr>
          <w:rFonts w:cs="Arial"/>
          <w:sz w:val="18"/>
          <w:szCs w:val="18"/>
        </w:rPr>
        <w:t xml:space="preserve">is one of the largest of its kind in </w:t>
      </w:r>
      <w:r w:rsidR="00DE34C2" w:rsidRPr="001A209B">
        <w:rPr>
          <w:rFonts w:cs="Arial"/>
          <w:sz w:val="18"/>
          <w:szCs w:val="18"/>
        </w:rPr>
        <w:t>Europe, making more than 35</w:t>
      </w:r>
      <w:r w:rsidR="000A7E22" w:rsidRPr="001A209B">
        <w:rPr>
          <w:rFonts w:cs="Arial"/>
          <w:sz w:val="18"/>
          <w:szCs w:val="18"/>
        </w:rPr>
        <w:t xml:space="preserve"> million deliveries a year to 300,000 outlets across Spain, France, Italy, Portugal and Poland.</w:t>
      </w:r>
      <w:r w:rsidR="002211AB" w:rsidRPr="001A209B">
        <w:rPr>
          <w:rFonts w:cs="Arial"/>
          <w:sz w:val="18"/>
          <w:szCs w:val="18"/>
        </w:rPr>
        <w:t xml:space="preserve"> </w:t>
      </w:r>
      <w:r w:rsidR="000A7E22" w:rsidRPr="001A209B">
        <w:rPr>
          <w:rFonts w:cs="Arial"/>
          <w:sz w:val="18"/>
          <w:szCs w:val="18"/>
        </w:rPr>
        <w:t xml:space="preserve">The business has a long track record of value creation and </w:t>
      </w:r>
      <w:r w:rsidR="00DB24C5" w:rsidRPr="001A209B">
        <w:rPr>
          <w:rFonts w:cs="Arial"/>
          <w:sz w:val="18"/>
          <w:szCs w:val="18"/>
        </w:rPr>
        <w:t xml:space="preserve">delivered another </w:t>
      </w:r>
      <w:r w:rsidR="001C1924" w:rsidRPr="001A209B">
        <w:rPr>
          <w:rFonts w:cs="Arial"/>
          <w:sz w:val="18"/>
          <w:szCs w:val="18"/>
        </w:rPr>
        <w:t>good</w:t>
      </w:r>
      <w:r w:rsidR="00842AE6" w:rsidRPr="001A209B">
        <w:rPr>
          <w:rFonts w:cs="Arial"/>
          <w:sz w:val="18"/>
          <w:szCs w:val="18"/>
        </w:rPr>
        <w:t xml:space="preserve"> </w:t>
      </w:r>
      <w:r w:rsidR="00DB24C5" w:rsidRPr="001A209B">
        <w:rPr>
          <w:rFonts w:cs="Arial"/>
          <w:sz w:val="18"/>
          <w:szCs w:val="18"/>
        </w:rPr>
        <w:t>performance</w:t>
      </w:r>
      <w:r w:rsidR="006B0075" w:rsidRPr="001A209B">
        <w:rPr>
          <w:rFonts w:cs="Arial"/>
          <w:sz w:val="18"/>
          <w:szCs w:val="18"/>
        </w:rPr>
        <w:t xml:space="preserve"> in a challenging </w:t>
      </w:r>
      <w:r w:rsidR="00842AE6" w:rsidRPr="001A209B">
        <w:rPr>
          <w:rFonts w:cs="Arial"/>
          <w:sz w:val="18"/>
          <w:szCs w:val="18"/>
        </w:rPr>
        <w:t xml:space="preserve">trading </w:t>
      </w:r>
      <w:r w:rsidR="006B0075" w:rsidRPr="001A209B">
        <w:rPr>
          <w:rFonts w:cs="Arial"/>
          <w:sz w:val="18"/>
          <w:szCs w:val="18"/>
        </w:rPr>
        <w:t>environment</w:t>
      </w:r>
      <w:r w:rsidR="000A7E22" w:rsidRPr="001A209B">
        <w:rPr>
          <w:rFonts w:cs="Arial"/>
          <w:sz w:val="18"/>
          <w:szCs w:val="18"/>
        </w:rPr>
        <w:t>.</w:t>
      </w:r>
      <w:r w:rsidR="00DB24C5" w:rsidRPr="001A209B">
        <w:rPr>
          <w:rFonts w:cs="Arial"/>
          <w:sz w:val="18"/>
          <w:szCs w:val="18"/>
        </w:rPr>
        <w:t xml:space="preserve"> </w:t>
      </w:r>
    </w:p>
    <w:p w:rsidR="005A7F27" w:rsidRPr="001A209B" w:rsidRDefault="005A7F27" w:rsidP="00853E15">
      <w:pPr>
        <w:spacing w:before="20" w:after="20"/>
        <w:jc w:val="both"/>
        <w:rPr>
          <w:rFonts w:cs="Arial"/>
          <w:sz w:val="18"/>
          <w:szCs w:val="18"/>
        </w:rPr>
      </w:pPr>
    </w:p>
    <w:p w:rsidR="005A7F27" w:rsidRPr="001A209B" w:rsidRDefault="005A7F27" w:rsidP="00853E15">
      <w:pPr>
        <w:spacing w:before="20" w:after="20"/>
        <w:jc w:val="both"/>
        <w:rPr>
          <w:rFonts w:cs="Arial"/>
          <w:sz w:val="18"/>
          <w:szCs w:val="18"/>
        </w:rPr>
      </w:pPr>
      <w:r w:rsidRPr="001A209B">
        <w:rPr>
          <w:rFonts w:cs="Arial"/>
          <w:sz w:val="18"/>
          <w:szCs w:val="18"/>
        </w:rPr>
        <w:t xml:space="preserve">In tobacco logistics cost saving initiatives and </w:t>
      </w:r>
      <w:r w:rsidR="002E3F10" w:rsidRPr="001A209B">
        <w:rPr>
          <w:rFonts w:cs="Arial"/>
          <w:sz w:val="18"/>
          <w:szCs w:val="18"/>
        </w:rPr>
        <w:t xml:space="preserve">distribution </w:t>
      </w:r>
      <w:r w:rsidRPr="001A209B">
        <w:rPr>
          <w:rFonts w:cs="Arial"/>
          <w:sz w:val="18"/>
          <w:szCs w:val="18"/>
        </w:rPr>
        <w:t>fee increases offset lower tobacco volumes. In non-tobacco logistics there were good results in a number of areas including transport, and wholesale.</w:t>
      </w:r>
    </w:p>
    <w:p w:rsidR="003A525F" w:rsidRPr="001A209B" w:rsidRDefault="003A525F" w:rsidP="00853E15">
      <w:pPr>
        <w:spacing w:before="20" w:after="20"/>
        <w:jc w:val="both"/>
        <w:rPr>
          <w:rFonts w:cs="Arial"/>
          <w:sz w:val="18"/>
          <w:szCs w:val="18"/>
        </w:rPr>
      </w:pPr>
    </w:p>
    <w:p w:rsidR="003A525F" w:rsidRPr="001A209B" w:rsidRDefault="005A7F27" w:rsidP="003A525F">
      <w:pPr>
        <w:spacing w:before="20" w:after="20"/>
        <w:jc w:val="both"/>
        <w:rPr>
          <w:rFonts w:cs="Arial"/>
          <w:sz w:val="18"/>
          <w:szCs w:val="18"/>
        </w:rPr>
      </w:pPr>
      <w:r w:rsidRPr="001A209B">
        <w:rPr>
          <w:rFonts w:cs="Arial"/>
          <w:sz w:val="18"/>
          <w:szCs w:val="18"/>
        </w:rPr>
        <w:t>Overall, d</w:t>
      </w:r>
      <w:r w:rsidR="003A525F" w:rsidRPr="001A209B">
        <w:rPr>
          <w:rFonts w:cs="Arial"/>
          <w:sz w:val="18"/>
          <w:szCs w:val="18"/>
        </w:rPr>
        <w:t xml:space="preserve">istribution fees increased by </w:t>
      </w:r>
      <w:r w:rsidR="00C50BC3" w:rsidRPr="001A209B">
        <w:rPr>
          <w:rFonts w:cs="Arial"/>
          <w:sz w:val="18"/>
          <w:szCs w:val="18"/>
        </w:rPr>
        <w:t xml:space="preserve">3 </w:t>
      </w:r>
      <w:r w:rsidR="003A525F" w:rsidRPr="001A209B">
        <w:rPr>
          <w:rFonts w:cs="Arial"/>
          <w:sz w:val="18"/>
          <w:szCs w:val="18"/>
        </w:rPr>
        <w:t xml:space="preserve">per cent to £430 million and adjusted operating profit declined slightly, by 1 per cent to £73 million. </w:t>
      </w:r>
    </w:p>
    <w:p w:rsidR="00DE34C2" w:rsidRPr="001A209B" w:rsidRDefault="00DE34C2" w:rsidP="003A525F">
      <w:pPr>
        <w:spacing w:before="20" w:after="20"/>
        <w:jc w:val="both"/>
        <w:rPr>
          <w:rFonts w:cs="Arial"/>
          <w:sz w:val="18"/>
          <w:szCs w:val="18"/>
        </w:rPr>
      </w:pPr>
    </w:p>
    <w:p w:rsidR="00453CED" w:rsidRPr="001A209B" w:rsidRDefault="006B0075" w:rsidP="00853E15">
      <w:pPr>
        <w:spacing w:before="20" w:after="20"/>
        <w:jc w:val="both"/>
        <w:rPr>
          <w:rFonts w:cs="Arial"/>
          <w:sz w:val="18"/>
          <w:szCs w:val="18"/>
        </w:rPr>
      </w:pPr>
      <w:r w:rsidRPr="001A209B">
        <w:rPr>
          <w:rFonts w:cs="Arial"/>
          <w:sz w:val="18"/>
          <w:szCs w:val="18"/>
        </w:rPr>
        <w:t xml:space="preserve">The </w:t>
      </w:r>
      <w:r w:rsidR="00DE34C2" w:rsidRPr="001A209B">
        <w:rPr>
          <w:rFonts w:cs="Arial"/>
          <w:sz w:val="18"/>
          <w:szCs w:val="18"/>
        </w:rPr>
        <w:t>Logista</w:t>
      </w:r>
      <w:r w:rsidRPr="001A209B">
        <w:rPr>
          <w:rFonts w:cs="Arial"/>
          <w:sz w:val="18"/>
          <w:szCs w:val="18"/>
        </w:rPr>
        <w:t xml:space="preserve"> team continue to focus on managing costs and </w:t>
      </w:r>
      <w:r w:rsidR="006826A7" w:rsidRPr="001A209B">
        <w:rPr>
          <w:rFonts w:cs="Arial"/>
          <w:sz w:val="18"/>
          <w:szCs w:val="18"/>
        </w:rPr>
        <w:t xml:space="preserve">generating new growth opportunities </w:t>
      </w:r>
      <w:r w:rsidRPr="001A209B">
        <w:rPr>
          <w:rFonts w:cs="Arial"/>
          <w:sz w:val="18"/>
          <w:szCs w:val="18"/>
        </w:rPr>
        <w:t xml:space="preserve">to </w:t>
      </w:r>
      <w:r w:rsidR="005A7F27" w:rsidRPr="001A209B">
        <w:rPr>
          <w:rFonts w:cs="Arial"/>
          <w:sz w:val="18"/>
          <w:szCs w:val="18"/>
        </w:rPr>
        <w:t>drive the profitable development of the business</w:t>
      </w:r>
      <w:r w:rsidRPr="001A209B">
        <w:rPr>
          <w:rFonts w:cs="Arial"/>
          <w:sz w:val="18"/>
          <w:szCs w:val="18"/>
        </w:rPr>
        <w:t xml:space="preserve"> over the long-term. </w:t>
      </w:r>
      <w:r w:rsidR="00453CED" w:rsidRPr="001A209B">
        <w:rPr>
          <w:rFonts w:cs="Arial"/>
          <w:sz w:val="18"/>
          <w:szCs w:val="18"/>
        </w:rPr>
        <w:t xml:space="preserve">A review in relation to a potential IPO of Logista that was announced in February is </w:t>
      </w:r>
      <w:r w:rsidR="001E5258" w:rsidRPr="001A209B">
        <w:rPr>
          <w:rFonts w:cs="Arial"/>
          <w:sz w:val="18"/>
          <w:szCs w:val="18"/>
        </w:rPr>
        <w:t>on</w:t>
      </w:r>
      <w:r w:rsidR="00BD0D6F" w:rsidRPr="001A209B">
        <w:rPr>
          <w:rFonts w:cs="Arial"/>
          <w:sz w:val="18"/>
          <w:szCs w:val="18"/>
        </w:rPr>
        <w:t>going</w:t>
      </w:r>
      <w:r w:rsidR="00453CED" w:rsidRPr="001A209B">
        <w:rPr>
          <w:rFonts w:cs="Arial"/>
          <w:sz w:val="18"/>
          <w:szCs w:val="18"/>
        </w:rPr>
        <w:t>.</w:t>
      </w:r>
    </w:p>
    <w:p w:rsidR="00605439" w:rsidRPr="001A209B" w:rsidRDefault="00605439" w:rsidP="00853E15">
      <w:pPr>
        <w:spacing w:before="20" w:after="20"/>
        <w:jc w:val="both"/>
        <w:rPr>
          <w:rFonts w:cs="Arial"/>
          <w:b/>
          <w:color w:val="A60D1F"/>
          <w:sz w:val="18"/>
          <w:szCs w:val="18"/>
        </w:rPr>
      </w:pPr>
    </w:p>
    <w:p w:rsidR="00605439" w:rsidRPr="001A209B" w:rsidRDefault="00605439">
      <w:pPr>
        <w:rPr>
          <w:rFonts w:cs="Arial"/>
          <w:b/>
          <w:color w:val="A60D1F"/>
          <w:sz w:val="18"/>
          <w:szCs w:val="18"/>
        </w:rPr>
      </w:pPr>
      <w:r w:rsidRPr="001A209B">
        <w:rPr>
          <w:rFonts w:cs="Arial"/>
          <w:b/>
          <w:color w:val="A60D1F"/>
          <w:sz w:val="18"/>
          <w:szCs w:val="18"/>
        </w:rPr>
        <w:br w:type="page"/>
      </w:r>
    </w:p>
    <w:p w:rsidR="005D5FC1" w:rsidRPr="001A209B" w:rsidRDefault="005D5FC1" w:rsidP="00853E15">
      <w:pPr>
        <w:spacing w:before="20" w:after="20"/>
        <w:jc w:val="both"/>
        <w:rPr>
          <w:rFonts w:cs="Arial"/>
          <w:b/>
          <w:color w:val="A60D1F"/>
          <w:sz w:val="18"/>
          <w:szCs w:val="18"/>
        </w:rPr>
      </w:pPr>
      <w:r w:rsidRPr="001A209B">
        <w:rPr>
          <w:rFonts w:cs="Arial"/>
          <w:b/>
          <w:color w:val="A60D1F"/>
          <w:sz w:val="18"/>
          <w:szCs w:val="18"/>
        </w:rPr>
        <w:t xml:space="preserve">Cost </w:t>
      </w:r>
      <w:r w:rsidR="00C039A4" w:rsidRPr="001A209B">
        <w:rPr>
          <w:rFonts w:cs="Arial"/>
          <w:b/>
          <w:color w:val="A60D1F"/>
          <w:sz w:val="18"/>
          <w:szCs w:val="18"/>
        </w:rPr>
        <w:t>Optimisation</w:t>
      </w:r>
    </w:p>
    <w:p w:rsidR="00E514E1" w:rsidRPr="001A209B" w:rsidRDefault="00A85BDC" w:rsidP="00853E15">
      <w:pPr>
        <w:spacing w:before="20" w:after="20"/>
        <w:jc w:val="both"/>
        <w:rPr>
          <w:rFonts w:cs="Arial"/>
          <w:sz w:val="18"/>
          <w:szCs w:val="18"/>
        </w:rPr>
      </w:pPr>
      <w:r w:rsidRPr="001A209B">
        <w:rPr>
          <w:rFonts w:cs="Arial"/>
          <w:sz w:val="18"/>
          <w:szCs w:val="18"/>
        </w:rPr>
        <w:t>Efficiently managing cost and cash supports our sustainable growth strategy</w:t>
      </w:r>
      <w:r w:rsidR="002112EC" w:rsidRPr="001A209B">
        <w:rPr>
          <w:rFonts w:cs="Arial"/>
          <w:sz w:val="18"/>
          <w:szCs w:val="18"/>
        </w:rPr>
        <w:t>.</w:t>
      </w:r>
      <w:r w:rsidR="00E514E1" w:rsidRPr="001A209B">
        <w:rPr>
          <w:rFonts w:cs="Arial"/>
          <w:sz w:val="18"/>
          <w:szCs w:val="18"/>
        </w:rPr>
        <w:t xml:space="preserve"> </w:t>
      </w:r>
      <w:r w:rsidRPr="001A209B">
        <w:rPr>
          <w:rFonts w:cs="Arial"/>
          <w:sz w:val="18"/>
          <w:szCs w:val="18"/>
        </w:rPr>
        <w:t xml:space="preserve">Our </w:t>
      </w:r>
      <w:r w:rsidR="00E514E1" w:rsidRPr="001A209B">
        <w:rPr>
          <w:rFonts w:cs="Arial"/>
          <w:sz w:val="18"/>
          <w:szCs w:val="18"/>
        </w:rPr>
        <w:t xml:space="preserve">cost optimisation programme, which </w:t>
      </w:r>
      <w:r w:rsidRPr="001A209B">
        <w:rPr>
          <w:rFonts w:cs="Arial"/>
          <w:sz w:val="18"/>
          <w:szCs w:val="18"/>
        </w:rPr>
        <w:t>will save £300 millio</w:t>
      </w:r>
      <w:r w:rsidR="002112EC" w:rsidRPr="001A209B">
        <w:rPr>
          <w:rFonts w:cs="Arial"/>
          <w:sz w:val="18"/>
          <w:szCs w:val="18"/>
        </w:rPr>
        <w:t>n per annum from September 2018</w:t>
      </w:r>
      <w:r w:rsidR="00E514E1" w:rsidRPr="001A209B">
        <w:rPr>
          <w:rFonts w:cs="Arial"/>
          <w:sz w:val="18"/>
          <w:szCs w:val="18"/>
        </w:rPr>
        <w:t>,</w:t>
      </w:r>
      <w:r w:rsidR="002112EC" w:rsidRPr="001A209B">
        <w:rPr>
          <w:rFonts w:cs="Arial"/>
          <w:sz w:val="18"/>
          <w:szCs w:val="18"/>
        </w:rPr>
        <w:t xml:space="preserve"> </w:t>
      </w:r>
      <w:r w:rsidR="00E514E1" w:rsidRPr="001A209B">
        <w:rPr>
          <w:rFonts w:cs="Arial"/>
          <w:sz w:val="18"/>
          <w:szCs w:val="18"/>
        </w:rPr>
        <w:t xml:space="preserve">remains on track and will deliver </w:t>
      </w:r>
      <w:r w:rsidR="005E7A5F" w:rsidRPr="001A209B">
        <w:rPr>
          <w:rFonts w:cs="Arial"/>
          <w:sz w:val="18"/>
          <w:szCs w:val="18"/>
        </w:rPr>
        <w:t xml:space="preserve">further incremental </w:t>
      </w:r>
      <w:r w:rsidR="00E514E1" w:rsidRPr="001A209B">
        <w:rPr>
          <w:rFonts w:cs="Arial"/>
          <w:sz w:val="18"/>
          <w:szCs w:val="18"/>
        </w:rPr>
        <w:t xml:space="preserve">savings of £60 million in 2014. </w:t>
      </w:r>
    </w:p>
    <w:p w:rsidR="00E514E1" w:rsidRPr="001A209B" w:rsidRDefault="00E514E1" w:rsidP="00853E15">
      <w:pPr>
        <w:spacing w:before="20" w:after="20"/>
        <w:jc w:val="both"/>
        <w:rPr>
          <w:rFonts w:cs="Arial"/>
          <w:sz w:val="18"/>
          <w:szCs w:val="18"/>
        </w:rPr>
      </w:pPr>
    </w:p>
    <w:p w:rsidR="00E514E1" w:rsidRPr="001A209B" w:rsidRDefault="004707CD" w:rsidP="00853E15">
      <w:pPr>
        <w:spacing w:before="20" w:after="20"/>
        <w:jc w:val="both"/>
        <w:rPr>
          <w:rFonts w:cs="Arial"/>
          <w:sz w:val="18"/>
          <w:szCs w:val="18"/>
        </w:rPr>
      </w:pPr>
      <w:r w:rsidRPr="001A209B">
        <w:rPr>
          <w:rFonts w:cs="Arial"/>
          <w:sz w:val="18"/>
          <w:szCs w:val="18"/>
        </w:rPr>
        <w:t xml:space="preserve">Restructuring projects announced in April to strengthen our competitive position in the UK and France, including the potential </w:t>
      </w:r>
      <w:r w:rsidR="00FC704E" w:rsidRPr="001A209B">
        <w:rPr>
          <w:rFonts w:cs="Arial"/>
          <w:sz w:val="18"/>
          <w:szCs w:val="18"/>
        </w:rPr>
        <w:t xml:space="preserve">closure of cigarette factories </w:t>
      </w:r>
      <w:r w:rsidR="004A16EE" w:rsidRPr="001A209B">
        <w:rPr>
          <w:rFonts w:cs="Arial"/>
          <w:sz w:val="18"/>
          <w:szCs w:val="18"/>
        </w:rPr>
        <w:t xml:space="preserve">in </w:t>
      </w:r>
      <w:r w:rsidR="00E514E1" w:rsidRPr="001A209B">
        <w:rPr>
          <w:rFonts w:cs="Arial"/>
          <w:sz w:val="18"/>
          <w:szCs w:val="18"/>
        </w:rPr>
        <w:t>Nottingham and Nantes</w:t>
      </w:r>
      <w:r w:rsidRPr="001A209B">
        <w:rPr>
          <w:rFonts w:cs="Arial"/>
          <w:sz w:val="18"/>
          <w:szCs w:val="18"/>
        </w:rPr>
        <w:t xml:space="preserve"> and the consolidation of French R&amp;D facilities, support the cost</w:t>
      </w:r>
      <w:r w:rsidR="0007073B" w:rsidRPr="001A209B">
        <w:rPr>
          <w:rFonts w:cs="Arial"/>
          <w:sz w:val="18"/>
          <w:szCs w:val="18"/>
        </w:rPr>
        <w:t xml:space="preserve"> programme.</w:t>
      </w:r>
    </w:p>
    <w:p w:rsidR="004707CD" w:rsidRPr="001A209B" w:rsidRDefault="004707CD" w:rsidP="00853E15">
      <w:pPr>
        <w:spacing w:before="20" w:after="20"/>
        <w:jc w:val="both"/>
        <w:rPr>
          <w:rFonts w:cs="Arial"/>
          <w:sz w:val="18"/>
          <w:szCs w:val="18"/>
        </w:rPr>
      </w:pPr>
    </w:p>
    <w:p w:rsidR="00E514E1" w:rsidRPr="001A209B" w:rsidRDefault="000A7E22" w:rsidP="00853E15">
      <w:pPr>
        <w:spacing w:before="20" w:after="20"/>
        <w:jc w:val="both"/>
        <w:rPr>
          <w:rFonts w:cs="Arial"/>
          <w:sz w:val="18"/>
          <w:szCs w:val="18"/>
        </w:rPr>
      </w:pPr>
      <w:r w:rsidRPr="001A209B">
        <w:rPr>
          <w:rFonts w:cs="Arial"/>
          <w:sz w:val="18"/>
          <w:szCs w:val="18"/>
        </w:rPr>
        <w:t xml:space="preserve">Our cost programme is complemented by our </w:t>
      </w:r>
      <w:r w:rsidR="00360350" w:rsidRPr="001A209B">
        <w:rPr>
          <w:rFonts w:cs="Arial"/>
          <w:sz w:val="18"/>
          <w:szCs w:val="18"/>
        </w:rPr>
        <w:t>stock optimisation programme</w:t>
      </w:r>
      <w:r w:rsidRPr="001A209B">
        <w:rPr>
          <w:rFonts w:cs="Arial"/>
          <w:sz w:val="18"/>
          <w:szCs w:val="18"/>
        </w:rPr>
        <w:t xml:space="preserve"> </w:t>
      </w:r>
      <w:r w:rsidR="00360350" w:rsidRPr="001A209B">
        <w:rPr>
          <w:rFonts w:cs="Arial"/>
          <w:sz w:val="18"/>
          <w:szCs w:val="18"/>
        </w:rPr>
        <w:t xml:space="preserve">which is </w:t>
      </w:r>
      <w:r w:rsidRPr="001A209B">
        <w:rPr>
          <w:rFonts w:cs="Arial"/>
          <w:sz w:val="18"/>
          <w:szCs w:val="18"/>
        </w:rPr>
        <w:t>improv</w:t>
      </w:r>
      <w:r w:rsidR="00360350" w:rsidRPr="001A209B">
        <w:rPr>
          <w:rFonts w:cs="Arial"/>
          <w:sz w:val="18"/>
          <w:szCs w:val="18"/>
        </w:rPr>
        <w:t>ing</w:t>
      </w:r>
      <w:r w:rsidRPr="001A209B">
        <w:rPr>
          <w:rFonts w:cs="Arial"/>
          <w:sz w:val="18"/>
          <w:szCs w:val="18"/>
        </w:rPr>
        <w:t xml:space="preserve"> our supply efficiency and the effectiveness of our portfolio, innovation, pricing and </w:t>
      </w:r>
      <w:r w:rsidR="00360350" w:rsidRPr="001A209B">
        <w:rPr>
          <w:rFonts w:cs="Arial"/>
          <w:sz w:val="18"/>
          <w:szCs w:val="18"/>
        </w:rPr>
        <w:t>customer</w:t>
      </w:r>
      <w:r w:rsidRPr="001A209B">
        <w:rPr>
          <w:rFonts w:cs="Arial"/>
          <w:sz w:val="18"/>
          <w:szCs w:val="18"/>
        </w:rPr>
        <w:t xml:space="preserve"> engagement initiatives.</w:t>
      </w:r>
      <w:r w:rsidR="007038A9" w:rsidRPr="001A209B">
        <w:rPr>
          <w:rFonts w:cs="Arial"/>
          <w:sz w:val="18"/>
          <w:szCs w:val="18"/>
        </w:rPr>
        <w:t xml:space="preserve"> </w:t>
      </w:r>
    </w:p>
    <w:p w:rsidR="00360350" w:rsidRPr="001A209B" w:rsidRDefault="00360350" w:rsidP="00853E15">
      <w:pPr>
        <w:spacing w:before="20" w:after="20"/>
        <w:jc w:val="both"/>
        <w:rPr>
          <w:rFonts w:cs="Arial"/>
          <w:sz w:val="18"/>
          <w:szCs w:val="18"/>
        </w:rPr>
      </w:pPr>
    </w:p>
    <w:p w:rsidR="00C039A4" w:rsidRPr="001A209B" w:rsidRDefault="00C039A4" w:rsidP="00853E15">
      <w:pPr>
        <w:spacing w:before="20" w:after="20"/>
        <w:jc w:val="both"/>
        <w:rPr>
          <w:rFonts w:cs="Arial"/>
          <w:b/>
          <w:color w:val="A60D1F"/>
          <w:sz w:val="18"/>
          <w:szCs w:val="18"/>
        </w:rPr>
      </w:pPr>
      <w:r w:rsidRPr="001A209B">
        <w:rPr>
          <w:rFonts w:cs="Arial"/>
          <w:b/>
          <w:color w:val="A60D1F"/>
          <w:sz w:val="18"/>
          <w:szCs w:val="18"/>
        </w:rPr>
        <w:t>Effective Cash Management</w:t>
      </w:r>
    </w:p>
    <w:p w:rsidR="00A85BDC" w:rsidRPr="001A209B" w:rsidRDefault="002112EC" w:rsidP="00853E15">
      <w:pPr>
        <w:spacing w:before="20" w:after="20"/>
        <w:jc w:val="both"/>
        <w:rPr>
          <w:rFonts w:cs="Arial"/>
          <w:sz w:val="18"/>
          <w:szCs w:val="18"/>
        </w:rPr>
      </w:pPr>
      <w:r w:rsidRPr="001A209B">
        <w:rPr>
          <w:rFonts w:cs="Arial"/>
          <w:sz w:val="18"/>
          <w:szCs w:val="18"/>
        </w:rPr>
        <w:t xml:space="preserve">Our focus on cash generation and effective management of our working capital </w:t>
      </w:r>
      <w:r w:rsidR="004A16EE" w:rsidRPr="001A209B">
        <w:rPr>
          <w:rFonts w:cs="Arial"/>
          <w:sz w:val="18"/>
          <w:szCs w:val="18"/>
        </w:rPr>
        <w:t xml:space="preserve">enabled us to increase cash conversion </w:t>
      </w:r>
      <w:r w:rsidR="00D772A8" w:rsidRPr="001A209B">
        <w:rPr>
          <w:rFonts w:cs="Arial"/>
          <w:sz w:val="18"/>
          <w:szCs w:val="18"/>
        </w:rPr>
        <w:t xml:space="preserve">to </w:t>
      </w:r>
      <w:r w:rsidR="008F0C3B" w:rsidRPr="001A209B">
        <w:rPr>
          <w:rFonts w:cs="Arial"/>
          <w:bCs/>
          <w:sz w:val="18"/>
          <w:szCs w:val="18"/>
        </w:rPr>
        <w:t>78</w:t>
      </w:r>
      <w:r w:rsidR="00D772A8" w:rsidRPr="001A209B">
        <w:rPr>
          <w:rFonts w:cs="Arial"/>
          <w:bCs/>
          <w:sz w:val="18"/>
          <w:szCs w:val="18"/>
        </w:rPr>
        <w:t xml:space="preserve"> </w:t>
      </w:r>
      <w:r w:rsidRPr="001A209B">
        <w:rPr>
          <w:rFonts w:cs="Arial"/>
          <w:sz w:val="18"/>
          <w:szCs w:val="18"/>
        </w:rPr>
        <w:t>per cent, from</w:t>
      </w:r>
      <w:r w:rsidR="008F0C3B" w:rsidRPr="001A209B">
        <w:rPr>
          <w:rFonts w:cs="Arial"/>
          <w:sz w:val="18"/>
          <w:szCs w:val="18"/>
        </w:rPr>
        <w:t xml:space="preserve"> 63</w:t>
      </w:r>
      <w:r w:rsidRPr="001A209B">
        <w:rPr>
          <w:rFonts w:cs="Arial"/>
          <w:sz w:val="18"/>
          <w:szCs w:val="18"/>
        </w:rPr>
        <w:t xml:space="preserve"> per cent </w:t>
      </w:r>
      <w:r w:rsidR="00286B87" w:rsidRPr="001A209B">
        <w:rPr>
          <w:rFonts w:cs="Arial"/>
          <w:sz w:val="18"/>
          <w:szCs w:val="18"/>
        </w:rPr>
        <w:t>over the comparative 12 months</w:t>
      </w:r>
      <w:r w:rsidRPr="001A209B">
        <w:rPr>
          <w:rFonts w:cs="Arial"/>
          <w:sz w:val="18"/>
          <w:szCs w:val="18"/>
        </w:rPr>
        <w:t xml:space="preserve">. </w:t>
      </w:r>
    </w:p>
    <w:p w:rsidR="00A85BDC" w:rsidRPr="001A209B" w:rsidRDefault="00A85BDC" w:rsidP="00853E15">
      <w:pPr>
        <w:spacing w:before="20" w:after="20"/>
        <w:jc w:val="both"/>
        <w:rPr>
          <w:rFonts w:cs="Arial"/>
          <w:b/>
          <w:sz w:val="18"/>
          <w:szCs w:val="18"/>
        </w:rPr>
      </w:pPr>
    </w:p>
    <w:p w:rsidR="00A85BDC" w:rsidRPr="001A209B" w:rsidRDefault="00C039A4" w:rsidP="00853E15">
      <w:pPr>
        <w:spacing w:before="20" w:after="20"/>
        <w:jc w:val="both"/>
        <w:rPr>
          <w:rFonts w:cs="Arial"/>
          <w:sz w:val="18"/>
          <w:szCs w:val="18"/>
        </w:rPr>
      </w:pPr>
      <w:r w:rsidRPr="001A209B">
        <w:rPr>
          <w:rFonts w:cs="Arial"/>
          <w:sz w:val="18"/>
          <w:szCs w:val="18"/>
        </w:rPr>
        <w:t>W</w:t>
      </w:r>
      <w:r w:rsidR="00CD4EEC" w:rsidRPr="001A209B">
        <w:rPr>
          <w:rFonts w:cs="Arial"/>
          <w:sz w:val="18"/>
          <w:szCs w:val="18"/>
        </w:rPr>
        <w:t>e</w:t>
      </w:r>
      <w:r w:rsidR="00D772A8" w:rsidRPr="001A209B">
        <w:rPr>
          <w:rFonts w:cs="Arial"/>
          <w:sz w:val="18"/>
          <w:szCs w:val="18"/>
        </w:rPr>
        <w:t xml:space="preserve"> </w:t>
      </w:r>
      <w:r w:rsidRPr="001A209B">
        <w:rPr>
          <w:rFonts w:cs="Arial"/>
          <w:sz w:val="18"/>
          <w:szCs w:val="18"/>
        </w:rPr>
        <w:t xml:space="preserve">also </w:t>
      </w:r>
      <w:r w:rsidR="00D772A8" w:rsidRPr="001A209B">
        <w:rPr>
          <w:rFonts w:cs="Arial"/>
          <w:sz w:val="18"/>
          <w:szCs w:val="18"/>
        </w:rPr>
        <w:t>spent £23</w:t>
      </w:r>
      <w:r w:rsidR="00707940" w:rsidRPr="001A209B">
        <w:rPr>
          <w:rFonts w:cs="Arial"/>
          <w:sz w:val="18"/>
          <w:szCs w:val="18"/>
        </w:rPr>
        <w:t>7</w:t>
      </w:r>
      <w:r w:rsidR="00A85BDC" w:rsidRPr="001A209B">
        <w:rPr>
          <w:rFonts w:cs="Arial"/>
          <w:sz w:val="18"/>
          <w:szCs w:val="18"/>
        </w:rPr>
        <w:t xml:space="preserve"> million in the first half of the year acquiring </w:t>
      </w:r>
      <w:r w:rsidR="00D772A8" w:rsidRPr="001A209B">
        <w:rPr>
          <w:rFonts w:cs="Arial"/>
          <w:sz w:val="18"/>
          <w:szCs w:val="18"/>
        </w:rPr>
        <w:t>10.1</w:t>
      </w:r>
      <w:r w:rsidR="00A85BDC" w:rsidRPr="001A209B">
        <w:rPr>
          <w:rFonts w:cs="Arial"/>
          <w:sz w:val="18"/>
          <w:szCs w:val="18"/>
        </w:rPr>
        <w:t xml:space="preserve"> million shares as part of our annualised £500 million share buyback programme.</w:t>
      </w:r>
    </w:p>
    <w:p w:rsidR="00C039A4" w:rsidRPr="001A209B" w:rsidRDefault="00C039A4" w:rsidP="00853E15">
      <w:pPr>
        <w:spacing w:before="20" w:after="20"/>
        <w:jc w:val="both"/>
        <w:rPr>
          <w:rFonts w:cs="Arial"/>
          <w:sz w:val="18"/>
          <w:szCs w:val="18"/>
        </w:rPr>
      </w:pPr>
    </w:p>
    <w:p w:rsidR="00C039A4" w:rsidRPr="001A209B" w:rsidRDefault="002300AF" w:rsidP="00853E15">
      <w:pPr>
        <w:spacing w:before="20" w:after="20"/>
        <w:jc w:val="both"/>
        <w:rPr>
          <w:rFonts w:cs="Arial"/>
          <w:sz w:val="18"/>
          <w:szCs w:val="18"/>
        </w:rPr>
      </w:pPr>
      <w:r w:rsidRPr="001A209B">
        <w:rPr>
          <w:rFonts w:cs="Arial"/>
          <w:sz w:val="18"/>
          <w:szCs w:val="18"/>
        </w:rPr>
        <w:t>From our 2015 financial year w</w:t>
      </w:r>
      <w:r w:rsidR="00BB5050" w:rsidRPr="001A209B">
        <w:rPr>
          <w:rFonts w:cs="Arial"/>
          <w:sz w:val="18"/>
          <w:szCs w:val="18"/>
        </w:rPr>
        <w:t xml:space="preserve">e </w:t>
      </w:r>
      <w:r w:rsidRPr="001A209B">
        <w:rPr>
          <w:rFonts w:cs="Arial"/>
          <w:sz w:val="18"/>
          <w:szCs w:val="18"/>
        </w:rPr>
        <w:t>will begin quarterly dividend payments in order to provide more regular cash returns to shareholders.</w:t>
      </w:r>
    </w:p>
    <w:p w:rsidR="00BB5050" w:rsidRPr="001A209B" w:rsidRDefault="00BB5050" w:rsidP="00853E15">
      <w:pPr>
        <w:spacing w:before="20" w:after="20"/>
        <w:jc w:val="both"/>
        <w:rPr>
          <w:rFonts w:cs="Arial"/>
          <w:sz w:val="18"/>
          <w:szCs w:val="18"/>
        </w:rPr>
      </w:pPr>
    </w:p>
    <w:p w:rsidR="005D5FC1" w:rsidRPr="001A209B" w:rsidRDefault="002112EC" w:rsidP="00853E15">
      <w:pPr>
        <w:spacing w:before="20" w:after="20"/>
        <w:jc w:val="both"/>
        <w:rPr>
          <w:rFonts w:cs="Arial"/>
          <w:b/>
          <w:color w:val="A60D1F"/>
          <w:sz w:val="18"/>
          <w:szCs w:val="18"/>
        </w:rPr>
      </w:pPr>
      <w:r w:rsidRPr="001A209B">
        <w:rPr>
          <w:rFonts w:cs="Arial"/>
          <w:b/>
          <w:color w:val="A60D1F"/>
          <w:sz w:val="18"/>
          <w:szCs w:val="18"/>
        </w:rPr>
        <w:t>Outlook</w:t>
      </w:r>
    </w:p>
    <w:p w:rsidR="002B2935" w:rsidRPr="001A209B" w:rsidRDefault="00C676AB" w:rsidP="00853E15">
      <w:pPr>
        <w:spacing w:before="20" w:after="20"/>
        <w:jc w:val="both"/>
        <w:rPr>
          <w:rFonts w:cs="Arial"/>
          <w:sz w:val="18"/>
          <w:szCs w:val="18"/>
        </w:rPr>
      </w:pPr>
      <w:r w:rsidRPr="001A209B">
        <w:rPr>
          <w:rFonts w:cs="Arial"/>
          <w:sz w:val="18"/>
          <w:szCs w:val="18"/>
        </w:rPr>
        <w:t>The actions we’</w:t>
      </w:r>
      <w:r w:rsidR="00892A73" w:rsidRPr="001A209B">
        <w:rPr>
          <w:rFonts w:cs="Arial"/>
          <w:sz w:val="18"/>
          <w:szCs w:val="18"/>
        </w:rPr>
        <w:t>re taking</w:t>
      </w:r>
      <w:r w:rsidRPr="001A209B">
        <w:rPr>
          <w:rFonts w:cs="Arial"/>
          <w:sz w:val="18"/>
          <w:szCs w:val="18"/>
        </w:rPr>
        <w:t xml:space="preserve"> </w:t>
      </w:r>
      <w:r w:rsidR="002300AF" w:rsidRPr="001A209B">
        <w:rPr>
          <w:rFonts w:cs="Arial"/>
          <w:sz w:val="18"/>
          <w:szCs w:val="18"/>
        </w:rPr>
        <w:t xml:space="preserve">in </w:t>
      </w:r>
      <w:r w:rsidR="002B2935" w:rsidRPr="001A209B">
        <w:rPr>
          <w:rFonts w:cs="Arial"/>
          <w:sz w:val="18"/>
          <w:szCs w:val="18"/>
        </w:rPr>
        <w:t>transition</w:t>
      </w:r>
      <w:r w:rsidR="002300AF" w:rsidRPr="001A209B">
        <w:rPr>
          <w:rFonts w:cs="Arial"/>
          <w:sz w:val="18"/>
          <w:szCs w:val="18"/>
        </w:rPr>
        <w:t>ing</w:t>
      </w:r>
      <w:r w:rsidR="002B2935" w:rsidRPr="001A209B">
        <w:rPr>
          <w:rFonts w:cs="Arial"/>
          <w:sz w:val="18"/>
          <w:szCs w:val="18"/>
        </w:rPr>
        <w:t xml:space="preserve"> the business </w:t>
      </w:r>
      <w:r w:rsidR="002300AF" w:rsidRPr="001A209B">
        <w:rPr>
          <w:rFonts w:cs="Arial"/>
          <w:sz w:val="18"/>
          <w:szCs w:val="18"/>
        </w:rPr>
        <w:t>are</w:t>
      </w:r>
      <w:r w:rsidR="002B2935" w:rsidRPr="001A209B">
        <w:rPr>
          <w:rFonts w:cs="Arial"/>
          <w:sz w:val="18"/>
          <w:szCs w:val="18"/>
        </w:rPr>
        <w:t xml:space="preserve"> </w:t>
      </w:r>
      <w:r w:rsidRPr="001A209B">
        <w:rPr>
          <w:rFonts w:cs="Arial"/>
          <w:sz w:val="18"/>
          <w:szCs w:val="18"/>
        </w:rPr>
        <w:t>strengthen</w:t>
      </w:r>
      <w:r w:rsidR="002300AF" w:rsidRPr="001A209B">
        <w:rPr>
          <w:rFonts w:cs="Arial"/>
          <w:sz w:val="18"/>
          <w:szCs w:val="18"/>
        </w:rPr>
        <w:t>ing</w:t>
      </w:r>
      <w:r w:rsidRPr="001A209B">
        <w:rPr>
          <w:rFonts w:cs="Arial"/>
          <w:sz w:val="18"/>
          <w:szCs w:val="18"/>
        </w:rPr>
        <w:t xml:space="preserve"> </w:t>
      </w:r>
      <w:r w:rsidR="00EA5549" w:rsidRPr="001A209B">
        <w:rPr>
          <w:rFonts w:cs="Arial"/>
          <w:sz w:val="18"/>
          <w:szCs w:val="18"/>
        </w:rPr>
        <w:t xml:space="preserve">our brands and market footprint, </w:t>
      </w:r>
      <w:r w:rsidR="00892A73" w:rsidRPr="001A209B">
        <w:rPr>
          <w:rFonts w:cs="Arial"/>
          <w:sz w:val="18"/>
          <w:szCs w:val="18"/>
        </w:rPr>
        <w:t>providing</w:t>
      </w:r>
      <w:r w:rsidRPr="001A209B">
        <w:rPr>
          <w:rFonts w:cs="Arial"/>
          <w:sz w:val="18"/>
          <w:szCs w:val="18"/>
        </w:rPr>
        <w:t xml:space="preserve"> a stronger platform </w:t>
      </w:r>
      <w:r w:rsidR="002B2935" w:rsidRPr="001A209B">
        <w:rPr>
          <w:rFonts w:cs="Arial"/>
          <w:sz w:val="18"/>
          <w:szCs w:val="18"/>
        </w:rPr>
        <w:t>for generati</w:t>
      </w:r>
      <w:r w:rsidR="009D394F" w:rsidRPr="001A209B">
        <w:rPr>
          <w:rFonts w:cs="Arial"/>
          <w:sz w:val="18"/>
          <w:szCs w:val="18"/>
        </w:rPr>
        <w:t>ng quality sustainable growth. B</w:t>
      </w:r>
      <w:r w:rsidR="002B2935" w:rsidRPr="001A209B">
        <w:rPr>
          <w:rFonts w:cs="Arial"/>
          <w:sz w:val="18"/>
          <w:szCs w:val="18"/>
        </w:rPr>
        <w:t xml:space="preserve">uilding </w:t>
      </w:r>
      <w:r w:rsidR="009D394F" w:rsidRPr="001A209B">
        <w:rPr>
          <w:rFonts w:cs="Arial"/>
          <w:sz w:val="18"/>
          <w:szCs w:val="18"/>
        </w:rPr>
        <w:t xml:space="preserve">further </w:t>
      </w:r>
      <w:r w:rsidR="002B2935" w:rsidRPr="001A209B">
        <w:rPr>
          <w:rFonts w:cs="Arial"/>
          <w:sz w:val="18"/>
          <w:szCs w:val="18"/>
        </w:rPr>
        <w:t xml:space="preserve">momentum behind our </w:t>
      </w:r>
      <w:r w:rsidR="009D394F" w:rsidRPr="001A209B">
        <w:rPr>
          <w:rFonts w:cs="Arial"/>
          <w:sz w:val="18"/>
          <w:szCs w:val="18"/>
        </w:rPr>
        <w:t>Growth and Specialist B</w:t>
      </w:r>
      <w:r w:rsidR="002B2935" w:rsidRPr="001A209B">
        <w:rPr>
          <w:rFonts w:cs="Arial"/>
          <w:sz w:val="18"/>
          <w:szCs w:val="18"/>
        </w:rPr>
        <w:t xml:space="preserve">rands and improving our market share </w:t>
      </w:r>
      <w:r w:rsidR="009D394F" w:rsidRPr="001A209B">
        <w:rPr>
          <w:rFonts w:cs="Arial"/>
          <w:sz w:val="18"/>
          <w:szCs w:val="18"/>
        </w:rPr>
        <w:t>positions</w:t>
      </w:r>
      <w:r w:rsidR="002B2935" w:rsidRPr="001A209B">
        <w:rPr>
          <w:rFonts w:cs="Arial"/>
          <w:sz w:val="18"/>
          <w:szCs w:val="18"/>
        </w:rPr>
        <w:t xml:space="preserve"> are key priorities for the second half.</w:t>
      </w:r>
    </w:p>
    <w:p w:rsidR="002B2935" w:rsidRPr="001A209B" w:rsidRDefault="002B2935" w:rsidP="00853E15">
      <w:pPr>
        <w:spacing w:before="20" w:after="20"/>
        <w:jc w:val="both"/>
        <w:rPr>
          <w:rFonts w:cs="Arial"/>
          <w:sz w:val="18"/>
          <w:szCs w:val="18"/>
        </w:rPr>
      </w:pPr>
    </w:p>
    <w:p w:rsidR="00A15D54" w:rsidRPr="001A209B" w:rsidRDefault="002B2935" w:rsidP="00A14D72">
      <w:pPr>
        <w:spacing w:before="20" w:after="20"/>
        <w:jc w:val="both"/>
        <w:rPr>
          <w:rFonts w:cs="Arial"/>
          <w:sz w:val="18"/>
          <w:szCs w:val="18"/>
        </w:rPr>
      </w:pPr>
      <w:r w:rsidRPr="001A209B">
        <w:rPr>
          <w:rFonts w:cs="Arial"/>
          <w:sz w:val="18"/>
          <w:szCs w:val="18"/>
        </w:rPr>
        <w:t>The</w:t>
      </w:r>
      <w:r w:rsidR="00C676AB" w:rsidRPr="001A209B">
        <w:rPr>
          <w:rFonts w:cs="Arial"/>
          <w:sz w:val="18"/>
          <w:szCs w:val="18"/>
        </w:rPr>
        <w:t xml:space="preserve"> </w:t>
      </w:r>
      <w:r w:rsidR="005A65C5" w:rsidRPr="001A209B">
        <w:rPr>
          <w:rFonts w:cs="Arial"/>
          <w:sz w:val="18"/>
          <w:szCs w:val="18"/>
        </w:rPr>
        <w:t xml:space="preserve">good </w:t>
      </w:r>
      <w:r w:rsidR="00B241F0" w:rsidRPr="001A209B">
        <w:rPr>
          <w:rFonts w:cs="Arial"/>
          <w:sz w:val="18"/>
          <w:szCs w:val="18"/>
        </w:rPr>
        <w:t>progress we’re making with our cost an</w:t>
      </w:r>
      <w:r w:rsidR="008E49BA" w:rsidRPr="001A209B">
        <w:rPr>
          <w:rFonts w:cs="Arial"/>
          <w:sz w:val="18"/>
          <w:szCs w:val="18"/>
        </w:rPr>
        <w:t>d stock optimisation programmes</w:t>
      </w:r>
      <w:r w:rsidR="00C676AB" w:rsidRPr="001A209B">
        <w:rPr>
          <w:rFonts w:cs="Arial"/>
          <w:sz w:val="18"/>
          <w:szCs w:val="18"/>
        </w:rPr>
        <w:t xml:space="preserve"> supports our </w:t>
      </w:r>
      <w:r w:rsidRPr="001A209B">
        <w:rPr>
          <w:rFonts w:cs="Arial"/>
          <w:sz w:val="18"/>
          <w:szCs w:val="18"/>
        </w:rPr>
        <w:t xml:space="preserve">growth </w:t>
      </w:r>
      <w:r w:rsidR="00C676AB" w:rsidRPr="001A209B">
        <w:rPr>
          <w:rFonts w:cs="Arial"/>
          <w:sz w:val="18"/>
          <w:szCs w:val="18"/>
        </w:rPr>
        <w:t>ambitions</w:t>
      </w:r>
      <w:r w:rsidR="00892A73" w:rsidRPr="001A209B">
        <w:rPr>
          <w:rFonts w:cs="Arial"/>
          <w:sz w:val="18"/>
          <w:szCs w:val="18"/>
        </w:rPr>
        <w:t>.</w:t>
      </w:r>
      <w:r w:rsidRPr="001A209B">
        <w:rPr>
          <w:rFonts w:cs="Arial"/>
          <w:sz w:val="18"/>
          <w:szCs w:val="18"/>
        </w:rPr>
        <w:t xml:space="preserve"> </w:t>
      </w:r>
      <w:r w:rsidR="00755D2E" w:rsidRPr="001A209B">
        <w:rPr>
          <w:rFonts w:cs="Arial"/>
          <w:sz w:val="18"/>
          <w:szCs w:val="18"/>
        </w:rPr>
        <w:t>Trading conditions are</w:t>
      </w:r>
      <w:r w:rsidR="00C15BD7" w:rsidRPr="001A209B">
        <w:rPr>
          <w:rFonts w:cs="Arial"/>
          <w:sz w:val="18"/>
          <w:szCs w:val="18"/>
        </w:rPr>
        <w:t xml:space="preserve"> unlikely to </w:t>
      </w:r>
      <w:r w:rsidR="001E5258" w:rsidRPr="001A209B">
        <w:rPr>
          <w:rFonts w:cs="Arial"/>
          <w:sz w:val="18"/>
          <w:szCs w:val="18"/>
        </w:rPr>
        <w:t xml:space="preserve">materially </w:t>
      </w:r>
      <w:r w:rsidR="00C15BD7" w:rsidRPr="001A209B">
        <w:rPr>
          <w:rFonts w:cs="Arial"/>
          <w:sz w:val="18"/>
          <w:szCs w:val="18"/>
        </w:rPr>
        <w:t xml:space="preserve">improve in the </w:t>
      </w:r>
      <w:r w:rsidRPr="001A209B">
        <w:rPr>
          <w:rFonts w:cs="Arial"/>
          <w:sz w:val="18"/>
          <w:szCs w:val="18"/>
        </w:rPr>
        <w:t>coming months</w:t>
      </w:r>
      <w:r w:rsidR="00C15BD7" w:rsidRPr="001A209B">
        <w:rPr>
          <w:rFonts w:cs="Arial"/>
          <w:sz w:val="18"/>
          <w:szCs w:val="18"/>
        </w:rPr>
        <w:t xml:space="preserve"> b</w:t>
      </w:r>
      <w:r w:rsidRPr="001A209B">
        <w:rPr>
          <w:rFonts w:cs="Arial"/>
          <w:sz w:val="18"/>
          <w:szCs w:val="18"/>
        </w:rPr>
        <w:t xml:space="preserve">ut we’re </w:t>
      </w:r>
      <w:r w:rsidR="007A0BA0" w:rsidRPr="001A209B">
        <w:rPr>
          <w:rFonts w:cs="Arial"/>
          <w:sz w:val="18"/>
          <w:szCs w:val="18"/>
        </w:rPr>
        <w:t>experienced i</w:t>
      </w:r>
      <w:r w:rsidR="008E49BA" w:rsidRPr="001A209B">
        <w:rPr>
          <w:rFonts w:cs="Arial"/>
          <w:sz w:val="18"/>
          <w:szCs w:val="18"/>
        </w:rPr>
        <w:t>n</w:t>
      </w:r>
      <w:r w:rsidR="007A0BA0" w:rsidRPr="001A209B">
        <w:rPr>
          <w:rFonts w:cs="Arial"/>
          <w:sz w:val="18"/>
          <w:szCs w:val="18"/>
        </w:rPr>
        <w:t xml:space="preserve"> </w:t>
      </w:r>
      <w:r w:rsidR="00DD79FB" w:rsidRPr="001A209B">
        <w:rPr>
          <w:rFonts w:cs="Arial"/>
          <w:sz w:val="18"/>
          <w:szCs w:val="18"/>
        </w:rPr>
        <w:t xml:space="preserve">growing our business in </w:t>
      </w:r>
      <w:r w:rsidR="004119FB" w:rsidRPr="001A209B">
        <w:rPr>
          <w:rFonts w:cs="Arial"/>
          <w:sz w:val="18"/>
          <w:szCs w:val="18"/>
        </w:rPr>
        <w:t>a demanding</w:t>
      </w:r>
      <w:r w:rsidR="00755D2E" w:rsidRPr="001A209B">
        <w:rPr>
          <w:rFonts w:cs="Arial"/>
          <w:sz w:val="18"/>
          <w:szCs w:val="18"/>
        </w:rPr>
        <w:t xml:space="preserve"> environment</w:t>
      </w:r>
      <w:r w:rsidR="00DD79FB" w:rsidRPr="001A209B">
        <w:rPr>
          <w:rFonts w:cs="Arial"/>
          <w:sz w:val="18"/>
          <w:szCs w:val="18"/>
        </w:rPr>
        <w:t xml:space="preserve"> and remain </w:t>
      </w:r>
      <w:r w:rsidR="007A0BA0" w:rsidRPr="001A209B">
        <w:rPr>
          <w:rFonts w:cs="Arial"/>
          <w:sz w:val="18"/>
          <w:szCs w:val="18"/>
        </w:rPr>
        <w:t xml:space="preserve">on track to </w:t>
      </w:r>
      <w:r w:rsidR="008E49BA" w:rsidRPr="001A209B">
        <w:rPr>
          <w:rFonts w:cs="Arial"/>
          <w:sz w:val="18"/>
          <w:szCs w:val="18"/>
        </w:rPr>
        <w:t>achieve our targets and create further value for shareholders.</w:t>
      </w:r>
    </w:p>
    <w:p w:rsidR="00A15D54" w:rsidRPr="001A209B" w:rsidRDefault="00A15D54" w:rsidP="00A14D72">
      <w:pPr>
        <w:spacing w:before="20" w:after="20"/>
        <w:jc w:val="both"/>
        <w:rPr>
          <w:rFonts w:cs="Arial"/>
          <w:sz w:val="18"/>
          <w:szCs w:val="18"/>
        </w:rPr>
      </w:pPr>
    </w:p>
    <w:p w:rsidR="00605439" w:rsidRPr="001A209B" w:rsidRDefault="00605439">
      <w:pPr>
        <w:rPr>
          <w:rFonts w:cs="Arial"/>
          <w:sz w:val="18"/>
          <w:szCs w:val="18"/>
        </w:rPr>
      </w:pPr>
      <w:r w:rsidRPr="001A209B">
        <w:rPr>
          <w:rFonts w:cs="Arial"/>
          <w:sz w:val="18"/>
          <w:szCs w:val="18"/>
        </w:rPr>
        <w:br w:type="page"/>
      </w:r>
    </w:p>
    <w:p w:rsidR="0031111B" w:rsidRPr="001A209B" w:rsidRDefault="00A62016" w:rsidP="00853E15">
      <w:pPr>
        <w:pBdr>
          <w:top w:val="single" w:sz="24" w:space="1" w:color="A60D1F"/>
          <w:left w:val="single" w:sz="24" w:space="4" w:color="A60D1F"/>
          <w:bottom w:val="single" w:sz="24" w:space="1" w:color="A60D1F"/>
          <w:right w:val="single" w:sz="24" w:space="4" w:color="A60D1F"/>
        </w:pBdr>
        <w:spacing w:before="20" w:after="20"/>
        <w:jc w:val="center"/>
        <w:rPr>
          <w:rFonts w:cs="Arial"/>
          <w:b/>
          <w:color w:val="A60D1F"/>
          <w:sz w:val="18"/>
          <w:szCs w:val="18"/>
        </w:rPr>
      </w:pPr>
      <w:r w:rsidRPr="001A209B">
        <w:rPr>
          <w:rFonts w:cs="Arial"/>
          <w:b/>
          <w:color w:val="A60D1F"/>
          <w:sz w:val="18"/>
          <w:szCs w:val="18"/>
        </w:rPr>
        <w:t>OPERATIONAL PERFORMANCE</w:t>
      </w:r>
    </w:p>
    <w:p w:rsidR="004F26E3" w:rsidRPr="001A209B" w:rsidRDefault="004F26E3" w:rsidP="00853E15">
      <w:pPr>
        <w:spacing w:before="20" w:after="20"/>
        <w:jc w:val="both"/>
        <w:rPr>
          <w:rFonts w:cs="Arial"/>
          <w:b/>
          <w:sz w:val="18"/>
          <w:szCs w:val="18"/>
        </w:rPr>
      </w:pPr>
    </w:p>
    <w:p w:rsidR="0031111B" w:rsidRPr="001A209B" w:rsidRDefault="0031111B" w:rsidP="00853E15">
      <w:pPr>
        <w:spacing w:before="20" w:after="20"/>
        <w:jc w:val="both"/>
        <w:rPr>
          <w:rFonts w:cs="Arial"/>
          <w:b/>
          <w:color w:val="A60D1F"/>
          <w:sz w:val="18"/>
          <w:szCs w:val="18"/>
        </w:rPr>
      </w:pPr>
      <w:r w:rsidRPr="001A209B">
        <w:rPr>
          <w:rFonts w:cs="Arial"/>
          <w:b/>
          <w:color w:val="A60D1F"/>
          <w:sz w:val="18"/>
          <w:szCs w:val="18"/>
        </w:rPr>
        <w:t>Footprint and Portfolio Overview</w:t>
      </w:r>
    </w:p>
    <w:p w:rsidR="00E72A97" w:rsidRPr="001A209B" w:rsidRDefault="00E72A97" w:rsidP="00853E15">
      <w:pPr>
        <w:spacing w:before="20" w:after="20"/>
        <w:jc w:val="both"/>
        <w:rPr>
          <w:rFonts w:cs="Arial"/>
          <w:bCs/>
          <w:sz w:val="18"/>
          <w:szCs w:val="18"/>
        </w:rPr>
      </w:pPr>
      <w:r w:rsidRPr="001A209B">
        <w:rPr>
          <w:rFonts w:cs="Arial"/>
          <w:sz w:val="18"/>
          <w:szCs w:val="18"/>
        </w:rPr>
        <w:t xml:space="preserve">We manage our markets </w:t>
      </w:r>
      <w:r w:rsidR="005E7A5F" w:rsidRPr="001A209B">
        <w:rPr>
          <w:rFonts w:cs="Arial"/>
          <w:sz w:val="18"/>
          <w:szCs w:val="18"/>
        </w:rPr>
        <w:t xml:space="preserve">based </w:t>
      </w:r>
      <w:r w:rsidRPr="001A209B">
        <w:rPr>
          <w:rFonts w:cs="Arial"/>
          <w:sz w:val="18"/>
          <w:szCs w:val="18"/>
        </w:rPr>
        <w:t xml:space="preserve">on the strategic roles they play, not by geographic location, with markets prioritising Growth or Returns. This drives better resource allocation and greater collaboration between markets, </w:t>
      </w:r>
      <w:r w:rsidRPr="001A209B">
        <w:rPr>
          <w:rFonts w:cs="Arial"/>
          <w:bCs/>
          <w:sz w:val="18"/>
          <w:szCs w:val="18"/>
        </w:rPr>
        <w:t>providing a strong platform for generating higher quality growth.</w:t>
      </w:r>
    </w:p>
    <w:p w:rsidR="00E72A97" w:rsidRPr="001A209B" w:rsidRDefault="00E72A97" w:rsidP="00853E15">
      <w:pPr>
        <w:spacing w:before="20" w:after="20"/>
        <w:jc w:val="both"/>
        <w:rPr>
          <w:rFonts w:cs="Arial"/>
          <w:sz w:val="18"/>
          <w:szCs w:val="18"/>
        </w:rPr>
      </w:pPr>
    </w:p>
    <w:p w:rsidR="005D5FC1" w:rsidRPr="001A209B" w:rsidRDefault="005D5FC1" w:rsidP="00853E15">
      <w:pPr>
        <w:spacing w:before="20" w:after="20"/>
        <w:jc w:val="both"/>
        <w:rPr>
          <w:rFonts w:cs="Arial"/>
          <w:sz w:val="18"/>
          <w:szCs w:val="18"/>
        </w:rPr>
      </w:pPr>
      <w:r w:rsidRPr="001A209B">
        <w:rPr>
          <w:rFonts w:cs="Arial"/>
          <w:sz w:val="18"/>
          <w:szCs w:val="18"/>
        </w:rPr>
        <w:t xml:space="preserve">Growth Markets </w:t>
      </w:r>
      <w:r w:rsidRPr="001A209B">
        <w:rPr>
          <w:rFonts w:cs="Arial"/>
          <w:bCs/>
          <w:sz w:val="18"/>
          <w:szCs w:val="18"/>
        </w:rPr>
        <w:t>include selected markets in the EU, Eastern Europe, Asia, the Middle East and the USA.</w:t>
      </w:r>
      <w:r w:rsidRPr="001A209B">
        <w:rPr>
          <w:rFonts w:cs="Arial"/>
          <w:sz w:val="18"/>
          <w:szCs w:val="18"/>
        </w:rPr>
        <w:t xml:space="preserve"> We typically have shares below 15 per cent in these markets and </w:t>
      </w:r>
      <w:r w:rsidR="00E10F91" w:rsidRPr="001A209B">
        <w:rPr>
          <w:rFonts w:cs="Arial"/>
          <w:sz w:val="18"/>
          <w:szCs w:val="18"/>
        </w:rPr>
        <w:t>prioritise</w:t>
      </w:r>
      <w:r w:rsidRPr="001A209B">
        <w:rPr>
          <w:rFonts w:cs="Arial"/>
          <w:sz w:val="18"/>
          <w:szCs w:val="18"/>
        </w:rPr>
        <w:t xml:space="preserve"> driving lon</w:t>
      </w:r>
      <w:r w:rsidR="00D76958" w:rsidRPr="001A209B">
        <w:rPr>
          <w:rFonts w:cs="Arial"/>
          <w:sz w:val="18"/>
          <w:szCs w:val="18"/>
        </w:rPr>
        <w:t>g-term share and profit growth.</w:t>
      </w:r>
    </w:p>
    <w:p w:rsidR="005D5FC1" w:rsidRPr="001A209B" w:rsidRDefault="005D5FC1" w:rsidP="00853E15">
      <w:pPr>
        <w:spacing w:before="20" w:after="20"/>
        <w:jc w:val="both"/>
        <w:rPr>
          <w:rFonts w:cs="Arial"/>
          <w:sz w:val="18"/>
          <w:szCs w:val="18"/>
        </w:rPr>
      </w:pPr>
    </w:p>
    <w:p w:rsidR="005D5FC1" w:rsidRPr="001A209B" w:rsidRDefault="00E72A97" w:rsidP="00853E15">
      <w:pPr>
        <w:spacing w:before="20" w:after="20"/>
        <w:jc w:val="both"/>
        <w:rPr>
          <w:rFonts w:cs="Arial"/>
          <w:bCs/>
          <w:sz w:val="18"/>
          <w:szCs w:val="18"/>
        </w:rPr>
      </w:pPr>
      <w:r w:rsidRPr="001A209B">
        <w:rPr>
          <w:rFonts w:cs="Arial"/>
          <w:bCs/>
          <w:sz w:val="18"/>
          <w:szCs w:val="18"/>
        </w:rPr>
        <w:t xml:space="preserve">Returns Markets </w:t>
      </w:r>
      <w:r w:rsidR="002B6A54" w:rsidRPr="001A209B">
        <w:rPr>
          <w:rFonts w:cs="Arial"/>
          <w:bCs/>
          <w:sz w:val="18"/>
          <w:szCs w:val="18"/>
        </w:rPr>
        <w:t xml:space="preserve">are split into North and South and </w:t>
      </w:r>
      <w:r w:rsidR="005D5FC1" w:rsidRPr="001A209B">
        <w:rPr>
          <w:rFonts w:cs="Arial"/>
          <w:bCs/>
          <w:sz w:val="18"/>
          <w:szCs w:val="18"/>
        </w:rPr>
        <w:t>include Australia and markets in the</w:t>
      </w:r>
      <w:r w:rsidR="00D76958" w:rsidRPr="001A209B">
        <w:rPr>
          <w:rFonts w:cs="Arial"/>
          <w:bCs/>
          <w:sz w:val="18"/>
          <w:szCs w:val="18"/>
        </w:rPr>
        <w:t xml:space="preserve"> EU, Easte</w:t>
      </w:r>
      <w:r w:rsidRPr="001A209B">
        <w:rPr>
          <w:rFonts w:cs="Arial"/>
          <w:bCs/>
          <w:sz w:val="18"/>
          <w:szCs w:val="18"/>
        </w:rPr>
        <w:t>rn Europe and Africa</w:t>
      </w:r>
      <w:r w:rsidR="002B6A54" w:rsidRPr="001A209B">
        <w:rPr>
          <w:rFonts w:cs="Arial"/>
          <w:bCs/>
          <w:sz w:val="18"/>
          <w:szCs w:val="18"/>
        </w:rPr>
        <w:t xml:space="preserve">, where </w:t>
      </w:r>
      <w:r w:rsidRPr="001A209B">
        <w:rPr>
          <w:rFonts w:cs="Arial"/>
          <w:bCs/>
          <w:sz w:val="18"/>
          <w:szCs w:val="18"/>
        </w:rPr>
        <w:t>we tend to have</w:t>
      </w:r>
      <w:r w:rsidR="005E7A5F" w:rsidRPr="001A209B">
        <w:rPr>
          <w:rFonts w:cs="Arial"/>
          <w:bCs/>
          <w:sz w:val="18"/>
          <w:szCs w:val="18"/>
        </w:rPr>
        <w:t xml:space="preserve"> large shares above 15 per cent. In these markets </w:t>
      </w:r>
      <w:r w:rsidR="005D5FC1" w:rsidRPr="001A209B">
        <w:rPr>
          <w:rFonts w:cs="Arial"/>
          <w:bCs/>
          <w:sz w:val="18"/>
          <w:szCs w:val="18"/>
        </w:rPr>
        <w:t xml:space="preserve">we </w:t>
      </w:r>
      <w:r w:rsidR="00E10F91" w:rsidRPr="001A209B">
        <w:rPr>
          <w:rFonts w:cs="Arial"/>
          <w:bCs/>
          <w:sz w:val="18"/>
          <w:szCs w:val="18"/>
        </w:rPr>
        <w:t>prioritise</w:t>
      </w:r>
      <w:r w:rsidR="005D5FC1" w:rsidRPr="001A209B">
        <w:rPr>
          <w:rFonts w:cs="Arial"/>
          <w:bCs/>
          <w:sz w:val="18"/>
          <w:szCs w:val="18"/>
        </w:rPr>
        <w:t xml:space="preserve"> profit growth and </w:t>
      </w:r>
      <w:r w:rsidR="006A3E6A" w:rsidRPr="001A209B">
        <w:rPr>
          <w:rFonts w:cs="Arial"/>
          <w:bCs/>
          <w:sz w:val="18"/>
          <w:szCs w:val="18"/>
        </w:rPr>
        <w:t xml:space="preserve">actively </w:t>
      </w:r>
      <w:r w:rsidR="005D5FC1" w:rsidRPr="001A209B">
        <w:rPr>
          <w:rFonts w:cs="Arial"/>
          <w:bCs/>
          <w:sz w:val="18"/>
          <w:szCs w:val="18"/>
        </w:rPr>
        <w:t>manag</w:t>
      </w:r>
      <w:r w:rsidR="002211AB" w:rsidRPr="001A209B">
        <w:rPr>
          <w:rFonts w:cs="Arial"/>
          <w:bCs/>
          <w:sz w:val="18"/>
          <w:szCs w:val="18"/>
        </w:rPr>
        <w:t>e</w:t>
      </w:r>
      <w:r w:rsidR="00D76958" w:rsidRPr="001A209B">
        <w:rPr>
          <w:rFonts w:cs="Arial"/>
          <w:bCs/>
          <w:sz w:val="18"/>
          <w:szCs w:val="18"/>
        </w:rPr>
        <w:t xml:space="preserve"> our strong share positions.</w:t>
      </w:r>
    </w:p>
    <w:p w:rsidR="002B6A54" w:rsidRPr="001A209B" w:rsidRDefault="002B6A54" w:rsidP="00853E15">
      <w:pPr>
        <w:spacing w:before="20" w:after="20"/>
        <w:jc w:val="both"/>
        <w:rPr>
          <w:rFonts w:cs="Arial"/>
          <w:bCs/>
          <w:sz w:val="18"/>
          <w:szCs w:val="18"/>
        </w:rPr>
      </w:pPr>
    </w:p>
    <w:p w:rsidR="005D5FC1" w:rsidRPr="001A209B" w:rsidRDefault="002B6A54" w:rsidP="00853E15">
      <w:pPr>
        <w:spacing w:before="20" w:after="20"/>
        <w:jc w:val="both"/>
        <w:rPr>
          <w:rFonts w:cs="Arial"/>
          <w:bCs/>
          <w:sz w:val="18"/>
          <w:szCs w:val="18"/>
        </w:rPr>
      </w:pPr>
      <w:r w:rsidRPr="001A209B">
        <w:rPr>
          <w:rFonts w:cs="Arial"/>
          <w:bCs/>
          <w:sz w:val="18"/>
          <w:szCs w:val="18"/>
        </w:rPr>
        <w:t>Our portfolio priorities are focused on driving the performance of our Growth Brands and Specialist Brands</w:t>
      </w:r>
      <w:r w:rsidR="001461E8" w:rsidRPr="001A209B">
        <w:rPr>
          <w:rFonts w:cs="Arial"/>
          <w:bCs/>
          <w:sz w:val="18"/>
          <w:szCs w:val="18"/>
        </w:rPr>
        <w:t>. These are the most important brands in our portfolio and together they account for more than 50 per cent of our tobacco net revenue. The remainder of our portfolio consists of local and regional brands that fulfil a variety of roles. Some of these brands have the capacity to continue adding to our revenue momentum and others will add greater value by being migrated into Growth Brands.</w:t>
      </w:r>
    </w:p>
    <w:p w:rsidR="00605439" w:rsidRPr="001A209B" w:rsidRDefault="00605439">
      <w:pPr>
        <w:rPr>
          <w:rFonts w:cs="Arial"/>
          <w:b/>
          <w:color w:val="A60D1F"/>
          <w:sz w:val="18"/>
          <w:szCs w:val="18"/>
        </w:rPr>
      </w:pPr>
    </w:p>
    <w:p w:rsidR="00605439" w:rsidRPr="001A209B" w:rsidRDefault="00605439">
      <w:pPr>
        <w:rPr>
          <w:rFonts w:cs="Arial"/>
          <w:b/>
          <w:color w:val="A60D1F"/>
          <w:sz w:val="18"/>
          <w:szCs w:val="18"/>
        </w:rPr>
      </w:pPr>
    </w:p>
    <w:p w:rsidR="004F26E3" w:rsidRPr="001A209B" w:rsidRDefault="004F26E3" w:rsidP="00853E15">
      <w:pPr>
        <w:spacing w:before="20" w:after="20"/>
        <w:jc w:val="both"/>
        <w:rPr>
          <w:rFonts w:cs="Arial"/>
          <w:b/>
          <w:color w:val="A60D1F"/>
          <w:sz w:val="18"/>
          <w:szCs w:val="18"/>
        </w:rPr>
      </w:pPr>
      <w:r w:rsidRPr="001A209B">
        <w:rPr>
          <w:rFonts w:cs="Arial"/>
          <w:b/>
          <w:color w:val="A60D1F"/>
          <w:sz w:val="18"/>
          <w:szCs w:val="18"/>
        </w:rPr>
        <w:t>Growth Markets</w:t>
      </w:r>
    </w:p>
    <w:tbl>
      <w:tblPr>
        <w:tblStyle w:val="TableGrid"/>
        <w:tblW w:w="0" w:type="auto"/>
        <w:tblBorders>
          <w:left w:val="none" w:sz="0" w:space="0" w:color="auto"/>
          <w:right w:val="none" w:sz="0" w:space="0" w:color="auto"/>
          <w:insideV w:val="none" w:sz="0" w:space="0" w:color="auto"/>
        </w:tblBorders>
        <w:tblCellMar>
          <w:left w:w="85" w:type="dxa"/>
          <w:right w:w="85" w:type="dxa"/>
        </w:tblCellMar>
        <w:tblLook w:val="04A0" w:firstRow="1" w:lastRow="0" w:firstColumn="1" w:lastColumn="0" w:noHBand="0" w:noVBand="1"/>
      </w:tblPr>
      <w:tblGrid>
        <w:gridCol w:w="3343"/>
        <w:gridCol w:w="1173"/>
        <w:gridCol w:w="1173"/>
        <w:gridCol w:w="1175"/>
        <w:gridCol w:w="1177"/>
        <w:gridCol w:w="1179"/>
      </w:tblGrid>
      <w:tr w:rsidR="006C377E" w:rsidRPr="001A209B" w:rsidTr="00E24956">
        <w:trPr>
          <w:trHeight w:val="227"/>
        </w:trPr>
        <w:tc>
          <w:tcPr>
            <w:tcW w:w="3369" w:type="dxa"/>
            <w:tcBorders>
              <w:bottom w:val="nil"/>
            </w:tcBorders>
            <w:vAlign w:val="center"/>
          </w:tcPr>
          <w:p w:rsidR="006C377E" w:rsidRPr="001A209B" w:rsidRDefault="006C377E" w:rsidP="006C377E">
            <w:pPr>
              <w:spacing w:before="20" w:after="20"/>
              <w:rPr>
                <w:rFonts w:cs="Arial"/>
                <w:b/>
                <w:color w:val="A60D1F"/>
                <w:sz w:val="18"/>
                <w:szCs w:val="18"/>
              </w:rPr>
            </w:pPr>
          </w:p>
        </w:tc>
        <w:tc>
          <w:tcPr>
            <w:tcW w:w="2358" w:type="dxa"/>
            <w:gridSpan w:val="2"/>
            <w:vAlign w:val="center"/>
          </w:tcPr>
          <w:p w:rsidR="006C377E" w:rsidRPr="001A209B" w:rsidRDefault="006C377E" w:rsidP="00BD59A8">
            <w:pPr>
              <w:spacing w:before="20" w:after="20"/>
              <w:jc w:val="right"/>
              <w:rPr>
                <w:rFonts w:cs="Arial"/>
                <w:b/>
                <w:color w:val="A60D1F"/>
                <w:sz w:val="18"/>
                <w:szCs w:val="18"/>
              </w:rPr>
            </w:pPr>
            <w:r w:rsidRPr="001A209B">
              <w:rPr>
                <w:rFonts w:cs="Arial"/>
                <w:b/>
                <w:bCs/>
                <w:sz w:val="18"/>
                <w:szCs w:val="18"/>
              </w:rPr>
              <w:t>Half Year Result</w:t>
            </w:r>
          </w:p>
        </w:tc>
        <w:tc>
          <w:tcPr>
            <w:tcW w:w="3539" w:type="dxa"/>
            <w:gridSpan w:val="3"/>
            <w:vAlign w:val="center"/>
          </w:tcPr>
          <w:p w:rsidR="006C377E" w:rsidRPr="001A209B" w:rsidRDefault="006C377E" w:rsidP="006C377E">
            <w:pPr>
              <w:spacing w:before="20" w:after="20"/>
              <w:jc w:val="center"/>
              <w:rPr>
                <w:rFonts w:cs="Arial"/>
                <w:b/>
                <w:color w:val="A60D1F"/>
                <w:sz w:val="18"/>
                <w:szCs w:val="18"/>
              </w:rPr>
            </w:pPr>
            <w:r w:rsidRPr="001A209B">
              <w:rPr>
                <w:rFonts w:cs="Arial"/>
                <w:b/>
                <w:bCs/>
                <w:sz w:val="18"/>
                <w:szCs w:val="18"/>
              </w:rPr>
              <w:t>Change</w:t>
            </w:r>
          </w:p>
        </w:tc>
      </w:tr>
      <w:tr w:rsidR="006C377E" w:rsidRPr="001A209B" w:rsidTr="00E24956">
        <w:trPr>
          <w:trHeight w:val="227"/>
        </w:trPr>
        <w:tc>
          <w:tcPr>
            <w:tcW w:w="3369" w:type="dxa"/>
            <w:tcBorders>
              <w:top w:val="nil"/>
              <w:bottom w:val="nil"/>
            </w:tcBorders>
            <w:vAlign w:val="center"/>
          </w:tcPr>
          <w:p w:rsidR="006C377E" w:rsidRPr="001A209B" w:rsidRDefault="006C377E" w:rsidP="006C377E">
            <w:pPr>
              <w:spacing w:before="20" w:after="20"/>
              <w:rPr>
                <w:rFonts w:cs="Arial"/>
                <w:b/>
                <w:color w:val="A60D1F"/>
                <w:sz w:val="18"/>
                <w:szCs w:val="18"/>
              </w:rPr>
            </w:pPr>
          </w:p>
        </w:tc>
        <w:tc>
          <w:tcPr>
            <w:tcW w:w="1179" w:type="dxa"/>
            <w:tcBorders>
              <w:bottom w:val="single" w:sz="4" w:space="0" w:color="auto"/>
            </w:tcBorders>
            <w:vAlign w:val="bottom"/>
          </w:tcPr>
          <w:p w:rsidR="006C377E" w:rsidRPr="001A209B" w:rsidRDefault="006C377E" w:rsidP="006C377E">
            <w:pPr>
              <w:spacing w:before="20" w:after="20"/>
              <w:jc w:val="right"/>
              <w:rPr>
                <w:b/>
                <w:sz w:val="18"/>
                <w:szCs w:val="18"/>
              </w:rPr>
            </w:pPr>
            <w:r w:rsidRPr="001A209B">
              <w:rPr>
                <w:b/>
                <w:sz w:val="18"/>
                <w:szCs w:val="18"/>
              </w:rPr>
              <w:t>2014</w:t>
            </w:r>
          </w:p>
        </w:tc>
        <w:tc>
          <w:tcPr>
            <w:tcW w:w="1179" w:type="dxa"/>
            <w:tcBorders>
              <w:bottom w:val="single" w:sz="4" w:space="0" w:color="auto"/>
            </w:tcBorders>
            <w:vAlign w:val="bottom"/>
          </w:tcPr>
          <w:p w:rsidR="006C377E" w:rsidRPr="001A209B" w:rsidRDefault="006C377E" w:rsidP="006C377E">
            <w:pPr>
              <w:spacing w:before="20" w:after="20"/>
              <w:jc w:val="right"/>
              <w:rPr>
                <w:sz w:val="18"/>
                <w:szCs w:val="18"/>
              </w:rPr>
            </w:pPr>
            <w:r w:rsidRPr="001A209B">
              <w:rPr>
                <w:sz w:val="18"/>
                <w:szCs w:val="18"/>
              </w:rPr>
              <w:t>2013</w:t>
            </w:r>
          </w:p>
        </w:tc>
        <w:tc>
          <w:tcPr>
            <w:tcW w:w="1180" w:type="dxa"/>
            <w:tcBorders>
              <w:bottom w:val="single" w:sz="4" w:space="0" w:color="auto"/>
            </w:tcBorders>
            <w:vAlign w:val="bottom"/>
          </w:tcPr>
          <w:p w:rsidR="006C377E" w:rsidRPr="001A209B" w:rsidRDefault="006C377E" w:rsidP="006C377E">
            <w:pPr>
              <w:spacing w:before="20" w:after="20"/>
              <w:jc w:val="right"/>
              <w:rPr>
                <w:sz w:val="18"/>
                <w:szCs w:val="18"/>
              </w:rPr>
            </w:pPr>
            <w:r w:rsidRPr="001A209B">
              <w:rPr>
                <w:sz w:val="18"/>
                <w:szCs w:val="18"/>
              </w:rPr>
              <w:t>Actual</w:t>
            </w:r>
          </w:p>
        </w:tc>
        <w:tc>
          <w:tcPr>
            <w:tcW w:w="1179" w:type="dxa"/>
            <w:tcBorders>
              <w:bottom w:val="single" w:sz="4" w:space="0" w:color="auto"/>
            </w:tcBorders>
            <w:vAlign w:val="bottom"/>
          </w:tcPr>
          <w:p w:rsidR="006C377E" w:rsidRPr="001A209B" w:rsidRDefault="006C377E" w:rsidP="00C50BC3">
            <w:pPr>
              <w:spacing w:before="20" w:after="20"/>
              <w:jc w:val="right"/>
              <w:rPr>
                <w:sz w:val="18"/>
                <w:szCs w:val="18"/>
              </w:rPr>
            </w:pPr>
            <w:r w:rsidRPr="001A209B">
              <w:rPr>
                <w:sz w:val="18"/>
                <w:szCs w:val="18"/>
              </w:rPr>
              <w:t xml:space="preserve">Constant </w:t>
            </w:r>
            <w:r w:rsidRPr="001A209B">
              <w:rPr>
                <w:rFonts w:cs="Arial"/>
                <w:bCs/>
                <w:sz w:val="18"/>
                <w:szCs w:val="18"/>
              </w:rPr>
              <w:t>Currency</w:t>
            </w:r>
            <w:r w:rsidR="00C50BC3" w:rsidRPr="001A209B">
              <w:rPr>
                <w:rFonts w:cs="Arial"/>
                <w:sz w:val="18"/>
                <w:szCs w:val="18"/>
                <w:vertAlign w:val="superscript"/>
              </w:rPr>
              <w:t>1</w:t>
            </w:r>
          </w:p>
        </w:tc>
        <w:tc>
          <w:tcPr>
            <w:tcW w:w="1180" w:type="dxa"/>
            <w:tcBorders>
              <w:bottom w:val="single" w:sz="4" w:space="0" w:color="auto"/>
            </w:tcBorders>
            <w:vAlign w:val="bottom"/>
          </w:tcPr>
          <w:p w:rsidR="006C377E" w:rsidRPr="001A209B" w:rsidRDefault="006C377E" w:rsidP="00C50BC3">
            <w:pPr>
              <w:spacing w:before="20" w:after="20"/>
              <w:jc w:val="right"/>
              <w:rPr>
                <w:sz w:val="18"/>
                <w:szCs w:val="18"/>
              </w:rPr>
            </w:pPr>
            <w:r w:rsidRPr="001A209B">
              <w:rPr>
                <w:rFonts w:cs="Arial"/>
                <w:sz w:val="18"/>
                <w:szCs w:val="18"/>
              </w:rPr>
              <w:t>Underlying</w:t>
            </w:r>
            <w:r w:rsidR="00C50BC3" w:rsidRPr="001A209B">
              <w:rPr>
                <w:rFonts w:cs="Arial"/>
                <w:sz w:val="18"/>
                <w:szCs w:val="18"/>
                <w:vertAlign w:val="superscript"/>
              </w:rPr>
              <w:t>1</w:t>
            </w:r>
          </w:p>
        </w:tc>
      </w:tr>
      <w:tr w:rsidR="006C377E" w:rsidRPr="001A209B" w:rsidTr="00E24956">
        <w:trPr>
          <w:trHeight w:val="227"/>
        </w:trPr>
        <w:tc>
          <w:tcPr>
            <w:tcW w:w="3369" w:type="dxa"/>
            <w:tcBorders>
              <w:top w:val="nil"/>
              <w:bottom w:val="nil"/>
            </w:tcBorders>
            <w:shd w:val="clear" w:color="auto" w:fill="F1E7E7"/>
            <w:vAlign w:val="center"/>
          </w:tcPr>
          <w:p w:rsidR="006C377E" w:rsidRPr="001A209B" w:rsidRDefault="006C377E" w:rsidP="006C377E">
            <w:pPr>
              <w:spacing w:before="20" w:after="20"/>
              <w:rPr>
                <w:sz w:val="18"/>
                <w:szCs w:val="18"/>
              </w:rPr>
            </w:pPr>
            <w:r w:rsidRPr="001A209B">
              <w:rPr>
                <w:sz w:val="18"/>
                <w:szCs w:val="18"/>
              </w:rPr>
              <w:t xml:space="preserve">Market share (%) </w:t>
            </w:r>
          </w:p>
        </w:tc>
        <w:tc>
          <w:tcPr>
            <w:tcW w:w="1179" w:type="dxa"/>
            <w:tcBorders>
              <w:bottom w:val="nil"/>
              <w:right w:val="nil"/>
            </w:tcBorders>
            <w:shd w:val="clear" w:color="auto" w:fill="F1E7E7"/>
            <w:vAlign w:val="center"/>
          </w:tcPr>
          <w:p w:rsidR="006C377E" w:rsidRPr="001A209B" w:rsidRDefault="006C377E" w:rsidP="003053EF">
            <w:pPr>
              <w:spacing w:before="20" w:after="20"/>
              <w:jc w:val="right"/>
              <w:rPr>
                <w:b/>
                <w:sz w:val="18"/>
                <w:szCs w:val="18"/>
              </w:rPr>
            </w:pPr>
            <w:r w:rsidRPr="001A209B">
              <w:rPr>
                <w:b/>
                <w:sz w:val="18"/>
                <w:szCs w:val="18"/>
              </w:rPr>
              <w:t>5.</w:t>
            </w:r>
            <w:r w:rsidR="00257B8B" w:rsidRPr="001A209B">
              <w:rPr>
                <w:b/>
                <w:sz w:val="18"/>
                <w:szCs w:val="18"/>
              </w:rPr>
              <w:t>7</w:t>
            </w:r>
          </w:p>
        </w:tc>
        <w:tc>
          <w:tcPr>
            <w:tcW w:w="1179" w:type="dxa"/>
            <w:tcBorders>
              <w:left w:val="nil"/>
              <w:bottom w:val="nil"/>
              <w:right w:val="nil"/>
            </w:tcBorders>
            <w:shd w:val="clear" w:color="auto" w:fill="F1E7E7"/>
            <w:vAlign w:val="center"/>
          </w:tcPr>
          <w:p w:rsidR="006C377E" w:rsidRPr="001A209B" w:rsidRDefault="006C377E" w:rsidP="003053EF">
            <w:pPr>
              <w:spacing w:before="20" w:after="20"/>
              <w:jc w:val="right"/>
              <w:rPr>
                <w:sz w:val="18"/>
                <w:szCs w:val="18"/>
              </w:rPr>
            </w:pPr>
            <w:r w:rsidRPr="001A209B">
              <w:rPr>
                <w:sz w:val="18"/>
                <w:szCs w:val="18"/>
              </w:rPr>
              <w:t>5.</w:t>
            </w:r>
            <w:r w:rsidR="00257B8B" w:rsidRPr="001A209B">
              <w:rPr>
                <w:sz w:val="18"/>
                <w:szCs w:val="18"/>
              </w:rPr>
              <w:t>8</w:t>
            </w:r>
          </w:p>
        </w:tc>
        <w:tc>
          <w:tcPr>
            <w:tcW w:w="1180" w:type="dxa"/>
            <w:tcBorders>
              <w:left w:val="nil"/>
              <w:bottom w:val="nil"/>
              <w:right w:val="nil"/>
            </w:tcBorders>
            <w:shd w:val="clear" w:color="auto" w:fill="F1E7E7"/>
            <w:vAlign w:val="center"/>
          </w:tcPr>
          <w:p w:rsidR="006C377E" w:rsidRPr="001A209B" w:rsidRDefault="006C377E" w:rsidP="006C377E">
            <w:pPr>
              <w:spacing w:before="20" w:after="20"/>
              <w:jc w:val="right"/>
              <w:rPr>
                <w:sz w:val="18"/>
                <w:szCs w:val="18"/>
              </w:rPr>
            </w:pPr>
            <w:r w:rsidRPr="001A209B">
              <w:rPr>
                <w:sz w:val="18"/>
                <w:szCs w:val="18"/>
              </w:rPr>
              <w:t>-10 bps</w:t>
            </w:r>
          </w:p>
        </w:tc>
        <w:tc>
          <w:tcPr>
            <w:tcW w:w="1179" w:type="dxa"/>
            <w:tcBorders>
              <w:left w:val="nil"/>
              <w:bottom w:val="nil"/>
              <w:right w:val="nil"/>
            </w:tcBorders>
            <w:shd w:val="clear" w:color="auto" w:fill="F1E7E7"/>
            <w:vAlign w:val="center"/>
          </w:tcPr>
          <w:p w:rsidR="006C377E" w:rsidRPr="001A209B" w:rsidRDefault="006C377E" w:rsidP="006C377E">
            <w:pPr>
              <w:spacing w:before="20" w:after="20"/>
              <w:jc w:val="right"/>
              <w:rPr>
                <w:sz w:val="18"/>
                <w:szCs w:val="18"/>
              </w:rPr>
            </w:pPr>
          </w:p>
        </w:tc>
        <w:tc>
          <w:tcPr>
            <w:tcW w:w="1180" w:type="dxa"/>
            <w:tcBorders>
              <w:left w:val="nil"/>
              <w:bottom w:val="nil"/>
            </w:tcBorders>
            <w:shd w:val="clear" w:color="auto" w:fill="F1E7E7"/>
            <w:vAlign w:val="center"/>
          </w:tcPr>
          <w:p w:rsidR="006C377E" w:rsidRPr="001A209B" w:rsidRDefault="006C377E" w:rsidP="006C377E">
            <w:pPr>
              <w:spacing w:before="20" w:after="20"/>
              <w:jc w:val="right"/>
              <w:rPr>
                <w:sz w:val="18"/>
                <w:szCs w:val="18"/>
              </w:rPr>
            </w:pPr>
          </w:p>
        </w:tc>
      </w:tr>
      <w:tr w:rsidR="006C377E" w:rsidRPr="001A209B" w:rsidTr="00E24956">
        <w:trPr>
          <w:trHeight w:val="227"/>
        </w:trPr>
        <w:tc>
          <w:tcPr>
            <w:tcW w:w="3369" w:type="dxa"/>
            <w:tcBorders>
              <w:top w:val="nil"/>
              <w:bottom w:val="nil"/>
            </w:tcBorders>
            <w:vAlign w:val="center"/>
          </w:tcPr>
          <w:p w:rsidR="006C377E" w:rsidRPr="001A209B" w:rsidRDefault="006C377E" w:rsidP="006C377E">
            <w:pPr>
              <w:spacing w:before="20" w:after="20"/>
              <w:rPr>
                <w:sz w:val="18"/>
                <w:szCs w:val="18"/>
              </w:rPr>
            </w:pPr>
            <w:r w:rsidRPr="001A209B">
              <w:rPr>
                <w:sz w:val="18"/>
                <w:szCs w:val="18"/>
              </w:rPr>
              <w:t>Tobacco net revenue (£m)</w:t>
            </w:r>
          </w:p>
        </w:tc>
        <w:tc>
          <w:tcPr>
            <w:tcW w:w="1179" w:type="dxa"/>
            <w:tcBorders>
              <w:top w:val="nil"/>
              <w:bottom w:val="nil"/>
              <w:right w:val="nil"/>
            </w:tcBorders>
            <w:vAlign w:val="center"/>
          </w:tcPr>
          <w:p w:rsidR="006C377E" w:rsidRPr="001A209B" w:rsidRDefault="006C377E" w:rsidP="006C377E">
            <w:pPr>
              <w:spacing w:before="20" w:after="20"/>
              <w:jc w:val="right"/>
              <w:rPr>
                <w:b/>
                <w:sz w:val="18"/>
                <w:szCs w:val="18"/>
              </w:rPr>
            </w:pPr>
            <w:r w:rsidRPr="001A209B">
              <w:rPr>
                <w:b/>
                <w:sz w:val="18"/>
                <w:szCs w:val="18"/>
              </w:rPr>
              <w:t>914</w:t>
            </w:r>
          </w:p>
        </w:tc>
        <w:tc>
          <w:tcPr>
            <w:tcW w:w="1179" w:type="dxa"/>
            <w:tcBorders>
              <w:top w:val="nil"/>
              <w:left w:val="nil"/>
              <w:bottom w:val="nil"/>
              <w:right w:val="nil"/>
            </w:tcBorders>
            <w:vAlign w:val="center"/>
          </w:tcPr>
          <w:p w:rsidR="006C377E" w:rsidRPr="001A209B" w:rsidRDefault="006C377E" w:rsidP="006C377E">
            <w:pPr>
              <w:spacing w:before="20" w:after="20"/>
              <w:jc w:val="right"/>
              <w:rPr>
                <w:sz w:val="18"/>
                <w:szCs w:val="18"/>
              </w:rPr>
            </w:pPr>
            <w:r w:rsidRPr="001A209B">
              <w:rPr>
                <w:sz w:val="18"/>
                <w:szCs w:val="18"/>
              </w:rPr>
              <w:t>988</w:t>
            </w:r>
          </w:p>
        </w:tc>
        <w:tc>
          <w:tcPr>
            <w:tcW w:w="1180" w:type="dxa"/>
            <w:tcBorders>
              <w:top w:val="nil"/>
              <w:left w:val="nil"/>
              <w:bottom w:val="nil"/>
              <w:right w:val="nil"/>
            </w:tcBorders>
            <w:vAlign w:val="center"/>
          </w:tcPr>
          <w:p w:rsidR="006C377E" w:rsidRPr="001A209B" w:rsidRDefault="006C377E" w:rsidP="006C377E">
            <w:pPr>
              <w:spacing w:before="20" w:after="20"/>
              <w:jc w:val="right"/>
              <w:rPr>
                <w:sz w:val="18"/>
                <w:szCs w:val="18"/>
              </w:rPr>
            </w:pPr>
            <w:r w:rsidRPr="001A209B">
              <w:rPr>
                <w:sz w:val="18"/>
                <w:szCs w:val="18"/>
              </w:rPr>
              <w:t>-7%</w:t>
            </w:r>
          </w:p>
        </w:tc>
        <w:tc>
          <w:tcPr>
            <w:tcW w:w="1179" w:type="dxa"/>
            <w:tcBorders>
              <w:top w:val="nil"/>
              <w:left w:val="nil"/>
              <w:bottom w:val="nil"/>
              <w:right w:val="nil"/>
            </w:tcBorders>
            <w:vAlign w:val="center"/>
          </w:tcPr>
          <w:p w:rsidR="006C377E" w:rsidRPr="001A209B" w:rsidRDefault="006C377E" w:rsidP="006C377E">
            <w:pPr>
              <w:spacing w:before="20" w:after="20"/>
              <w:jc w:val="right"/>
              <w:rPr>
                <w:sz w:val="18"/>
                <w:szCs w:val="18"/>
              </w:rPr>
            </w:pPr>
            <w:r w:rsidRPr="001A209B">
              <w:rPr>
                <w:sz w:val="18"/>
                <w:szCs w:val="18"/>
              </w:rPr>
              <w:t>-4%</w:t>
            </w:r>
          </w:p>
        </w:tc>
        <w:tc>
          <w:tcPr>
            <w:tcW w:w="1180" w:type="dxa"/>
            <w:tcBorders>
              <w:top w:val="nil"/>
              <w:left w:val="nil"/>
              <w:bottom w:val="nil"/>
            </w:tcBorders>
            <w:vAlign w:val="center"/>
          </w:tcPr>
          <w:p w:rsidR="006C377E" w:rsidRPr="001A209B" w:rsidRDefault="006C377E" w:rsidP="006C377E">
            <w:pPr>
              <w:spacing w:before="20" w:after="20"/>
              <w:jc w:val="right"/>
              <w:rPr>
                <w:sz w:val="18"/>
                <w:szCs w:val="18"/>
              </w:rPr>
            </w:pPr>
            <w:r w:rsidRPr="001A209B">
              <w:rPr>
                <w:sz w:val="18"/>
                <w:szCs w:val="18"/>
              </w:rPr>
              <w:t>+7%</w:t>
            </w:r>
          </w:p>
        </w:tc>
      </w:tr>
      <w:tr w:rsidR="006C377E" w:rsidRPr="001A209B" w:rsidTr="00E24956">
        <w:trPr>
          <w:trHeight w:val="227"/>
        </w:trPr>
        <w:tc>
          <w:tcPr>
            <w:tcW w:w="3369" w:type="dxa"/>
            <w:tcBorders>
              <w:top w:val="nil"/>
              <w:bottom w:val="nil"/>
            </w:tcBorders>
            <w:shd w:val="clear" w:color="auto" w:fill="F1E7E7"/>
            <w:vAlign w:val="center"/>
          </w:tcPr>
          <w:p w:rsidR="006C377E" w:rsidRPr="001A209B" w:rsidRDefault="006C377E" w:rsidP="006C377E">
            <w:pPr>
              <w:spacing w:before="20" w:after="20"/>
              <w:rPr>
                <w:sz w:val="18"/>
                <w:szCs w:val="18"/>
              </w:rPr>
            </w:pPr>
            <w:r w:rsidRPr="001A209B">
              <w:rPr>
                <w:sz w:val="18"/>
                <w:szCs w:val="18"/>
              </w:rPr>
              <w:t>Adjusted operating profit (£m)</w:t>
            </w:r>
          </w:p>
        </w:tc>
        <w:tc>
          <w:tcPr>
            <w:tcW w:w="1179" w:type="dxa"/>
            <w:tcBorders>
              <w:top w:val="nil"/>
              <w:bottom w:val="nil"/>
              <w:right w:val="nil"/>
            </w:tcBorders>
            <w:shd w:val="clear" w:color="auto" w:fill="F1E7E7"/>
            <w:vAlign w:val="center"/>
          </w:tcPr>
          <w:p w:rsidR="006C377E" w:rsidRPr="001A209B" w:rsidRDefault="006C377E" w:rsidP="006C377E">
            <w:pPr>
              <w:spacing w:before="20" w:after="20"/>
              <w:jc w:val="right"/>
              <w:rPr>
                <w:b/>
                <w:sz w:val="18"/>
                <w:szCs w:val="18"/>
              </w:rPr>
            </w:pPr>
            <w:r w:rsidRPr="001A209B">
              <w:rPr>
                <w:b/>
                <w:sz w:val="18"/>
                <w:szCs w:val="18"/>
              </w:rPr>
              <w:t>207</w:t>
            </w:r>
          </w:p>
        </w:tc>
        <w:tc>
          <w:tcPr>
            <w:tcW w:w="1179" w:type="dxa"/>
            <w:tcBorders>
              <w:top w:val="nil"/>
              <w:left w:val="nil"/>
              <w:bottom w:val="nil"/>
              <w:right w:val="nil"/>
            </w:tcBorders>
            <w:shd w:val="clear" w:color="auto" w:fill="F1E7E7"/>
            <w:vAlign w:val="center"/>
          </w:tcPr>
          <w:p w:rsidR="006C377E" w:rsidRPr="001A209B" w:rsidRDefault="006C377E" w:rsidP="006C377E">
            <w:pPr>
              <w:spacing w:before="20" w:after="20"/>
              <w:jc w:val="right"/>
              <w:rPr>
                <w:sz w:val="18"/>
                <w:szCs w:val="18"/>
              </w:rPr>
            </w:pPr>
            <w:r w:rsidRPr="001A209B">
              <w:rPr>
                <w:sz w:val="18"/>
                <w:szCs w:val="18"/>
              </w:rPr>
              <w:t>247</w:t>
            </w:r>
          </w:p>
        </w:tc>
        <w:tc>
          <w:tcPr>
            <w:tcW w:w="1180" w:type="dxa"/>
            <w:tcBorders>
              <w:top w:val="nil"/>
              <w:left w:val="nil"/>
              <w:bottom w:val="nil"/>
              <w:right w:val="nil"/>
            </w:tcBorders>
            <w:shd w:val="clear" w:color="auto" w:fill="F1E7E7"/>
            <w:vAlign w:val="center"/>
          </w:tcPr>
          <w:p w:rsidR="006C377E" w:rsidRPr="001A209B" w:rsidRDefault="006C377E" w:rsidP="006C377E">
            <w:pPr>
              <w:spacing w:before="20" w:after="20"/>
              <w:jc w:val="right"/>
              <w:rPr>
                <w:sz w:val="18"/>
                <w:szCs w:val="18"/>
              </w:rPr>
            </w:pPr>
            <w:r w:rsidRPr="001A209B">
              <w:rPr>
                <w:sz w:val="18"/>
                <w:szCs w:val="18"/>
              </w:rPr>
              <w:t>-16%</w:t>
            </w:r>
          </w:p>
        </w:tc>
        <w:tc>
          <w:tcPr>
            <w:tcW w:w="1179" w:type="dxa"/>
            <w:tcBorders>
              <w:top w:val="nil"/>
              <w:left w:val="nil"/>
              <w:bottom w:val="nil"/>
              <w:right w:val="nil"/>
            </w:tcBorders>
            <w:shd w:val="clear" w:color="auto" w:fill="F1E7E7"/>
            <w:vAlign w:val="center"/>
          </w:tcPr>
          <w:p w:rsidR="006C377E" w:rsidRPr="001A209B" w:rsidRDefault="006C377E" w:rsidP="006C377E">
            <w:pPr>
              <w:spacing w:before="20" w:after="20"/>
              <w:jc w:val="right"/>
              <w:rPr>
                <w:sz w:val="18"/>
                <w:szCs w:val="18"/>
              </w:rPr>
            </w:pPr>
            <w:r w:rsidRPr="001A209B">
              <w:rPr>
                <w:sz w:val="18"/>
                <w:szCs w:val="18"/>
              </w:rPr>
              <w:t>-11%</w:t>
            </w:r>
          </w:p>
        </w:tc>
        <w:tc>
          <w:tcPr>
            <w:tcW w:w="1180" w:type="dxa"/>
            <w:tcBorders>
              <w:top w:val="nil"/>
              <w:left w:val="nil"/>
              <w:bottom w:val="nil"/>
            </w:tcBorders>
            <w:shd w:val="clear" w:color="auto" w:fill="F1E7E7"/>
            <w:vAlign w:val="center"/>
          </w:tcPr>
          <w:p w:rsidR="006C377E" w:rsidRPr="001A209B" w:rsidRDefault="006C377E" w:rsidP="006C377E">
            <w:pPr>
              <w:spacing w:before="20" w:after="20"/>
              <w:jc w:val="right"/>
              <w:rPr>
                <w:sz w:val="18"/>
                <w:szCs w:val="18"/>
              </w:rPr>
            </w:pPr>
          </w:p>
        </w:tc>
      </w:tr>
      <w:tr w:rsidR="006C377E" w:rsidRPr="001A209B" w:rsidTr="00E24956">
        <w:trPr>
          <w:trHeight w:val="227"/>
        </w:trPr>
        <w:tc>
          <w:tcPr>
            <w:tcW w:w="3369" w:type="dxa"/>
            <w:tcBorders>
              <w:top w:val="nil"/>
              <w:bottom w:val="nil"/>
            </w:tcBorders>
            <w:vAlign w:val="center"/>
          </w:tcPr>
          <w:p w:rsidR="006C377E" w:rsidRPr="001A209B" w:rsidRDefault="006C377E" w:rsidP="006C377E">
            <w:pPr>
              <w:spacing w:before="20" w:after="20"/>
              <w:rPr>
                <w:sz w:val="18"/>
                <w:szCs w:val="18"/>
              </w:rPr>
            </w:pPr>
            <w:r w:rsidRPr="001A209B">
              <w:rPr>
                <w:sz w:val="18"/>
                <w:szCs w:val="18"/>
              </w:rPr>
              <w:t xml:space="preserve">Growth Brands % tobacco net revenue </w:t>
            </w:r>
          </w:p>
        </w:tc>
        <w:tc>
          <w:tcPr>
            <w:tcW w:w="1179" w:type="dxa"/>
            <w:tcBorders>
              <w:top w:val="nil"/>
              <w:bottom w:val="nil"/>
              <w:right w:val="nil"/>
            </w:tcBorders>
            <w:vAlign w:val="center"/>
          </w:tcPr>
          <w:p w:rsidR="006C377E" w:rsidRPr="001A209B" w:rsidRDefault="006C377E" w:rsidP="006C377E">
            <w:pPr>
              <w:spacing w:before="20" w:after="20"/>
              <w:jc w:val="right"/>
              <w:rPr>
                <w:b/>
                <w:sz w:val="18"/>
                <w:szCs w:val="18"/>
              </w:rPr>
            </w:pPr>
            <w:r w:rsidRPr="001A209B">
              <w:rPr>
                <w:b/>
                <w:sz w:val="18"/>
                <w:szCs w:val="18"/>
              </w:rPr>
              <w:t>37</w:t>
            </w:r>
          </w:p>
        </w:tc>
        <w:tc>
          <w:tcPr>
            <w:tcW w:w="1179" w:type="dxa"/>
            <w:tcBorders>
              <w:top w:val="nil"/>
              <w:left w:val="nil"/>
              <w:bottom w:val="nil"/>
              <w:right w:val="nil"/>
            </w:tcBorders>
            <w:vAlign w:val="center"/>
          </w:tcPr>
          <w:p w:rsidR="006C377E" w:rsidRPr="001A209B" w:rsidRDefault="006C377E" w:rsidP="006C377E">
            <w:pPr>
              <w:spacing w:before="20" w:after="20"/>
              <w:jc w:val="right"/>
              <w:rPr>
                <w:sz w:val="18"/>
                <w:szCs w:val="18"/>
              </w:rPr>
            </w:pPr>
            <w:r w:rsidRPr="001A209B">
              <w:rPr>
                <w:sz w:val="18"/>
                <w:szCs w:val="18"/>
              </w:rPr>
              <w:t>38</w:t>
            </w:r>
          </w:p>
        </w:tc>
        <w:tc>
          <w:tcPr>
            <w:tcW w:w="1180" w:type="dxa"/>
            <w:tcBorders>
              <w:top w:val="nil"/>
              <w:left w:val="nil"/>
              <w:bottom w:val="nil"/>
              <w:right w:val="nil"/>
            </w:tcBorders>
            <w:vAlign w:val="center"/>
          </w:tcPr>
          <w:p w:rsidR="006C377E" w:rsidRPr="001A209B" w:rsidRDefault="006C377E" w:rsidP="006C377E">
            <w:pPr>
              <w:spacing w:before="20" w:after="20"/>
              <w:jc w:val="right"/>
              <w:rPr>
                <w:sz w:val="18"/>
                <w:szCs w:val="18"/>
              </w:rPr>
            </w:pPr>
            <w:r w:rsidRPr="001A209B">
              <w:rPr>
                <w:sz w:val="18"/>
                <w:szCs w:val="18"/>
              </w:rPr>
              <w:t>-80 bps</w:t>
            </w:r>
          </w:p>
        </w:tc>
        <w:tc>
          <w:tcPr>
            <w:tcW w:w="1179" w:type="dxa"/>
            <w:tcBorders>
              <w:top w:val="nil"/>
              <w:left w:val="nil"/>
              <w:bottom w:val="nil"/>
              <w:right w:val="nil"/>
            </w:tcBorders>
            <w:vAlign w:val="center"/>
          </w:tcPr>
          <w:p w:rsidR="006C377E" w:rsidRPr="001A209B" w:rsidRDefault="006C377E" w:rsidP="006C377E">
            <w:pPr>
              <w:spacing w:before="20" w:after="20"/>
              <w:jc w:val="right"/>
              <w:rPr>
                <w:sz w:val="18"/>
                <w:szCs w:val="18"/>
              </w:rPr>
            </w:pPr>
            <w:r w:rsidRPr="001A209B">
              <w:rPr>
                <w:sz w:val="18"/>
                <w:szCs w:val="18"/>
              </w:rPr>
              <w:t>-140 bps</w:t>
            </w:r>
          </w:p>
        </w:tc>
        <w:tc>
          <w:tcPr>
            <w:tcW w:w="1180" w:type="dxa"/>
            <w:tcBorders>
              <w:top w:val="nil"/>
              <w:left w:val="nil"/>
              <w:bottom w:val="nil"/>
            </w:tcBorders>
            <w:vAlign w:val="center"/>
          </w:tcPr>
          <w:p w:rsidR="006C377E" w:rsidRPr="001A209B" w:rsidRDefault="00811EC7" w:rsidP="006C377E">
            <w:pPr>
              <w:spacing w:before="20" w:after="20"/>
              <w:jc w:val="right"/>
              <w:rPr>
                <w:sz w:val="18"/>
                <w:szCs w:val="18"/>
              </w:rPr>
            </w:pPr>
            <w:r>
              <w:rPr>
                <w:sz w:val="18"/>
                <w:szCs w:val="18"/>
              </w:rPr>
              <w:t>+150 bps</w:t>
            </w:r>
          </w:p>
        </w:tc>
      </w:tr>
      <w:tr w:rsidR="006C377E" w:rsidRPr="001A209B" w:rsidTr="00E24956">
        <w:trPr>
          <w:trHeight w:val="227"/>
        </w:trPr>
        <w:tc>
          <w:tcPr>
            <w:tcW w:w="3369" w:type="dxa"/>
            <w:tcBorders>
              <w:top w:val="nil"/>
            </w:tcBorders>
            <w:shd w:val="clear" w:color="auto" w:fill="F1E7E7"/>
            <w:vAlign w:val="center"/>
          </w:tcPr>
          <w:p w:rsidR="006C377E" w:rsidRPr="001A209B" w:rsidRDefault="006C377E" w:rsidP="006C377E">
            <w:pPr>
              <w:spacing w:before="20" w:after="20"/>
              <w:rPr>
                <w:sz w:val="18"/>
                <w:szCs w:val="18"/>
              </w:rPr>
            </w:pPr>
            <w:r w:rsidRPr="001A209B">
              <w:rPr>
                <w:sz w:val="18"/>
                <w:szCs w:val="18"/>
              </w:rPr>
              <w:t>Growth Brand volume (bn SE)</w:t>
            </w:r>
          </w:p>
        </w:tc>
        <w:tc>
          <w:tcPr>
            <w:tcW w:w="1179" w:type="dxa"/>
            <w:tcBorders>
              <w:top w:val="nil"/>
              <w:right w:val="nil"/>
            </w:tcBorders>
            <w:shd w:val="clear" w:color="auto" w:fill="F1E7E7"/>
            <w:vAlign w:val="center"/>
          </w:tcPr>
          <w:p w:rsidR="006C377E" w:rsidRPr="001A209B" w:rsidRDefault="006C377E" w:rsidP="006C377E">
            <w:pPr>
              <w:spacing w:before="20" w:after="20"/>
              <w:jc w:val="right"/>
              <w:rPr>
                <w:b/>
                <w:sz w:val="18"/>
                <w:szCs w:val="18"/>
              </w:rPr>
            </w:pPr>
            <w:r w:rsidRPr="001A209B">
              <w:rPr>
                <w:b/>
                <w:sz w:val="18"/>
                <w:szCs w:val="18"/>
              </w:rPr>
              <w:t>25</w:t>
            </w:r>
          </w:p>
        </w:tc>
        <w:tc>
          <w:tcPr>
            <w:tcW w:w="1179" w:type="dxa"/>
            <w:tcBorders>
              <w:top w:val="nil"/>
              <w:left w:val="nil"/>
              <w:right w:val="nil"/>
            </w:tcBorders>
            <w:shd w:val="clear" w:color="auto" w:fill="F1E7E7"/>
            <w:vAlign w:val="center"/>
          </w:tcPr>
          <w:p w:rsidR="006C377E" w:rsidRPr="001A209B" w:rsidRDefault="006C377E" w:rsidP="006C377E">
            <w:pPr>
              <w:spacing w:before="20" w:after="20"/>
              <w:jc w:val="right"/>
              <w:rPr>
                <w:sz w:val="18"/>
                <w:szCs w:val="18"/>
              </w:rPr>
            </w:pPr>
            <w:r w:rsidRPr="001A209B">
              <w:rPr>
                <w:sz w:val="18"/>
                <w:szCs w:val="18"/>
              </w:rPr>
              <w:t>26</w:t>
            </w:r>
          </w:p>
        </w:tc>
        <w:tc>
          <w:tcPr>
            <w:tcW w:w="1180" w:type="dxa"/>
            <w:tcBorders>
              <w:top w:val="nil"/>
              <w:left w:val="nil"/>
              <w:right w:val="nil"/>
            </w:tcBorders>
            <w:shd w:val="clear" w:color="auto" w:fill="F1E7E7"/>
            <w:vAlign w:val="center"/>
          </w:tcPr>
          <w:p w:rsidR="006C377E" w:rsidRPr="001A209B" w:rsidRDefault="006C377E" w:rsidP="006C377E">
            <w:pPr>
              <w:spacing w:before="20" w:after="20"/>
              <w:jc w:val="right"/>
              <w:rPr>
                <w:sz w:val="18"/>
                <w:szCs w:val="18"/>
              </w:rPr>
            </w:pPr>
            <w:r w:rsidRPr="001A209B">
              <w:rPr>
                <w:sz w:val="18"/>
                <w:szCs w:val="18"/>
              </w:rPr>
              <w:t>-5%</w:t>
            </w:r>
          </w:p>
        </w:tc>
        <w:tc>
          <w:tcPr>
            <w:tcW w:w="1179" w:type="dxa"/>
            <w:tcBorders>
              <w:top w:val="nil"/>
              <w:left w:val="nil"/>
              <w:right w:val="nil"/>
            </w:tcBorders>
            <w:shd w:val="clear" w:color="auto" w:fill="F1E7E7"/>
            <w:vAlign w:val="center"/>
          </w:tcPr>
          <w:p w:rsidR="006C377E" w:rsidRPr="001A209B" w:rsidRDefault="006C377E" w:rsidP="006C377E">
            <w:pPr>
              <w:spacing w:before="20" w:after="20"/>
              <w:jc w:val="right"/>
              <w:rPr>
                <w:sz w:val="18"/>
                <w:szCs w:val="18"/>
              </w:rPr>
            </w:pPr>
          </w:p>
        </w:tc>
        <w:tc>
          <w:tcPr>
            <w:tcW w:w="1180" w:type="dxa"/>
            <w:tcBorders>
              <w:top w:val="nil"/>
              <w:left w:val="nil"/>
            </w:tcBorders>
            <w:shd w:val="clear" w:color="auto" w:fill="F1E7E7"/>
            <w:vAlign w:val="center"/>
          </w:tcPr>
          <w:p w:rsidR="006C377E" w:rsidRPr="001A209B" w:rsidRDefault="006C377E" w:rsidP="006C377E">
            <w:pPr>
              <w:spacing w:before="20" w:after="20"/>
              <w:jc w:val="right"/>
              <w:rPr>
                <w:sz w:val="18"/>
                <w:szCs w:val="18"/>
              </w:rPr>
            </w:pPr>
            <w:r w:rsidRPr="001A209B">
              <w:rPr>
                <w:sz w:val="18"/>
                <w:szCs w:val="18"/>
              </w:rPr>
              <w:t>+11%</w:t>
            </w:r>
          </w:p>
        </w:tc>
      </w:tr>
    </w:tbl>
    <w:p w:rsidR="0007073B" w:rsidRPr="001A209B" w:rsidRDefault="006C2C22" w:rsidP="00853E15">
      <w:pPr>
        <w:spacing w:before="20" w:after="20"/>
        <w:jc w:val="both"/>
        <w:rPr>
          <w:rFonts w:cs="Arial"/>
          <w:bCs/>
          <w:i/>
          <w:sz w:val="16"/>
          <w:szCs w:val="16"/>
        </w:rPr>
      </w:pPr>
      <w:r w:rsidRPr="001A209B">
        <w:rPr>
          <w:rFonts w:cs="Arial"/>
          <w:bCs/>
          <w:i/>
          <w:sz w:val="16"/>
          <w:szCs w:val="16"/>
        </w:rPr>
        <w:t>Market share excludes China</w:t>
      </w:r>
      <w:r w:rsidR="00DF39D3" w:rsidRPr="001A209B">
        <w:rPr>
          <w:rFonts w:cs="Arial"/>
          <w:bCs/>
          <w:i/>
          <w:sz w:val="16"/>
          <w:szCs w:val="16"/>
        </w:rPr>
        <w:t xml:space="preserve">; </w:t>
      </w:r>
      <w:r w:rsidR="00DF39D3" w:rsidRPr="001A209B">
        <w:rPr>
          <w:rFonts w:cs="Arial"/>
          <w:i/>
          <w:sz w:val="18"/>
          <w:szCs w:val="18"/>
          <w:vertAlign w:val="superscript"/>
        </w:rPr>
        <w:t xml:space="preserve">1 </w:t>
      </w:r>
      <w:r w:rsidR="00DF39D3" w:rsidRPr="001A209B">
        <w:rPr>
          <w:rFonts w:cs="Arial"/>
          <w:bCs/>
          <w:i/>
          <w:sz w:val="16"/>
          <w:szCs w:val="16"/>
        </w:rPr>
        <w:t>See page 1</w:t>
      </w:r>
      <w:r w:rsidR="007A266C" w:rsidRPr="001A209B">
        <w:rPr>
          <w:rFonts w:cs="Arial"/>
          <w:bCs/>
          <w:i/>
          <w:sz w:val="16"/>
          <w:szCs w:val="16"/>
        </w:rPr>
        <w:t>1</w:t>
      </w:r>
      <w:r w:rsidR="00DF39D3" w:rsidRPr="001A209B">
        <w:rPr>
          <w:rFonts w:cs="Arial"/>
          <w:bCs/>
          <w:i/>
          <w:sz w:val="16"/>
          <w:szCs w:val="16"/>
        </w:rPr>
        <w:t xml:space="preserve"> for basis of presentation.</w:t>
      </w:r>
    </w:p>
    <w:p w:rsidR="00006ABD" w:rsidRPr="001A209B" w:rsidRDefault="00006ABD" w:rsidP="00853E15">
      <w:pPr>
        <w:spacing w:before="20" w:after="20"/>
        <w:jc w:val="both"/>
        <w:rPr>
          <w:rFonts w:cs="Arial"/>
          <w:bCs/>
          <w:i/>
          <w:sz w:val="16"/>
          <w:szCs w:val="16"/>
        </w:rPr>
      </w:pPr>
    </w:p>
    <w:p w:rsidR="00403F31" w:rsidRPr="001A209B" w:rsidRDefault="005D5FC1" w:rsidP="00853E15">
      <w:pPr>
        <w:spacing w:before="20" w:after="20"/>
        <w:jc w:val="both"/>
        <w:rPr>
          <w:rFonts w:cs="Arial"/>
          <w:i/>
          <w:sz w:val="18"/>
          <w:szCs w:val="18"/>
        </w:rPr>
      </w:pPr>
      <w:r w:rsidRPr="001A209B">
        <w:rPr>
          <w:rFonts w:cs="Arial"/>
          <w:bCs/>
          <w:sz w:val="18"/>
          <w:szCs w:val="18"/>
        </w:rPr>
        <w:t xml:space="preserve">We’re building good </w:t>
      </w:r>
      <w:r w:rsidR="009D6A67" w:rsidRPr="001A209B">
        <w:rPr>
          <w:rFonts w:cs="Arial"/>
          <w:bCs/>
          <w:sz w:val="18"/>
          <w:szCs w:val="18"/>
        </w:rPr>
        <w:t xml:space="preserve">underlying </w:t>
      </w:r>
      <w:r w:rsidRPr="001A209B">
        <w:rPr>
          <w:rFonts w:cs="Arial"/>
          <w:bCs/>
          <w:sz w:val="18"/>
          <w:szCs w:val="18"/>
        </w:rPr>
        <w:t xml:space="preserve">momentum across </w:t>
      </w:r>
      <w:r w:rsidR="00C03F7E" w:rsidRPr="001A209B">
        <w:rPr>
          <w:rFonts w:cs="Arial"/>
          <w:bCs/>
          <w:sz w:val="18"/>
          <w:szCs w:val="18"/>
        </w:rPr>
        <w:t>our Growth Markets</w:t>
      </w:r>
      <w:r w:rsidR="007879BD" w:rsidRPr="001A209B">
        <w:rPr>
          <w:rFonts w:cs="Arial"/>
          <w:bCs/>
          <w:sz w:val="18"/>
          <w:szCs w:val="18"/>
        </w:rPr>
        <w:t xml:space="preserve">. Against a backdrop of industry volume declines of </w:t>
      </w:r>
      <w:r w:rsidR="00433DB7" w:rsidRPr="001A209B">
        <w:rPr>
          <w:rFonts w:cs="Arial"/>
          <w:bCs/>
          <w:sz w:val="18"/>
          <w:szCs w:val="18"/>
        </w:rPr>
        <w:t>4</w:t>
      </w:r>
      <w:r w:rsidR="007879BD" w:rsidRPr="001A209B">
        <w:rPr>
          <w:rFonts w:cs="Arial"/>
          <w:bCs/>
          <w:sz w:val="18"/>
          <w:szCs w:val="18"/>
        </w:rPr>
        <w:t xml:space="preserve"> per cent </w:t>
      </w:r>
      <w:r w:rsidR="00936470" w:rsidRPr="001A209B">
        <w:rPr>
          <w:rFonts w:cs="Arial"/>
          <w:bCs/>
          <w:sz w:val="18"/>
          <w:szCs w:val="18"/>
        </w:rPr>
        <w:t xml:space="preserve">in our Growth Markets </w:t>
      </w:r>
      <w:r w:rsidR="007879BD" w:rsidRPr="001A209B">
        <w:rPr>
          <w:rFonts w:cs="Arial"/>
          <w:bCs/>
          <w:sz w:val="18"/>
          <w:szCs w:val="18"/>
        </w:rPr>
        <w:t>we improved</w:t>
      </w:r>
      <w:r w:rsidR="00C03F7E" w:rsidRPr="001A209B">
        <w:rPr>
          <w:rFonts w:cs="Arial"/>
          <w:bCs/>
          <w:sz w:val="18"/>
          <w:szCs w:val="18"/>
        </w:rPr>
        <w:t xml:space="preserve"> </w:t>
      </w:r>
      <w:r w:rsidR="00E96E50" w:rsidRPr="001A209B">
        <w:rPr>
          <w:rFonts w:cs="Arial"/>
          <w:bCs/>
          <w:sz w:val="18"/>
          <w:szCs w:val="18"/>
        </w:rPr>
        <w:t xml:space="preserve">underlying </w:t>
      </w:r>
      <w:r w:rsidR="00C03F7E" w:rsidRPr="001A209B">
        <w:rPr>
          <w:rFonts w:cs="Arial"/>
          <w:bCs/>
          <w:sz w:val="18"/>
          <w:szCs w:val="18"/>
        </w:rPr>
        <w:t xml:space="preserve">net revenue by </w:t>
      </w:r>
      <w:r w:rsidR="00A52EC2" w:rsidRPr="001A209B">
        <w:rPr>
          <w:rFonts w:cs="Arial"/>
          <w:bCs/>
          <w:sz w:val="18"/>
          <w:szCs w:val="18"/>
        </w:rPr>
        <w:t>7</w:t>
      </w:r>
      <w:r w:rsidR="00C03F7E" w:rsidRPr="001A209B">
        <w:rPr>
          <w:rFonts w:cs="Arial"/>
          <w:bCs/>
          <w:sz w:val="18"/>
          <w:szCs w:val="18"/>
        </w:rPr>
        <w:t xml:space="preserve"> per cent</w:t>
      </w:r>
      <w:r w:rsidR="002C025A" w:rsidRPr="001A209B">
        <w:rPr>
          <w:rFonts w:cs="Arial"/>
          <w:bCs/>
          <w:sz w:val="18"/>
          <w:szCs w:val="18"/>
        </w:rPr>
        <w:t>.</w:t>
      </w:r>
      <w:r w:rsidR="007879BD" w:rsidRPr="001A209B">
        <w:rPr>
          <w:rFonts w:cs="Arial"/>
          <w:bCs/>
          <w:sz w:val="18"/>
          <w:szCs w:val="18"/>
        </w:rPr>
        <w:t xml:space="preserve"> </w:t>
      </w:r>
      <w:r w:rsidR="00C03F7E" w:rsidRPr="001A209B">
        <w:rPr>
          <w:rFonts w:cs="Arial"/>
          <w:bCs/>
          <w:sz w:val="18"/>
          <w:szCs w:val="18"/>
        </w:rPr>
        <w:t xml:space="preserve">Our share </w:t>
      </w:r>
      <w:r w:rsidR="000342CC" w:rsidRPr="001A209B">
        <w:rPr>
          <w:rFonts w:cs="Arial"/>
          <w:bCs/>
          <w:sz w:val="18"/>
          <w:szCs w:val="18"/>
        </w:rPr>
        <w:t xml:space="preserve">was </w:t>
      </w:r>
      <w:r w:rsidR="002C025A" w:rsidRPr="001A209B">
        <w:rPr>
          <w:rFonts w:cs="Arial"/>
          <w:bCs/>
          <w:sz w:val="18"/>
          <w:szCs w:val="18"/>
        </w:rPr>
        <w:t xml:space="preserve">broadly </w:t>
      </w:r>
      <w:r w:rsidR="000342CC" w:rsidRPr="001A209B">
        <w:rPr>
          <w:rFonts w:cs="Arial"/>
          <w:bCs/>
          <w:sz w:val="18"/>
          <w:szCs w:val="18"/>
        </w:rPr>
        <w:t>flat,</w:t>
      </w:r>
      <w:r w:rsidR="00C03F7E" w:rsidRPr="001A209B">
        <w:rPr>
          <w:rFonts w:cs="Arial"/>
          <w:bCs/>
          <w:sz w:val="18"/>
          <w:szCs w:val="18"/>
        </w:rPr>
        <w:t xml:space="preserve"> </w:t>
      </w:r>
      <w:r w:rsidR="000342CC" w:rsidRPr="001A209B">
        <w:rPr>
          <w:rFonts w:cs="Arial"/>
          <w:bCs/>
          <w:sz w:val="18"/>
          <w:szCs w:val="18"/>
        </w:rPr>
        <w:t>held back by weak industry volumes</w:t>
      </w:r>
      <w:r w:rsidRPr="001A209B">
        <w:rPr>
          <w:rFonts w:cs="Arial"/>
          <w:sz w:val="18"/>
          <w:szCs w:val="18"/>
        </w:rPr>
        <w:t xml:space="preserve"> in Russia</w:t>
      </w:r>
      <w:r w:rsidR="000342CC" w:rsidRPr="001A209B">
        <w:rPr>
          <w:rFonts w:cs="Arial"/>
          <w:sz w:val="18"/>
          <w:szCs w:val="18"/>
        </w:rPr>
        <w:t xml:space="preserve">. </w:t>
      </w:r>
      <w:r w:rsidRPr="001A209B">
        <w:rPr>
          <w:rFonts w:cs="Arial"/>
          <w:sz w:val="18"/>
          <w:szCs w:val="18"/>
        </w:rPr>
        <w:t>Our Growth Brands performed well in a broad spread of markets, reflecting the qu</w:t>
      </w:r>
      <w:r w:rsidR="000C3FB5" w:rsidRPr="001A209B">
        <w:rPr>
          <w:rFonts w:cs="Arial"/>
          <w:sz w:val="18"/>
          <w:szCs w:val="18"/>
        </w:rPr>
        <w:t xml:space="preserve">ality of growth we’re </w:t>
      </w:r>
      <w:r w:rsidR="00AE3861" w:rsidRPr="001A209B">
        <w:rPr>
          <w:rFonts w:cs="Arial"/>
          <w:sz w:val="18"/>
          <w:szCs w:val="18"/>
        </w:rPr>
        <w:t>targeting</w:t>
      </w:r>
      <w:r w:rsidR="000C3FB5" w:rsidRPr="001A209B">
        <w:rPr>
          <w:rFonts w:cs="Arial"/>
          <w:sz w:val="18"/>
          <w:szCs w:val="18"/>
        </w:rPr>
        <w:t>.</w:t>
      </w:r>
      <w:r w:rsidR="00403F31" w:rsidRPr="001A209B">
        <w:rPr>
          <w:rFonts w:cs="Arial"/>
          <w:sz w:val="18"/>
          <w:szCs w:val="18"/>
        </w:rPr>
        <w:t xml:space="preserve"> </w:t>
      </w:r>
      <w:r w:rsidR="009D6A67" w:rsidRPr="001A209B">
        <w:rPr>
          <w:rFonts w:cs="Arial"/>
          <w:sz w:val="18"/>
          <w:szCs w:val="18"/>
        </w:rPr>
        <w:t>Our Specialist Brand p</w:t>
      </w:r>
      <w:r w:rsidR="00403F31" w:rsidRPr="001A209B">
        <w:rPr>
          <w:rFonts w:cs="Arial"/>
          <w:sz w:val="18"/>
          <w:szCs w:val="18"/>
        </w:rPr>
        <w:t>remium cigars continue to gain ground in a number of territories, with Cohiba, Montecristo and Romeo Y Julieta all increasing volumes.</w:t>
      </w:r>
    </w:p>
    <w:p w:rsidR="00F233C7" w:rsidRPr="001A209B" w:rsidRDefault="00F233C7">
      <w:pPr>
        <w:rPr>
          <w:rFonts w:cs="Arial"/>
          <w:bCs/>
          <w:sz w:val="18"/>
          <w:szCs w:val="18"/>
        </w:rPr>
      </w:pPr>
    </w:p>
    <w:tbl>
      <w:tblPr>
        <w:tblW w:w="5000" w:type="pct"/>
        <w:tblLook w:val="01E0" w:firstRow="1" w:lastRow="1" w:firstColumn="1" w:lastColumn="1" w:noHBand="0" w:noVBand="0"/>
      </w:tblPr>
      <w:tblGrid>
        <w:gridCol w:w="1494"/>
        <w:gridCol w:w="7772"/>
      </w:tblGrid>
      <w:tr w:rsidR="00A62016" w:rsidRPr="001A209B" w:rsidTr="009536D1">
        <w:trPr>
          <w:cantSplit/>
        </w:trPr>
        <w:tc>
          <w:tcPr>
            <w:tcW w:w="806" w:type="pct"/>
            <w:tcBorders>
              <w:bottom w:val="single" w:sz="4" w:space="0" w:color="auto"/>
            </w:tcBorders>
          </w:tcPr>
          <w:p w:rsidR="00A62016" w:rsidRPr="001A209B" w:rsidRDefault="00A62016" w:rsidP="00E31697">
            <w:pPr>
              <w:spacing w:before="20" w:after="20"/>
              <w:rPr>
                <w:rFonts w:cs="Arial"/>
                <w:b/>
                <w:color w:val="A60D1F"/>
                <w:sz w:val="18"/>
                <w:szCs w:val="18"/>
              </w:rPr>
            </w:pPr>
            <w:r w:rsidRPr="001A209B">
              <w:rPr>
                <w:rFonts w:cs="Arial"/>
                <w:b/>
                <w:color w:val="A60D1F"/>
                <w:sz w:val="18"/>
                <w:szCs w:val="18"/>
              </w:rPr>
              <w:t>Country</w:t>
            </w:r>
          </w:p>
        </w:tc>
        <w:tc>
          <w:tcPr>
            <w:tcW w:w="4194" w:type="pct"/>
            <w:tcBorders>
              <w:bottom w:val="single" w:sz="4" w:space="0" w:color="auto"/>
            </w:tcBorders>
          </w:tcPr>
          <w:p w:rsidR="00A62016" w:rsidRPr="001A209B" w:rsidRDefault="00A62016" w:rsidP="009536D1">
            <w:pPr>
              <w:spacing w:before="20" w:after="20"/>
              <w:jc w:val="both"/>
              <w:rPr>
                <w:rFonts w:cs="Arial"/>
                <w:b/>
                <w:color w:val="A60D1F"/>
                <w:sz w:val="18"/>
                <w:szCs w:val="18"/>
              </w:rPr>
            </w:pPr>
            <w:r w:rsidRPr="001A209B">
              <w:rPr>
                <w:rFonts w:cs="Arial"/>
                <w:b/>
                <w:color w:val="A60D1F"/>
                <w:sz w:val="18"/>
                <w:szCs w:val="18"/>
              </w:rPr>
              <w:t>Performance</w:t>
            </w:r>
          </w:p>
        </w:tc>
      </w:tr>
      <w:tr w:rsidR="00E31697" w:rsidRPr="001A209B" w:rsidTr="009536D1">
        <w:trPr>
          <w:cantSplit/>
        </w:trPr>
        <w:tc>
          <w:tcPr>
            <w:tcW w:w="806" w:type="pct"/>
            <w:tcBorders>
              <w:top w:val="single" w:sz="4" w:space="0" w:color="auto"/>
            </w:tcBorders>
            <w:shd w:val="clear" w:color="auto" w:fill="auto"/>
          </w:tcPr>
          <w:p w:rsidR="00E31697" w:rsidRPr="001A209B" w:rsidRDefault="00E31697" w:rsidP="00E31697">
            <w:pPr>
              <w:spacing w:before="20" w:after="20"/>
              <w:rPr>
                <w:rFonts w:cs="Arial"/>
                <w:sz w:val="18"/>
                <w:szCs w:val="18"/>
              </w:rPr>
            </w:pPr>
            <w:r w:rsidRPr="001A209B">
              <w:rPr>
                <w:rFonts w:cs="Arial"/>
                <w:sz w:val="18"/>
                <w:szCs w:val="18"/>
              </w:rPr>
              <w:t>Greece</w:t>
            </w:r>
          </w:p>
        </w:tc>
        <w:tc>
          <w:tcPr>
            <w:tcW w:w="4194" w:type="pct"/>
            <w:tcBorders>
              <w:top w:val="single" w:sz="4" w:space="0" w:color="auto"/>
            </w:tcBorders>
            <w:shd w:val="clear" w:color="auto" w:fill="auto"/>
          </w:tcPr>
          <w:p w:rsidR="00E31697" w:rsidRPr="001A209B" w:rsidRDefault="009E2999" w:rsidP="00CE3992">
            <w:pPr>
              <w:spacing w:before="20" w:after="20"/>
              <w:jc w:val="both"/>
              <w:rPr>
                <w:rFonts w:cs="Arial"/>
                <w:bCs/>
                <w:sz w:val="18"/>
                <w:szCs w:val="18"/>
              </w:rPr>
            </w:pPr>
            <w:r w:rsidRPr="001A209B">
              <w:rPr>
                <w:rFonts w:cs="Arial"/>
                <w:bCs/>
                <w:sz w:val="18"/>
                <w:szCs w:val="18"/>
              </w:rPr>
              <w:t>Gains</w:t>
            </w:r>
            <w:r w:rsidR="00E31697" w:rsidRPr="001A209B">
              <w:rPr>
                <w:rFonts w:cs="Arial"/>
                <w:bCs/>
                <w:sz w:val="18"/>
                <w:szCs w:val="18"/>
              </w:rPr>
              <w:t xml:space="preserve"> from Davidoff </w:t>
            </w:r>
            <w:r w:rsidR="00E24A5B" w:rsidRPr="001A209B">
              <w:rPr>
                <w:rFonts w:cs="Arial"/>
                <w:bCs/>
                <w:sz w:val="18"/>
                <w:szCs w:val="18"/>
              </w:rPr>
              <w:t>supported by</w:t>
            </w:r>
            <w:r w:rsidR="00E31697" w:rsidRPr="001A209B">
              <w:rPr>
                <w:rFonts w:cs="Arial"/>
                <w:bCs/>
                <w:sz w:val="18"/>
                <w:szCs w:val="18"/>
              </w:rPr>
              <w:t xml:space="preserve"> JPS enhanced ou</w:t>
            </w:r>
            <w:r w:rsidRPr="001A209B">
              <w:rPr>
                <w:rFonts w:cs="Arial"/>
                <w:bCs/>
                <w:sz w:val="18"/>
                <w:szCs w:val="18"/>
              </w:rPr>
              <w:t>r cigarette market share and w</w:t>
            </w:r>
            <w:r w:rsidR="00E31697" w:rsidRPr="001A209B">
              <w:rPr>
                <w:rFonts w:cs="Arial"/>
                <w:bCs/>
                <w:sz w:val="18"/>
                <w:szCs w:val="18"/>
              </w:rPr>
              <w:t xml:space="preserve">e added to our fine cut tobacco presence with the launch of the </w:t>
            </w:r>
            <w:r w:rsidR="001629BE" w:rsidRPr="001A209B">
              <w:rPr>
                <w:rFonts w:cs="Arial"/>
                <w:bCs/>
                <w:sz w:val="18"/>
                <w:szCs w:val="18"/>
              </w:rPr>
              <w:t>new</w:t>
            </w:r>
            <w:r w:rsidR="00E31697" w:rsidRPr="001A209B">
              <w:rPr>
                <w:rFonts w:cs="Arial"/>
                <w:bCs/>
                <w:sz w:val="18"/>
                <w:szCs w:val="18"/>
              </w:rPr>
              <w:t xml:space="preserve"> </w:t>
            </w:r>
            <w:r w:rsidR="0058133F" w:rsidRPr="001A209B">
              <w:rPr>
                <w:rFonts w:cs="Arial"/>
                <w:bCs/>
                <w:sz w:val="18"/>
                <w:szCs w:val="18"/>
              </w:rPr>
              <w:t>fine cut tobacco</w:t>
            </w:r>
            <w:r w:rsidR="00CE3992" w:rsidRPr="001A209B">
              <w:rPr>
                <w:rFonts w:cs="Arial"/>
                <w:bCs/>
                <w:sz w:val="18"/>
                <w:szCs w:val="18"/>
              </w:rPr>
              <w:t xml:space="preserve"> offering: </w:t>
            </w:r>
            <w:r w:rsidR="00E31697" w:rsidRPr="001A209B">
              <w:rPr>
                <w:rFonts w:cs="Arial"/>
                <w:bCs/>
                <w:sz w:val="18"/>
                <w:szCs w:val="18"/>
              </w:rPr>
              <w:t>gV</w:t>
            </w:r>
            <w:r w:rsidR="00BD0B8F" w:rsidRPr="001A209B">
              <w:rPr>
                <w:rFonts w:cs="Arial"/>
                <w:bCs/>
                <w:sz w:val="18"/>
                <w:szCs w:val="18"/>
              </w:rPr>
              <w:t>.</w:t>
            </w:r>
          </w:p>
        </w:tc>
      </w:tr>
      <w:tr w:rsidR="00E31697" w:rsidRPr="001A209B" w:rsidTr="009536D1">
        <w:trPr>
          <w:cantSplit/>
        </w:trPr>
        <w:tc>
          <w:tcPr>
            <w:tcW w:w="806" w:type="pct"/>
            <w:shd w:val="clear" w:color="auto" w:fill="auto"/>
          </w:tcPr>
          <w:p w:rsidR="00E31697" w:rsidRPr="001A209B" w:rsidRDefault="00E31697" w:rsidP="00E31697">
            <w:pPr>
              <w:spacing w:before="20" w:after="20"/>
              <w:rPr>
                <w:rFonts w:cs="Arial"/>
                <w:sz w:val="18"/>
                <w:szCs w:val="18"/>
              </w:rPr>
            </w:pPr>
            <w:r w:rsidRPr="001A209B">
              <w:rPr>
                <w:rFonts w:cs="Arial"/>
                <w:sz w:val="18"/>
                <w:szCs w:val="18"/>
              </w:rPr>
              <w:t>Italy</w:t>
            </w:r>
          </w:p>
        </w:tc>
        <w:tc>
          <w:tcPr>
            <w:tcW w:w="4194" w:type="pct"/>
            <w:shd w:val="clear" w:color="auto" w:fill="auto"/>
          </w:tcPr>
          <w:p w:rsidR="00E31697" w:rsidRPr="001A209B" w:rsidRDefault="00E31697" w:rsidP="009536D1">
            <w:pPr>
              <w:spacing w:before="20" w:after="20"/>
              <w:jc w:val="both"/>
              <w:rPr>
                <w:rFonts w:cs="Arial"/>
                <w:bCs/>
                <w:sz w:val="18"/>
                <w:szCs w:val="18"/>
              </w:rPr>
            </w:pPr>
            <w:r w:rsidRPr="001A209B">
              <w:rPr>
                <w:rFonts w:cs="Arial"/>
                <w:bCs/>
                <w:sz w:val="18"/>
                <w:szCs w:val="18"/>
              </w:rPr>
              <w:t>We grew our cigarette share with JPS continuing to drive performance in an increasingly competitive environment.</w:t>
            </w:r>
            <w:r w:rsidR="009E2999" w:rsidRPr="001A209B">
              <w:rPr>
                <w:rFonts w:cs="Arial"/>
                <w:bCs/>
                <w:sz w:val="18"/>
                <w:szCs w:val="18"/>
              </w:rPr>
              <w:t xml:space="preserve"> </w:t>
            </w:r>
          </w:p>
        </w:tc>
      </w:tr>
      <w:tr w:rsidR="00E31697" w:rsidRPr="001A209B" w:rsidTr="009536D1">
        <w:trPr>
          <w:cantSplit/>
        </w:trPr>
        <w:tc>
          <w:tcPr>
            <w:tcW w:w="806" w:type="pct"/>
            <w:shd w:val="clear" w:color="auto" w:fill="auto"/>
          </w:tcPr>
          <w:p w:rsidR="00E31697" w:rsidRPr="001A209B" w:rsidRDefault="00E31697" w:rsidP="00E31697">
            <w:pPr>
              <w:spacing w:before="20" w:after="20"/>
              <w:rPr>
                <w:rFonts w:cs="Arial"/>
                <w:sz w:val="18"/>
                <w:szCs w:val="18"/>
              </w:rPr>
            </w:pPr>
            <w:r w:rsidRPr="001A209B">
              <w:rPr>
                <w:rFonts w:cs="Arial"/>
                <w:sz w:val="18"/>
                <w:szCs w:val="18"/>
              </w:rPr>
              <w:t>Sweden &amp;</w:t>
            </w:r>
          </w:p>
          <w:p w:rsidR="00E31697" w:rsidRPr="001A209B" w:rsidRDefault="00E31697" w:rsidP="00E31697">
            <w:pPr>
              <w:spacing w:before="20" w:after="20"/>
              <w:rPr>
                <w:rFonts w:cs="Arial"/>
                <w:sz w:val="18"/>
                <w:szCs w:val="18"/>
              </w:rPr>
            </w:pPr>
            <w:r w:rsidRPr="001A209B">
              <w:rPr>
                <w:rFonts w:cs="Arial"/>
                <w:sz w:val="18"/>
                <w:szCs w:val="18"/>
              </w:rPr>
              <w:t>Norway</w:t>
            </w:r>
          </w:p>
        </w:tc>
        <w:tc>
          <w:tcPr>
            <w:tcW w:w="4194" w:type="pct"/>
            <w:shd w:val="clear" w:color="auto" w:fill="auto"/>
          </w:tcPr>
          <w:p w:rsidR="00E31697" w:rsidRPr="001A209B" w:rsidRDefault="00E31697" w:rsidP="009536D1">
            <w:pPr>
              <w:spacing w:before="20" w:after="20"/>
              <w:jc w:val="both"/>
              <w:rPr>
                <w:rFonts w:cs="Arial"/>
                <w:bCs/>
                <w:sz w:val="18"/>
                <w:szCs w:val="18"/>
              </w:rPr>
            </w:pPr>
            <w:r w:rsidRPr="001A209B">
              <w:rPr>
                <w:rFonts w:cs="Arial"/>
                <w:bCs/>
                <w:sz w:val="18"/>
                <w:szCs w:val="18"/>
              </w:rPr>
              <w:t xml:space="preserve">Our snus business increased share, volume, revenue and profit driven by another excellent performance from Skruf. </w:t>
            </w:r>
          </w:p>
        </w:tc>
      </w:tr>
      <w:tr w:rsidR="00E31697" w:rsidRPr="001A209B" w:rsidTr="009536D1">
        <w:trPr>
          <w:cantSplit/>
        </w:trPr>
        <w:tc>
          <w:tcPr>
            <w:tcW w:w="806" w:type="pct"/>
            <w:shd w:val="clear" w:color="auto" w:fill="auto"/>
          </w:tcPr>
          <w:p w:rsidR="00E31697" w:rsidRPr="001A209B" w:rsidRDefault="00041ADA" w:rsidP="00E31697">
            <w:pPr>
              <w:spacing w:before="20" w:after="20"/>
              <w:rPr>
                <w:rFonts w:cs="Arial"/>
                <w:sz w:val="18"/>
                <w:szCs w:val="18"/>
              </w:rPr>
            </w:pPr>
            <w:r w:rsidRPr="001A209B">
              <w:rPr>
                <w:rFonts w:cs="Arial"/>
                <w:sz w:val="18"/>
                <w:szCs w:val="18"/>
              </w:rPr>
              <w:t>Iraq</w:t>
            </w:r>
          </w:p>
        </w:tc>
        <w:tc>
          <w:tcPr>
            <w:tcW w:w="4194" w:type="pct"/>
            <w:shd w:val="clear" w:color="auto" w:fill="auto"/>
          </w:tcPr>
          <w:p w:rsidR="00E31697" w:rsidRPr="001A209B" w:rsidRDefault="00041ADA" w:rsidP="009536D1">
            <w:pPr>
              <w:spacing w:before="20" w:after="20"/>
              <w:jc w:val="both"/>
              <w:rPr>
                <w:rFonts w:cs="Arial"/>
                <w:bCs/>
                <w:sz w:val="18"/>
                <w:szCs w:val="18"/>
              </w:rPr>
            </w:pPr>
            <w:r w:rsidRPr="001A209B">
              <w:rPr>
                <w:rFonts w:cs="Arial"/>
                <w:bCs/>
                <w:sz w:val="18"/>
                <w:szCs w:val="18"/>
              </w:rPr>
              <w:t xml:space="preserve">Our supply agility is improving </w:t>
            </w:r>
            <w:r w:rsidR="00BD0B8F" w:rsidRPr="001A209B">
              <w:rPr>
                <w:rFonts w:cs="Arial"/>
                <w:bCs/>
                <w:sz w:val="18"/>
                <w:szCs w:val="18"/>
              </w:rPr>
              <w:t>with</w:t>
            </w:r>
            <w:r w:rsidRPr="001A209B">
              <w:rPr>
                <w:rFonts w:cs="Arial"/>
                <w:bCs/>
                <w:sz w:val="18"/>
                <w:szCs w:val="18"/>
              </w:rPr>
              <w:t xml:space="preserve"> the success of our stock optimisation programme. </w:t>
            </w:r>
            <w:r w:rsidR="00A76DBC" w:rsidRPr="001A209B">
              <w:rPr>
                <w:rFonts w:cs="Arial"/>
                <w:bCs/>
                <w:sz w:val="18"/>
                <w:szCs w:val="18"/>
              </w:rPr>
              <w:t xml:space="preserve">West Gauloises Blondes </w:t>
            </w:r>
            <w:r w:rsidRPr="001A209B">
              <w:rPr>
                <w:rFonts w:cs="Arial"/>
                <w:bCs/>
                <w:sz w:val="18"/>
                <w:szCs w:val="18"/>
              </w:rPr>
              <w:t xml:space="preserve">and Gitanes </w:t>
            </w:r>
            <w:r w:rsidR="00BD0B8F" w:rsidRPr="001A209B">
              <w:rPr>
                <w:rFonts w:cs="Arial"/>
                <w:bCs/>
                <w:sz w:val="18"/>
                <w:szCs w:val="18"/>
              </w:rPr>
              <w:t xml:space="preserve">gained volume and migrating </w:t>
            </w:r>
            <w:r w:rsidR="00A76DBC" w:rsidRPr="001A209B">
              <w:rPr>
                <w:rFonts w:cs="Arial"/>
                <w:bCs/>
                <w:sz w:val="18"/>
                <w:szCs w:val="18"/>
              </w:rPr>
              <w:t>a local brand</w:t>
            </w:r>
            <w:r w:rsidR="00BD0B8F" w:rsidRPr="001A209B">
              <w:rPr>
                <w:rFonts w:cs="Arial"/>
                <w:bCs/>
                <w:sz w:val="18"/>
                <w:szCs w:val="18"/>
              </w:rPr>
              <w:t xml:space="preserve"> into</w:t>
            </w:r>
            <w:r w:rsidRPr="001A209B">
              <w:rPr>
                <w:rFonts w:cs="Arial"/>
                <w:bCs/>
                <w:sz w:val="18"/>
                <w:szCs w:val="18"/>
              </w:rPr>
              <w:t xml:space="preserve"> Parker &amp; Simpson </w:t>
            </w:r>
            <w:r w:rsidR="00A76DBC" w:rsidRPr="001A209B">
              <w:rPr>
                <w:rFonts w:cs="Arial"/>
                <w:bCs/>
                <w:sz w:val="18"/>
                <w:szCs w:val="18"/>
              </w:rPr>
              <w:t xml:space="preserve">is </w:t>
            </w:r>
            <w:r w:rsidR="00DF1068" w:rsidRPr="001A209B">
              <w:rPr>
                <w:rFonts w:cs="Arial"/>
                <w:bCs/>
                <w:sz w:val="18"/>
                <w:szCs w:val="18"/>
              </w:rPr>
              <w:t xml:space="preserve">further </w:t>
            </w:r>
            <w:r w:rsidR="00A76DBC" w:rsidRPr="001A209B">
              <w:rPr>
                <w:rFonts w:cs="Arial"/>
                <w:bCs/>
                <w:sz w:val="18"/>
                <w:szCs w:val="18"/>
              </w:rPr>
              <w:t>improving our quality of growth.</w:t>
            </w:r>
            <w:r w:rsidRPr="001A209B">
              <w:rPr>
                <w:rFonts w:cs="Arial"/>
                <w:bCs/>
                <w:sz w:val="18"/>
                <w:szCs w:val="18"/>
              </w:rPr>
              <w:t xml:space="preserve"> </w:t>
            </w:r>
          </w:p>
        </w:tc>
      </w:tr>
      <w:tr w:rsidR="00E31697" w:rsidRPr="001A209B" w:rsidTr="009536D1">
        <w:trPr>
          <w:cantSplit/>
        </w:trPr>
        <w:tc>
          <w:tcPr>
            <w:tcW w:w="806" w:type="pct"/>
            <w:shd w:val="clear" w:color="auto" w:fill="auto"/>
          </w:tcPr>
          <w:p w:rsidR="00E31697" w:rsidRPr="001A209B" w:rsidRDefault="00041ADA" w:rsidP="00E31697">
            <w:pPr>
              <w:spacing w:before="20" w:after="20"/>
              <w:rPr>
                <w:rFonts w:cs="Arial"/>
                <w:sz w:val="18"/>
                <w:szCs w:val="18"/>
              </w:rPr>
            </w:pPr>
            <w:r w:rsidRPr="001A209B">
              <w:rPr>
                <w:rFonts w:cs="Arial"/>
                <w:sz w:val="18"/>
                <w:szCs w:val="18"/>
              </w:rPr>
              <w:t>Saudi Arabia</w:t>
            </w:r>
          </w:p>
        </w:tc>
        <w:tc>
          <w:tcPr>
            <w:tcW w:w="4194" w:type="pct"/>
            <w:shd w:val="clear" w:color="auto" w:fill="auto"/>
          </w:tcPr>
          <w:p w:rsidR="00BD0B8F" w:rsidRPr="001A209B" w:rsidRDefault="0068673F" w:rsidP="009536D1">
            <w:pPr>
              <w:spacing w:before="20" w:after="20"/>
              <w:jc w:val="both"/>
              <w:rPr>
                <w:rFonts w:cs="Arial"/>
                <w:bCs/>
                <w:sz w:val="18"/>
                <w:szCs w:val="18"/>
              </w:rPr>
            </w:pPr>
            <w:r w:rsidRPr="001A209B">
              <w:rPr>
                <w:rFonts w:cs="Arial"/>
                <w:bCs/>
                <w:sz w:val="18"/>
                <w:szCs w:val="18"/>
              </w:rPr>
              <w:t>We increased our c</w:t>
            </w:r>
            <w:r w:rsidR="00BD0B8F" w:rsidRPr="001A209B">
              <w:rPr>
                <w:rFonts w:cs="Arial"/>
                <w:bCs/>
                <w:sz w:val="18"/>
                <w:szCs w:val="18"/>
              </w:rPr>
              <w:t xml:space="preserve">igarette share </w:t>
            </w:r>
            <w:r w:rsidRPr="001A209B">
              <w:rPr>
                <w:rFonts w:cs="Arial"/>
                <w:bCs/>
                <w:sz w:val="18"/>
                <w:szCs w:val="18"/>
              </w:rPr>
              <w:t>with a good performance from West, supported by Davidoff, Gauloises Blondes and Gitanes.</w:t>
            </w:r>
          </w:p>
        </w:tc>
      </w:tr>
      <w:tr w:rsidR="00E31697" w:rsidRPr="001A209B" w:rsidTr="009536D1">
        <w:trPr>
          <w:cantSplit/>
        </w:trPr>
        <w:tc>
          <w:tcPr>
            <w:tcW w:w="806" w:type="pct"/>
            <w:shd w:val="clear" w:color="auto" w:fill="auto"/>
          </w:tcPr>
          <w:p w:rsidR="00E31697" w:rsidRPr="001A209B" w:rsidRDefault="00041ADA" w:rsidP="00E31697">
            <w:pPr>
              <w:spacing w:before="20" w:after="20"/>
              <w:rPr>
                <w:rFonts w:cs="Arial"/>
                <w:sz w:val="18"/>
                <w:szCs w:val="18"/>
              </w:rPr>
            </w:pPr>
            <w:r w:rsidRPr="001A209B">
              <w:rPr>
                <w:rFonts w:cs="Arial"/>
                <w:sz w:val="18"/>
                <w:szCs w:val="18"/>
              </w:rPr>
              <w:t>Turkey</w:t>
            </w:r>
          </w:p>
        </w:tc>
        <w:tc>
          <w:tcPr>
            <w:tcW w:w="4194" w:type="pct"/>
            <w:shd w:val="clear" w:color="auto" w:fill="auto"/>
          </w:tcPr>
          <w:p w:rsidR="00E31697" w:rsidRPr="001A209B" w:rsidRDefault="00041ADA" w:rsidP="009536D1">
            <w:pPr>
              <w:spacing w:before="20" w:after="20"/>
              <w:jc w:val="both"/>
              <w:rPr>
                <w:rFonts w:cs="Arial"/>
                <w:bCs/>
                <w:sz w:val="18"/>
                <w:szCs w:val="18"/>
              </w:rPr>
            </w:pPr>
            <w:r w:rsidRPr="001A209B">
              <w:rPr>
                <w:rFonts w:cs="Arial"/>
                <w:bCs/>
                <w:sz w:val="18"/>
                <w:szCs w:val="18"/>
              </w:rPr>
              <w:t xml:space="preserve">We grew market share </w:t>
            </w:r>
            <w:r w:rsidR="00520115" w:rsidRPr="001A209B">
              <w:rPr>
                <w:rFonts w:cs="Arial"/>
                <w:bCs/>
                <w:sz w:val="18"/>
                <w:szCs w:val="18"/>
              </w:rPr>
              <w:t xml:space="preserve">but profit declined due to significant price competition. We enhanced </w:t>
            </w:r>
            <w:r w:rsidRPr="001A209B">
              <w:rPr>
                <w:rFonts w:cs="Arial"/>
                <w:bCs/>
                <w:sz w:val="18"/>
                <w:szCs w:val="18"/>
              </w:rPr>
              <w:t xml:space="preserve">our portfolio with the </w:t>
            </w:r>
            <w:r w:rsidR="00520115" w:rsidRPr="001A209B">
              <w:rPr>
                <w:rFonts w:cs="Arial"/>
                <w:bCs/>
                <w:sz w:val="18"/>
                <w:szCs w:val="18"/>
              </w:rPr>
              <w:t>launches</w:t>
            </w:r>
            <w:r w:rsidRPr="001A209B">
              <w:rPr>
                <w:rFonts w:cs="Arial"/>
                <w:bCs/>
                <w:sz w:val="18"/>
                <w:szCs w:val="18"/>
              </w:rPr>
              <w:t xml:space="preserve"> of Davidoff Blue, with a recessed charcoal filter, and We</w:t>
            </w:r>
            <w:r w:rsidR="00520115" w:rsidRPr="001A209B">
              <w:rPr>
                <w:rFonts w:cs="Arial"/>
                <w:bCs/>
                <w:sz w:val="18"/>
                <w:szCs w:val="18"/>
              </w:rPr>
              <w:t>st Duo, with a crushball filter.</w:t>
            </w:r>
          </w:p>
        </w:tc>
      </w:tr>
      <w:tr w:rsidR="00E31697" w:rsidRPr="001A209B" w:rsidTr="009536D1">
        <w:trPr>
          <w:cantSplit/>
        </w:trPr>
        <w:tc>
          <w:tcPr>
            <w:tcW w:w="806" w:type="pct"/>
            <w:shd w:val="clear" w:color="auto" w:fill="auto"/>
          </w:tcPr>
          <w:p w:rsidR="00E31697" w:rsidRPr="001A209B" w:rsidRDefault="00041ADA" w:rsidP="00E31697">
            <w:pPr>
              <w:spacing w:before="20" w:after="20"/>
              <w:rPr>
                <w:rFonts w:cs="Arial"/>
                <w:sz w:val="18"/>
                <w:szCs w:val="18"/>
              </w:rPr>
            </w:pPr>
            <w:r w:rsidRPr="001A209B">
              <w:rPr>
                <w:rFonts w:cs="Arial"/>
                <w:sz w:val="18"/>
                <w:szCs w:val="18"/>
              </w:rPr>
              <w:t>Japan</w:t>
            </w:r>
          </w:p>
        </w:tc>
        <w:tc>
          <w:tcPr>
            <w:tcW w:w="4194" w:type="pct"/>
            <w:shd w:val="clear" w:color="auto" w:fill="auto"/>
          </w:tcPr>
          <w:p w:rsidR="00BD0B8F" w:rsidRPr="001A209B" w:rsidRDefault="0068673F" w:rsidP="009536D1">
            <w:pPr>
              <w:spacing w:before="20" w:after="20"/>
              <w:jc w:val="both"/>
              <w:rPr>
                <w:rFonts w:cs="Arial"/>
                <w:bCs/>
                <w:sz w:val="18"/>
                <w:szCs w:val="18"/>
              </w:rPr>
            </w:pPr>
            <w:r w:rsidRPr="001A209B">
              <w:rPr>
                <w:rFonts w:cs="Arial"/>
                <w:bCs/>
                <w:sz w:val="18"/>
                <w:szCs w:val="18"/>
              </w:rPr>
              <w:t xml:space="preserve">We </w:t>
            </w:r>
            <w:r w:rsidR="004E5D4C" w:rsidRPr="001A209B">
              <w:rPr>
                <w:rFonts w:cs="Arial"/>
                <w:bCs/>
                <w:sz w:val="18"/>
                <w:szCs w:val="18"/>
              </w:rPr>
              <w:t>further built</w:t>
            </w:r>
            <w:r w:rsidR="008A08DA" w:rsidRPr="001A209B">
              <w:rPr>
                <w:rFonts w:cs="Arial"/>
                <w:bCs/>
                <w:sz w:val="18"/>
                <w:szCs w:val="18"/>
              </w:rPr>
              <w:t xml:space="preserve"> our presence with West,</w:t>
            </w:r>
            <w:r w:rsidR="00DF1068" w:rsidRPr="001A209B">
              <w:rPr>
                <w:rFonts w:cs="Arial"/>
                <w:bCs/>
                <w:sz w:val="18"/>
                <w:szCs w:val="18"/>
              </w:rPr>
              <w:t xml:space="preserve"> supported by </w:t>
            </w:r>
            <w:r w:rsidR="008A08DA" w:rsidRPr="001A209B">
              <w:rPr>
                <w:rFonts w:cs="Arial"/>
                <w:bCs/>
                <w:sz w:val="18"/>
                <w:szCs w:val="18"/>
              </w:rPr>
              <w:t>a number of customer engagement initiatives</w:t>
            </w:r>
            <w:r w:rsidR="001629BE" w:rsidRPr="001A209B">
              <w:rPr>
                <w:rFonts w:cs="Arial"/>
                <w:bCs/>
                <w:sz w:val="18"/>
                <w:szCs w:val="18"/>
              </w:rPr>
              <w:t>.</w:t>
            </w:r>
          </w:p>
        </w:tc>
      </w:tr>
      <w:tr w:rsidR="00041ADA" w:rsidRPr="001A209B" w:rsidTr="009536D1">
        <w:trPr>
          <w:cantSplit/>
        </w:trPr>
        <w:tc>
          <w:tcPr>
            <w:tcW w:w="806" w:type="pct"/>
            <w:shd w:val="clear" w:color="auto" w:fill="auto"/>
          </w:tcPr>
          <w:p w:rsidR="00041ADA" w:rsidRPr="001A209B" w:rsidRDefault="00041ADA" w:rsidP="00041ADA">
            <w:pPr>
              <w:spacing w:before="20" w:after="20"/>
              <w:rPr>
                <w:rFonts w:cs="Arial"/>
                <w:sz w:val="18"/>
                <w:szCs w:val="18"/>
              </w:rPr>
            </w:pPr>
            <w:r w:rsidRPr="001A209B">
              <w:rPr>
                <w:rFonts w:cs="Arial"/>
                <w:sz w:val="18"/>
                <w:szCs w:val="18"/>
              </w:rPr>
              <w:t>Taiwan</w:t>
            </w:r>
          </w:p>
        </w:tc>
        <w:tc>
          <w:tcPr>
            <w:tcW w:w="4194" w:type="pct"/>
            <w:shd w:val="clear" w:color="auto" w:fill="auto"/>
          </w:tcPr>
          <w:p w:rsidR="00041ADA" w:rsidRPr="001A209B" w:rsidRDefault="00041ADA" w:rsidP="009536D1">
            <w:pPr>
              <w:spacing w:before="20" w:after="20"/>
              <w:jc w:val="both"/>
              <w:rPr>
                <w:rFonts w:cs="Arial"/>
                <w:bCs/>
                <w:sz w:val="18"/>
                <w:szCs w:val="18"/>
              </w:rPr>
            </w:pPr>
            <w:r w:rsidRPr="001A209B">
              <w:rPr>
                <w:rFonts w:cs="Arial"/>
                <w:bCs/>
                <w:sz w:val="18"/>
                <w:szCs w:val="18"/>
              </w:rPr>
              <w:t>We</w:t>
            </w:r>
            <w:r w:rsidR="00BD0B8F" w:rsidRPr="001A209B">
              <w:rPr>
                <w:rFonts w:cs="Arial"/>
                <w:bCs/>
                <w:sz w:val="18"/>
                <w:szCs w:val="18"/>
              </w:rPr>
              <w:t xml:space="preserve"> </w:t>
            </w:r>
            <w:r w:rsidR="009D5316" w:rsidRPr="001A209B">
              <w:rPr>
                <w:rFonts w:cs="Arial"/>
                <w:bCs/>
                <w:sz w:val="18"/>
                <w:szCs w:val="18"/>
              </w:rPr>
              <w:t xml:space="preserve">achieved strong volume growth with West and </w:t>
            </w:r>
            <w:r w:rsidRPr="001A209B">
              <w:rPr>
                <w:rFonts w:cs="Arial"/>
                <w:bCs/>
                <w:sz w:val="18"/>
                <w:szCs w:val="18"/>
              </w:rPr>
              <w:t xml:space="preserve">improved our </w:t>
            </w:r>
            <w:r w:rsidR="009D5316" w:rsidRPr="001A209B">
              <w:rPr>
                <w:rFonts w:cs="Arial"/>
                <w:bCs/>
                <w:sz w:val="18"/>
                <w:szCs w:val="18"/>
              </w:rPr>
              <w:t xml:space="preserve">cigarette </w:t>
            </w:r>
            <w:r w:rsidRPr="001A209B">
              <w:rPr>
                <w:rFonts w:cs="Arial"/>
                <w:bCs/>
                <w:sz w:val="18"/>
                <w:szCs w:val="18"/>
              </w:rPr>
              <w:t xml:space="preserve">market share </w:t>
            </w:r>
            <w:r w:rsidR="009D5316" w:rsidRPr="001A209B">
              <w:rPr>
                <w:rFonts w:cs="Arial"/>
                <w:bCs/>
                <w:sz w:val="18"/>
                <w:szCs w:val="18"/>
              </w:rPr>
              <w:t>following</w:t>
            </w:r>
            <w:r w:rsidRPr="001A209B">
              <w:rPr>
                <w:rFonts w:cs="Arial"/>
                <w:bCs/>
                <w:sz w:val="18"/>
                <w:szCs w:val="18"/>
              </w:rPr>
              <w:t xml:space="preserve"> </w:t>
            </w:r>
            <w:r w:rsidR="009D5316" w:rsidRPr="001A209B">
              <w:rPr>
                <w:rFonts w:cs="Arial"/>
                <w:bCs/>
                <w:sz w:val="18"/>
                <w:szCs w:val="18"/>
              </w:rPr>
              <w:t>gains</w:t>
            </w:r>
            <w:r w:rsidR="00520115" w:rsidRPr="001A209B">
              <w:rPr>
                <w:rFonts w:cs="Arial"/>
                <w:bCs/>
                <w:sz w:val="18"/>
                <w:szCs w:val="18"/>
              </w:rPr>
              <w:t xml:space="preserve"> from Davidoff.</w:t>
            </w:r>
          </w:p>
        </w:tc>
      </w:tr>
      <w:tr w:rsidR="00A62016" w:rsidRPr="001A209B" w:rsidTr="009536D1">
        <w:trPr>
          <w:cantSplit/>
        </w:trPr>
        <w:tc>
          <w:tcPr>
            <w:tcW w:w="806" w:type="pct"/>
            <w:shd w:val="clear" w:color="auto" w:fill="auto"/>
          </w:tcPr>
          <w:p w:rsidR="00A62016" w:rsidRPr="001A209B" w:rsidRDefault="00A62016" w:rsidP="00E31697">
            <w:pPr>
              <w:spacing w:before="20" w:after="20"/>
              <w:rPr>
                <w:rFonts w:cs="Arial"/>
                <w:sz w:val="18"/>
                <w:szCs w:val="18"/>
              </w:rPr>
            </w:pPr>
            <w:r w:rsidRPr="001A209B">
              <w:rPr>
                <w:rFonts w:cs="Arial"/>
                <w:sz w:val="18"/>
                <w:szCs w:val="18"/>
              </w:rPr>
              <w:t>Russia</w:t>
            </w:r>
          </w:p>
        </w:tc>
        <w:tc>
          <w:tcPr>
            <w:tcW w:w="4194" w:type="pct"/>
            <w:shd w:val="clear" w:color="auto" w:fill="auto"/>
          </w:tcPr>
          <w:p w:rsidR="005D099B" w:rsidRPr="001A209B" w:rsidRDefault="003F234D" w:rsidP="009536D1">
            <w:pPr>
              <w:spacing w:before="20" w:after="20"/>
              <w:jc w:val="both"/>
              <w:rPr>
                <w:rFonts w:cs="Arial"/>
                <w:sz w:val="18"/>
                <w:szCs w:val="18"/>
              </w:rPr>
            </w:pPr>
            <w:r w:rsidRPr="001A209B">
              <w:rPr>
                <w:rFonts w:cs="Arial"/>
                <w:sz w:val="18"/>
                <w:szCs w:val="18"/>
              </w:rPr>
              <w:t xml:space="preserve">Our stock optimisation programme is </w:t>
            </w:r>
            <w:r w:rsidR="00B756DB" w:rsidRPr="001A209B">
              <w:rPr>
                <w:rFonts w:cs="Arial"/>
                <w:sz w:val="18"/>
                <w:szCs w:val="18"/>
              </w:rPr>
              <w:t xml:space="preserve">focused on </w:t>
            </w:r>
            <w:r w:rsidRPr="001A209B">
              <w:rPr>
                <w:rFonts w:cs="Arial"/>
                <w:sz w:val="18"/>
                <w:szCs w:val="18"/>
              </w:rPr>
              <w:t>strengthening our position in difficult market conditions. Maxim performed well against this backdrop</w:t>
            </w:r>
            <w:r w:rsidR="004119FB" w:rsidRPr="001A209B">
              <w:rPr>
                <w:rFonts w:cs="Arial"/>
                <w:sz w:val="18"/>
                <w:szCs w:val="18"/>
              </w:rPr>
              <w:t>,</w:t>
            </w:r>
            <w:r w:rsidR="00F45B1C" w:rsidRPr="001A209B">
              <w:rPr>
                <w:rFonts w:cs="Arial"/>
                <w:sz w:val="18"/>
                <w:szCs w:val="18"/>
              </w:rPr>
              <w:t xml:space="preserve"> benefitting from new formats </w:t>
            </w:r>
            <w:r w:rsidR="004119FB" w:rsidRPr="001A209B">
              <w:rPr>
                <w:rFonts w:cs="Arial"/>
                <w:sz w:val="18"/>
                <w:szCs w:val="18"/>
              </w:rPr>
              <w:t>including</w:t>
            </w:r>
            <w:r w:rsidR="00F45B1C" w:rsidRPr="001A209B">
              <w:rPr>
                <w:rFonts w:cs="Arial"/>
                <w:sz w:val="18"/>
                <w:szCs w:val="18"/>
              </w:rPr>
              <w:t xml:space="preserve"> queen size and big boxes</w:t>
            </w:r>
            <w:r w:rsidR="00360350" w:rsidRPr="001A209B">
              <w:rPr>
                <w:rFonts w:cs="Arial"/>
                <w:sz w:val="18"/>
                <w:szCs w:val="18"/>
              </w:rPr>
              <w:t xml:space="preserve">, </w:t>
            </w:r>
            <w:r w:rsidR="00E177E0" w:rsidRPr="001A209B">
              <w:rPr>
                <w:rFonts w:cs="Arial"/>
                <w:sz w:val="18"/>
                <w:szCs w:val="18"/>
              </w:rPr>
              <w:t>supported by</w:t>
            </w:r>
            <w:r w:rsidR="00360350" w:rsidRPr="001A209B">
              <w:rPr>
                <w:rFonts w:cs="Arial"/>
                <w:sz w:val="18"/>
                <w:szCs w:val="18"/>
              </w:rPr>
              <w:t xml:space="preserve"> Style</w:t>
            </w:r>
            <w:r w:rsidR="00E177E0" w:rsidRPr="001A209B">
              <w:rPr>
                <w:rFonts w:cs="Arial"/>
                <w:sz w:val="18"/>
                <w:szCs w:val="18"/>
              </w:rPr>
              <w:t xml:space="preserve"> and Davidoff.</w:t>
            </w:r>
          </w:p>
        </w:tc>
      </w:tr>
      <w:tr w:rsidR="00A62016" w:rsidRPr="001A209B" w:rsidTr="009536D1">
        <w:trPr>
          <w:cantSplit/>
        </w:trPr>
        <w:tc>
          <w:tcPr>
            <w:tcW w:w="806" w:type="pct"/>
            <w:shd w:val="clear" w:color="auto" w:fill="auto"/>
          </w:tcPr>
          <w:p w:rsidR="007202D9" w:rsidRPr="001A209B" w:rsidRDefault="005D099B" w:rsidP="00E31697">
            <w:pPr>
              <w:spacing w:before="20" w:after="20"/>
              <w:rPr>
                <w:rFonts w:cs="Arial"/>
                <w:sz w:val="18"/>
                <w:szCs w:val="18"/>
              </w:rPr>
            </w:pPr>
            <w:r w:rsidRPr="001A209B">
              <w:rPr>
                <w:rFonts w:cs="Arial"/>
                <w:sz w:val="18"/>
                <w:szCs w:val="18"/>
              </w:rPr>
              <w:t>Kazakhstan</w:t>
            </w:r>
          </w:p>
        </w:tc>
        <w:tc>
          <w:tcPr>
            <w:tcW w:w="4194" w:type="pct"/>
            <w:shd w:val="clear" w:color="auto" w:fill="auto"/>
          </w:tcPr>
          <w:p w:rsidR="00A62016" w:rsidRPr="001A209B" w:rsidRDefault="00AD6673" w:rsidP="009536D1">
            <w:pPr>
              <w:spacing w:before="20" w:after="20"/>
              <w:jc w:val="both"/>
              <w:rPr>
                <w:rFonts w:cs="Arial"/>
                <w:bCs/>
                <w:sz w:val="18"/>
                <w:szCs w:val="18"/>
              </w:rPr>
            </w:pPr>
            <w:r w:rsidRPr="001A209B">
              <w:rPr>
                <w:rFonts w:cs="Arial"/>
                <w:bCs/>
                <w:sz w:val="18"/>
                <w:szCs w:val="18"/>
              </w:rPr>
              <w:t xml:space="preserve">Our market share and volume was </w:t>
            </w:r>
            <w:r w:rsidR="003F234D" w:rsidRPr="001A209B">
              <w:rPr>
                <w:rFonts w:cs="Arial"/>
                <w:bCs/>
                <w:sz w:val="18"/>
                <w:szCs w:val="18"/>
              </w:rPr>
              <w:t xml:space="preserve">significantly </w:t>
            </w:r>
            <w:r w:rsidRPr="001A209B">
              <w:rPr>
                <w:rFonts w:cs="Arial"/>
                <w:bCs/>
                <w:sz w:val="18"/>
                <w:szCs w:val="18"/>
              </w:rPr>
              <w:t>higher as we made further excellent progress with West</w:t>
            </w:r>
            <w:r w:rsidR="003F234D" w:rsidRPr="001A209B">
              <w:rPr>
                <w:rFonts w:cs="Arial"/>
                <w:bCs/>
                <w:sz w:val="18"/>
                <w:szCs w:val="18"/>
              </w:rPr>
              <w:t xml:space="preserve"> and launched Parker &amp; Simpson.</w:t>
            </w:r>
          </w:p>
        </w:tc>
      </w:tr>
      <w:tr w:rsidR="00041ADA" w:rsidRPr="001A209B" w:rsidTr="009536D1">
        <w:trPr>
          <w:cantSplit/>
        </w:trPr>
        <w:tc>
          <w:tcPr>
            <w:tcW w:w="806" w:type="pct"/>
            <w:shd w:val="clear" w:color="auto" w:fill="auto"/>
          </w:tcPr>
          <w:p w:rsidR="00041ADA" w:rsidRPr="001A209B" w:rsidRDefault="00041ADA" w:rsidP="00E31697">
            <w:pPr>
              <w:spacing w:before="20" w:after="20"/>
              <w:rPr>
                <w:rFonts w:cs="Arial"/>
                <w:sz w:val="18"/>
                <w:szCs w:val="18"/>
              </w:rPr>
            </w:pPr>
            <w:r w:rsidRPr="001A209B">
              <w:rPr>
                <w:rFonts w:cs="Arial"/>
                <w:sz w:val="18"/>
                <w:szCs w:val="18"/>
              </w:rPr>
              <w:t>Vietnam</w:t>
            </w:r>
          </w:p>
        </w:tc>
        <w:tc>
          <w:tcPr>
            <w:tcW w:w="4194" w:type="pct"/>
            <w:shd w:val="clear" w:color="auto" w:fill="auto"/>
          </w:tcPr>
          <w:p w:rsidR="00041ADA" w:rsidRPr="001A209B" w:rsidRDefault="00041ADA" w:rsidP="009536D1">
            <w:pPr>
              <w:spacing w:before="20" w:after="20"/>
              <w:jc w:val="both"/>
              <w:rPr>
                <w:rFonts w:cs="Arial"/>
                <w:bCs/>
                <w:sz w:val="18"/>
                <w:szCs w:val="18"/>
              </w:rPr>
            </w:pPr>
            <w:r w:rsidRPr="001A209B">
              <w:rPr>
                <w:rFonts w:cs="Arial"/>
                <w:bCs/>
                <w:sz w:val="18"/>
                <w:szCs w:val="18"/>
              </w:rPr>
              <w:t>We continue to build our presence with growth in Bastos underpinning our enhanced volume, share and profit performance.</w:t>
            </w:r>
          </w:p>
        </w:tc>
      </w:tr>
      <w:tr w:rsidR="00A62016" w:rsidRPr="001A209B" w:rsidTr="009536D1">
        <w:trPr>
          <w:cantSplit/>
        </w:trPr>
        <w:tc>
          <w:tcPr>
            <w:tcW w:w="806" w:type="pct"/>
            <w:shd w:val="clear" w:color="auto" w:fill="auto"/>
          </w:tcPr>
          <w:p w:rsidR="00E22447" w:rsidRPr="001A209B" w:rsidRDefault="00490AA4" w:rsidP="00E31697">
            <w:pPr>
              <w:spacing w:before="20" w:after="20"/>
              <w:rPr>
                <w:rFonts w:cs="Arial"/>
                <w:sz w:val="18"/>
                <w:szCs w:val="18"/>
              </w:rPr>
            </w:pPr>
            <w:r w:rsidRPr="001A209B">
              <w:rPr>
                <w:rFonts w:cs="Arial"/>
                <w:sz w:val="18"/>
                <w:szCs w:val="18"/>
              </w:rPr>
              <w:t>Cambodia</w:t>
            </w:r>
          </w:p>
        </w:tc>
        <w:tc>
          <w:tcPr>
            <w:tcW w:w="4194" w:type="pct"/>
            <w:shd w:val="clear" w:color="auto" w:fill="auto"/>
          </w:tcPr>
          <w:p w:rsidR="00A62016" w:rsidRPr="001A209B" w:rsidRDefault="00490AA4" w:rsidP="009536D1">
            <w:pPr>
              <w:spacing w:before="20" w:after="20"/>
              <w:jc w:val="both"/>
              <w:rPr>
                <w:rFonts w:cs="Arial"/>
                <w:bCs/>
                <w:sz w:val="18"/>
                <w:szCs w:val="18"/>
              </w:rPr>
            </w:pPr>
            <w:r w:rsidRPr="001A209B">
              <w:rPr>
                <w:rFonts w:cs="Arial"/>
                <w:bCs/>
                <w:sz w:val="18"/>
                <w:szCs w:val="18"/>
              </w:rPr>
              <w:t xml:space="preserve">Fine </w:t>
            </w:r>
            <w:r w:rsidR="003F234D" w:rsidRPr="001A209B">
              <w:rPr>
                <w:rFonts w:cs="Arial"/>
                <w:bCs/>
                <w:sz w:val="18"/>
                <w:szCs w:val="18"/>
              </w:rPr>
              <w:t>continued</w:t>
            </w:r>
            <w:r w:rsidRPr="001A209B">
              <w:rPr>
                <w:rFonts w:cs="Arial"/>
                <w:bCs/>
                <w:sz w:val="18"/>
                <w:szCs w:val="18"/>
              </w:rPr>
              <w:t xml:space="preserve"> to drive our strong performance</w:t>
            </w:r>
            <w:r w:rsidR="00B756DB" w:rsidRPr="001A209B">
              <w:rPr>
                <w:rFonts w:cs="Arial"/>
                <w:bCs/>
                <w:sz w:val="18"/>
                <w:szCs w:val="18"/>
              </w:rPr>
              <w:t xml:space="preserve"> with volume</w:t>
            </w:r>
            <w:r w:rsidR="00E31697" w:rsidRPr="001A209B">
              <w:rPr>
                <w:rFonts w:cs="Arial"/>
                <w:bCs/>
                <w:sz w:val="18"/>
                <w:szCs w:val="18"/>
              </w:rPr>
              <w:t xml:space="preserve"> and market share</w:t>
            </w:r>
            <w:r w:rsidR="00B756DB" w:rsidRPr="001A209B">
              <w:rPr>
                <w:rFonts w:cs="Arial"/>
                <w:bCs/>
                <w:sz w:val="18"/>
                <w:szCs w:val="18"/>
              </w:rPr>
              <w:t xml:space="preserve"> gains.</w:t>
            </w:r>
          </w:p>
        </w:tc>
      </w:tr>
      <w:tr w:rsidR="00041ADA" w:rsidRPr="001A209B" w:rsidTr="009536D1">
        <w:trPr>
          <w:cantSplit/>
        </w:trPr>
        <w:tc>
          <w:tcPr>
            <w:tcW w:w="806" w:type="pct"/>
            <w:shd w:val="clear" w:color="auto" w:fill="auto"/>
          </w:tcPr>
          <w:p w:rsidR="00041ADA" w:rsidRPr="001A209B" w:rsidRDefault="00041ADA" w:rsidP="00E31697">
            <w:pPr>
              <w:spacing w:before="20" w:after="20"/>
              <w:rPr>
                <w:rFonts w:cs="Arial"/>
                <w:sz w:val="18"/>
                <w:szCs w:val="18"/>
              </w:rPr>
            </w:pPr>
            <w:r w:rsidRPr="001A209B">
              <w:rPr>
                <w:rFonts w:cs="Arial"/>
                <w:sz w:val="18"/>
                <w:szCs w:val="18"/>
              </w:rPr>
              <w:t>USA</w:t>
            </w:r>
          </w:p>
        </w:tc>
        <w:tc>
          <w:tcPr>
            <w:tcW w:w="4194" w:type="pct"/>
            <w:shd w:val="clear" w:color="auto" w:fill="auto"/>
          </w:tcPr>
          <w:p w:rsidR="00041ADA" w:rsidRPr="001A209B" w:rsidRDefault="00B756DB" w:rsidP="008924CE">
            <w:pPr>
              <w:spacing w:before="20" w:after="20"/>
              <w:jc w:val="both"/>
              <w:rPr>
                <w:rFonts w:cs="Arial"/>
                <w:bCs/>
                <w:sz w:val="18"/>
                <w:szCs w:val="18"/>
              </w:rPr>
            </w:pPr>
            <w:r w:rsidRPr="001A209B">
              <w:rPr>
                <w:rFonts w:cs="Arial"/>
                <w:bCs/>
                <w:sz w:val="18"/>
                <w:szCs w:val="18"/>
              </w:rPr>
              <w:t>We improved profit</w:t>
            </w:r>
            <w:r w:rsidR="00041ADA" w:rsidRPr="001A209B">
              <w:rPr>
                <w:rFonts w:cs="Arial"/>
                <w:bCs/>
                <w:sz w:val="18"/>
                <w:szCs w:val="18"/>
              </w:rPr>
              <w:t xml:space="preserve"> </w:t>
            </w:r>
            <w:r w:rsidRPr="001A209B">
              <w:rPr>
                <w:rFonts w:cs="Arial"/>
                <w:bCs/>
                <w:sz w:val="18"/>
                <w:szCs w:val="18"/>
              </w:rPr>
              <w:t xml:space="preserve">and </w:t>
            </w:r>
            <w:r w:rsidR="001C1924" w:rsidRPr="001A209B">
              <w:rPr>
                <w:rFonts w:cs="Arial"/>
                <w:bCs/>
                <w:sz w:val="18"/>
                <w:szCs w:val="18"/>
              </w:rPr>
              <w:t xml:space="preserve">made progress with our </w:t>
            </w:r>
            <w:r w:rsidR="00041ADA" w:rsidRPr="001A209B">
              <w:rPr>
                <w:rFonts w:cs="Arial"/>
                <w:bCs/>
                <w:sz w:val="18"/>
                <w:szCs w:val="18"/>
              </w:rPr>
              <w:t xml:space="preserve">cigarette </w:t>
            </w:r>
            <w:r w:rsidR="001C1924" w:rsidRPr="001A209B">
              <w:rPr>
                <w:rFonts w:cs="Arial"/>
                <w:bCs/>
                <w:sz w:val="18"/>
                <w:szCs w:val="18"/>
              </w:rPr>
              <w:t xml:space="preserve">share </w:t>
            </w:r>
            <w:r w:rsidR="00041ADA" w:rsidRPr="001A209B">
              <w:rPr>
                <w:rFonts w:cs="Arial"/>
                <w:bCs/>
                <w:sz w:val="18"/>
                <w:szCs w:val="18"/>
              </w:rPr>
              <w:t>in key states with USA Gold</w:t>
            </w:r>
            <w:r w:rsidR="001C1924" w:rsidRPr="001A209B">
              <w:rPr>
                <w:rFonts w:cs="Arial"/>
                <w:bCs/>
                <w:sz w:val="18"/>
                <w:szCs w:val="18"/>
              </w:rPr>
              <w:t>. We also increased</w:t>
            </w:r>
            <w:r w:rsidR="00041ADA" w:rsidRPr="001A209B">
              <w:rPr>
                <w:rFonts w:cs="Arial"/>
                <w:bCs/>
                <w:sz w:val="18"/>
                <w:szCs w:val="18"/>
              </w:rPr>
              <w:t xml:space="preserve"> </w:t>
            </w:r>
            <w:r w:rsidR="0073242B" w:rsidRPr="001A209B">
              <w:rPr>
                <w:rFonts w:cs="Arial"/>
                <w:bCs/>
                <w:sz w:val="18"/>
                <w:szCs w:val="18"/>
              </w:rPr>
              <w:t xml:space="preserve">volumes </w:t>
            </w:r>
            <w:r w:rsidR="008924CE" w:rsidRPr="001A209B">
              <w:rPr>
                <w:rFonts w:cs="Arial"/>
                <w:bCs/>
                <w:sz w:val="18"/>
                <w:szCs w:val="18"/>
              </w:rPr>
              <w:t>of</w:t>
            </w:r>
            <w:r w:rsidR="0073242B" w:rsidRPr="001A209B">
              <w:rPr>
                <w:rFonts w:cs="Arial"/>
                <w:bCs/>
                <w:sz w:val="18"/>
                <w:szCs w:val="18"/>
              </w:rPr>
              <w:t xml:space="preserve"> Backwoods</w:t>
            </w:r>
            <w:r w:rsidR="008924CE" w:rsidRPr="001A209B">
              <w:rPr>
                <w:rFonts w:cs="Arial"/>
                <w:bCs/>
                <w:sz w:val="18"/>
                <w:szCs w:val="18"/>
              </w:rPr>
              <w:t xml:space="preserve"> cigars.</w:t>
            </w:r>
          </w:p>
        </w:tc>
      </w:tr>
    </w:tbl>
    <w:p w:rsidR="004F6F4C" w:rsidRPr="001A209B" w:rsidRDefault="004F6F4C" w:rsidP="00853E15">
      <w:pPr>
        <w:spacing w:before="20" w:after="20"/>
        <w:jc w:val="both"/>
        <w:rPr>
          <w:rFonts w:cs="Arial"/>
          <w:b/>
          <w:color w:val="A60D1F"/>
          <w:sz w:val="18"/>
          <w:szCs w:val="18"/>
        </w:rPr>
      </w:pPr>
    </w:p>
    <w:p w:rsidR="00605439" w:rsidRPr="001A209B" w:rsidRDefault="00605439">
      <w:pPr>
        <w:rPr>
          <w:rFonts w:cs="Arial"/>
          <w:b/>
          <w:color w:val="A60D1F"/>
          <w:sz w:val="18"/>
          <w:szCs w:val="18"/>
        </w:rPr>
      </w:pPr>
    </w:p>
    <w:p w:rsidR="00C548B4" w:rsidRPr="001A209B" w:rsidRDefault="006D7E0C" w:rsidP="00C548B4">
      <w:pPr>
        <w:spacing w:before="20" w:after="20"/>
        <w:jc w:val="both"/>
        <w:rPr>
          <w:rFonts w:cs="Arial"/>
          <w:b/>
          <w:bCs/>
          <w:color w:val="A60D1F"/>
          <w:sz w:val="18"/>
          <w:szCs w:val="18"/>
        </w:rPr>
      </w:pPr>
      <w:r w:rsidRPr="001A209B">
        <w:rPr>
          <w:rFonts w:cs="Arial"/>
          <w:b/>
          <w:color w:val="A60D1F"/>
          <w:sz w:val="18"/>
          <w:szCs w:val="18"/>
        </w:rPr>
        <w:t>Returns Markets</w:t>
      </w:r>
    </w:p>
    <w:tbl>
      <w:tblPr>
        <w:tblStyle w:val="TableGrid"/>
        <w:tblW w:w="0" w:type="auto"/>
        <w:tblBorders>
          <w:left w:val="none" w:sz="0" w:space="0" w:color="auto"/>
          <w:right w:val="none" w:sz="0" w:space="0" w:color="auto"/>
          <w:insideV w:val="none" w:sz="0" w:space="0" w:color="auto"/>
        </w:tblBorders>
        <w:tblCellMar>
          <w:left w:w="85" w:type="dxa"/>
          <w:right w:w="85" w:type="dxa"/>
        </w:tblCellMar>
        <w:tblLook w:val="04A0" w:firstRow="1" w:lastRow="0" w:firstColumn="1" w:lastColumn="0" w:noHBand="0" w:noVBand="1"/>
      </w:tblPr>
      <w:tblGrid>
        <w:gridCol w:w="3343"/>
        <w:gridCol w:w="1173"/>
        <w:gridCol w:w="1173"/>
        <w:gridCol w:w="1175"/>
        <w:gridCol w:w="1177"/>
        <w:gridCol w:w="1179"/>
      </w:tblGrid>
      <w:tr w:rsidR="00C548B4" w:rsidRPr="001A209B" w:rsidTr="00876F3E">
        <w:trPr>
          <w:trHeight w:val="227"/>
        </w:trPr>
        <w:tc>
          <w:tcPr>
            <w:tcW w:w="3343" w:type="dxa"/>
            <w:tcBorders>
              <w:bottom w:val="nil"/>
            </w:tcBorders>
            <w:vAlign w:val="center"/>
          </w:tcPr>
          <w:p w:rsidR="00C548B4" w:rsidRPr="001A209B" w:rsidRDefault="00C548B4" w:rsidP="00876F3E">
            <w:pPr>
              <w:spacing w:before="20" w:after="20"/>
              <w:rPr>
                <w:rFonts w:cs="Arial"/>
                <w:b/>
                <w:color w:val="A60D1F"/>
                <w:sz w:val="18"/>
                <w:szCs w:val="18"/>
              </w:rPr>
            </w:pPr>
          </w:p>
        </w:tc>
        <w:tc>
          <w:tcPr>
            <w:tcW w:w="2346" w:type="dxa"/>
            <w:gridSpan w:val="2"/>
            <w:vAlign w:val="center"/>
          </w:tcPr>
          <w:p w:rsidR="00C548B4" w:rsidRPr="001A209B" w:rsidRDefault="00C548B4" w:rsidP="00C548B4">
            <w:pPr>
              <w:spacing w:before="20" w:after="20"/>
              <w:jc w:val="right"/>
              <w:rPr>
                <w:rFonts w:cs="Arial"/>
                <w:b/>
                <w:color w:val="A60D1F"/>
                <w:sz w:val="18"/>
                <w:szCs w:val="18"/>
              </w:rPr>
            </w:pPr>
            <w:r w:rsidRPr="001A209B">
              <w:rPr>
                <w:rFonts w:cs="Arial"/>
                <w:b/>
                <w:bCs/>
                <w:sz w:val="18"/>
                <w:szCs w:val="18"/>
              </w:rPr>
              <w:t>Half Year Result</w:t>
            </w:r>
          </w:p>
        </w:tc>
        <w:tc>
          <w:tcPr>
            <w:tcW w:w="3531" w:type="dxa"/>
            <w:gridSpan w:val="3"/>
            <w:vAlign w:val="center"/>
          </w:tcPr>
          <w:p w:rsidR="00C548B4" w:rsidRPr="001A209B" w:rsidRDefault="00C548B4" w:rsidP="00C548B4">
            <w:pPr>
              <w:spacing w:before="20" w:after="20"/>
              <w:jc w:val="center"/>
              <w:rPr>
                <w:rFonts w:cs="Arial"/>
                <w:b/>
                <w:color w:val="A60D1F"/>
                <w:sz w:val="18"/>
                <w:szCs w:val="18"/>
              </w:rPr>
            </w:pPr>
            <w:r w:rsidRPr="001A209B">
              <w:rPr>
                <w:rFonts w:cs="Arial"/>
                <w:b/>
                <w:bCs/>
                <w:sz w:val="18"/>
                <w:szCs w:val="18"/>
              </w:rPr>
              <w:t>Change</w:t>
            </w:r>
          </w:p>
        </w:tc>
      </w:tr>
      <w:tr w:rsidR="00C548B4" w:rsidRPr="001A209B" w:rsidTr="00876F3E">
        <w:trPr>
          <w:trHeight w:val="227"/>
        </w:trPr>
        <w:tc>
          <w:tcPr>
            <w:tcW w:w="3343" w:type="dxa"/>
            <w:tcBorders>
              <w:top w:val="nil"/>
              <w:bottom w:val="nil"/>
            </w:tcBorders>
            <w:vAlign w:val="center"/>
          </w:tcPr>
          <w:p w:rsidR="00C548B4" w:rsidRPr="001A209B" w:rsidRDefault="00C548B4" w:rsidP="00876F3E">
            <w:pPr>
              <w:spacing w:before="20" w:after="20"/>
              <w:rPr>
                <w:rFonts w:cs="Arial"/>
                <w:b/>
                <w:color w:val="A60D1F"/>
                <w:sz w:val="18"/>
                <w:szCs w:val="18"/>
              </w:rPr>
            </w:pPr>
          </w:p>
        </w:tc>
        <w:tc>
          <w:tcPr>
            <w:tcW w:w="1173" w:type="dxa"/>
            <w:tcBorders>
              <w:bottom w:val="single" w:sz="4" w:space="0" w:color="auto"/>
            </w:tcBorders>
            <w:vAlign w:val="bottom"/>
          </w:tcPr>
          <w:p w:rsidR="00C548B4" w:rsidRPr="001A209B" w:rsidRDefault="00C548B4" w:rsidP="00C548B4">
            <w:pPr>
              <w:spacing w:before="20" w:after="20"/>
              <w:jc w:val="right"/>
              <w:rPr>
                <w:b/>
                <w:sz w:val="18"/>
                <w:szCs w:val="18"/>
              </w:rPr>
            </w:pPr>
            <w:r w:rsidRPr="001A209B">
              <w:rPr>
                <w:b/>
                <w:sz w:val="18"/>
                <w:szCs w:val="18"/>
              </w:rPr>
              <w:t>2014</w:t>
            </w:r>
          </w:p>
        </w:tc>
        <w:tc>
          <w:tcPr>
            <w:tcW w:w="1173" w:type="dxa"/>
            <w:tcBorders>
              <w:bottom w:val="single" w:sz="4" w:space="0" w:color="auto"/>
            </w:tcBorders>
            <w:vAlign w:val="bottom"/>
          </w:tcPr>
          <w:p w:rsidR="00C548B4" w:rsidRPr="001A209B" w:rsidRDefault="00C548B4" w:rsidP="00C548B4">
            <w:pPr>
              <w:spacing w:before="20" w:after="20"/>
              <w:jc w:val="right"/>
              <w:rPr>
                <w:sz w:val="18"/>
                <w:szCs w:val="18"/>
              </w:rPr>
            </w:pPr>
            <w:r w:rsidRPr="001A209B">
              <w:rPr>
                <w:sz w:val="18"/>
                <w:szCs w:val="18"/>
              </w:rPr>
              <w:t>2013</w:t>
            </w:r>
          </w:p>
        </w:tc>
        <w:tc>
          <w:tcPr>
            <w:tcW w:w="1175" w:type="dxa"/>
            <w:tcBorders>
              <w:bottom w:val="single" w:sz="4" w:space="0" w:color="auto"/>
            </w:tcBorders>
            <w:vAlign w:val="bottom"/>
          </w:tcPr>
          <w:p w:rsidR="00C548B4" w:rsidRPr="001A209B" w:rsidRDefault="00C548B4" w:rsidP="00C548B4">
            <w:pPr>
              <w:spacing w:before="20" w:after="20"/>
              <w:jc w:val="right"/>
              <w:rPr>
                <w:sz w:val="18"/>
                <w:szCs w:val="18"/>
              </w:rPr>
            </w:pPr>
            <w:r w:rsidRPr="001A209B">
              <w:rPr>
                <w:sz w:val="18"/>
                <w:szCs w:val="18"/>
              </w:rPr>
              <w:t>Actual</w:t>
            </w:r>
          </w:p>
        </w:tc>
        <w:tc>
          <w:tcPr>
            <w:tcW w:w="1177" w:type="dxa"/>
            <w:tcBorders>
              <w:bottom w:val="single" w:sz="4" w:space="0" w:color="auto"/>
            </w:tcBorders>
            <w:vAlign w:val="bottom"/>
          </w:tcPr>
          <w:p w:rsidR="00C548B4" w:rsidRPr="001A209B" w:rsidRDefault="00C548B4" w:rsidP="00C548B4">
            <w:pPr>
              <w:spacing w:before="20" w:after="20"/>
              <w:jc w:val="right"/>
              <w:rPr>
                <w:sz w:val="18"/>
                <w:szCs w:val="18"/>
              </w:rPr>
            </w:pPr>
            <w:r w:rsidRPr="001A209B">
              <w:rPr>
                <w:sz w:val="18"/>
                <w:szCs w:val="18"/>
              </w:rPr>
              <w:t xml:space="preserve">Constant </w:t>
            </w:r>
            <w:r w:rsidRPr="001A209B">
              <w:rPr>
                <w:rFonts w:cs="Arial"/>
                <w:bCs/>
                <w:sz w:val="18"/>
                <w:szCs w:val="18"/>
              </w:rPr>
              <w:t>Currency</w:t>
            </w:r>
            <w:r w:rsidRPr="001A209B">
              <w:rPr>
                <w:rFonts w:cs="Arial"/>
                <w:sz w:val="18"/>
                <w:szCs w:val="18"/>
                <w:vertAlign w:val="superscript"/>
              </w:rPr>
              <w:t>1</w:t>
            </w:r>
          </w:p>
        </w:tc>
        <w:tc>
          <w:tcPr>
            <w:tcW w:w="1179" w:type="dxa"/>
            <w:tcBorders>
              <w:bottom w:val="single" w:sz="4" w:space="0" w:color="auto"/>
            </w:tcBorders>
            <w:vAlign w:val="bottom"/>
          </w:tcPr>
          <w:p w:rsidR="00C548B4" w:rsidRPr="001A209B" w:rsidRDefault="00C548B4" w:rsidP="00C548B4">
            <w:pPr>
              <w:spacing w:before="20" w:after="20"/>
              <w:jc w:val="right"/>
              <w:rPr>
                <w:sz w:val="18"/>
                <w:szCs w:val="18"/>
              </w:rPr>
            </w:pPr>
            <w:r w:rsidRPr="001A209B">
              <w:rPr>
                <w:rFonts w:cs="Arial"/>
                <w:sz w:val="18"/>
                <w:szCs w:val="18"/>
              </w:rPr>
              <w:t>Underlying</w:t>
            </w:r>
            <w:r w:rsidRPr="001A209B">
              <w:rPr>
                <w:rFonts w:cs="Arial"/>
                <w:sz w:val="18"/>
                <w:szCs w:val="18"/>
                <w:vertAlign w:val="superscript"/>
              </w:rPr>
              <w:t>1</w:t>
            </w:r>
          </w:p>
        </w:tc>
      </w:tr>
      <w:tr w:rsidR="00C548B4" w:rsidRPr="001A209B" w:rsidTr="00876F3E">
        <w:trPr>
          <w:trHeight w:val="227"/>
        </w:trPr>
        <w:tc>
          <w:tcPr>
            <w:tcW w:w="3343" w:type="dxa"/>
            <w:tcBorders>
              <w:top w:val="nil"/>
              <w:bottom w:val="nil"/>
            </w:tcBorders>
            <w:shd w:val="clear" w:color="auto" w:fill="F1E7E7"/>
            <w:vAlign w:val="center"/>
          </w:tcPr>
          <w:p w:rsidR="00C548B4" w:rsidRPr="001A209B" w:rsidRDefault="00C548B4" w:rsidP="00876F3E">
            <w:pPr>
              <w:spacing w:before="20" w:after="20"/>
              <w:rPr>
                <w:sz w:val="18"/>
                <w:szCs w:val="18"/>
              </w:rPr>
            </w:pPr>
            <w:r w:rsidRPr="001A209B">
              <w:rPr>
                <w:sz w:val="18"/>
                <w:szCs w:val="18"/>
              </w:rPr>
              <w:t xml:space="preserve">Market share (%) </w:t>
            </w:r>
          </w:p>
        </w:tc>
        <w:tc>
          <w:tcPr>
            <w:tcW w:w="1173" w:type="dxa"/>
            <w:tcBorders>
              <w:bottom w:val="nil"/>
              <w:right w:val="nil"/>
            </w:tcBorders>
            <w:shd w:val="clear" w:color="auto" w:fill="F1E7E7"/>
            <w:vAlign w:val="center"/>
          </w:tcPr>
          <w:p w:rsidR="00C548B4" w:rsidRPr="001A209B" w:rsidRDefault="00C548B4" w:rsidP="00876F3E">
            <w:pPr>
              <w:jc w:val="right"/>
              <w:rPr>
                <w:rFonts w:cs="Arial"/>
                <w:b/>
                <w:sz w:val="18"/>
              </w:rPr>
            </w:pPr>
            <w:r w:rsidRPr="001A209B">
              <w:rPr>
                <w:rFonts w:cs="Arial"/>
                <w:b/>
                <w:sz w:val="18"/>
              </w:rPr>
              <w:t>26.8</w:t>
            </w:r>
          </w:p>
        </w:tc>
        <w:tc>
          <w:tcPr>
            <w:tcW w:w="1173" w:type="dxa"/>
            <w:tcBorders>
              <w:left w:val="nil"/>
              <w:bottom w:val="nil"/>
              <w:right w:val="nil"/>
            </w:tcBorders>
            <w:shd w:val="clear" w:color="auto" w:fill="F1E7E7"/>
            <w:vAlign w:val="center"/>
          </w:tcPr>
          <w:p w:rsidR="00C548B4" w:rsidRPr="001A209B" w:rsidRDefault="00C548B4" w:rsidP="00876F3E">
            <w:pPr>
              <w:jc w:val="right"/>
              <w:rPr>
                <w:rFonts w:cs="Arial"/>
                <w:sz w:val="18"/>
              </w:rPr>
            </w:pPr>
            <w:r w:rsidRPr="001A209B">
              <w:rPr>
                <w:rFonts w:cs="Arial"/>
                <w:sz w:val="18"/>
              </w:rPr>
              <w:t>27.7</w:t>
            </w:r>
          </w:p>
        </w:tc>
        <w:tc>
          <w:tcPr>
            <w:tcW w:w="1175" w:type="dxa"/>
            <w:tcBorders>
              <w:left w:val="nil"/>
              <w:bottom w:val="nil"/>
              <w:right w:val="nil"/>
            </w:tcBorders>
            <w:shd w:val="clear" w:color="auto" w:fill="F1E7E7"/>
            <w:vAlign w:val="center"/>
          </w:tcPr>
          <w:p w:rsidR="00C548B4" w:rsidRPr="001A209B" w:rsidRDefault="00C548B4" w:rsidP="00876F3E">
            <w:pPr>
              <w:jc w:val="right"/>
              <w:rPr>
                <w:rFonts w:cs="Arial"/>
                <w:sz w:val="18"/>
              </w:rPr>
            </w:pPr>
            <w:r w:rsidRPr="001A209B">
              <w:rPr>
                <w:rFonts w:cs="Arial"/>
                <w:sz w:val="18"/>
              </w:rPr>
              <w:t>-90 bps</w:t>
            </w:r>
          </w:p>
        </w:tc>
        <w:tc>
          <w:tcPr>
            <w:tcW w:w="1177" w:type="dxa"/>
            <w:tcBorders>
              <w:left w:val="nil"/>
              <w:bottom w:val="nil"/>
              <w:right w:val="nil"/>
            </w:tcBorders>
            <w:shd w:val="clear" w:color="auto" w:fill="F1E7E7"/>
            <w:vAlign w:val="center"/>
          </w:tcPr>
          <w:p w:rsidR="00C548B4" w:rsidRPr="001A209B" w:rsidRDefault="00C548B4" w:rsidP="00876F3E">
            <w:pPr>
              <w:jc w:val="right"/>
              <w:rPr>
                <w:rFonts w:cs="Arial"/>
                <w:sz w:val="18"/>
              </w:rPr>
            </w:pPr>
          </w:p>
        </w:tc>
        <w:tc>
          <w:tcPr>
            <w:tcW w:w="1179" w:type="dxa"/>
            <w:tcBorders>
              <w:left w:val="nil"/>
              <w:bottom w:val="nil"/>
            </w:tcBorders>
            <w:shd w:val="clear" w:color="auto" w:fill="F1E7E7"/>
            <w:vAlign w:val="center"/>
          </w:tcPr>
          <w:p w:rsidR="00C548B4" w:rsidRPr="001A209B" w:rsidRDefault="00C548B4" w:rsidP="00C548B4">
            <w:pPr>
              <w:jc w:val="right"/>
              <w:rPr>
                <w:rFonts w:cs="Arial"/>
                <w:sz w:val="18"/>
              </w:rPr>
            </w:pPr>
          </w:p>
        </w:tc>
      </w:tr>
      <w:tr w:rsidR="00C548B4" w:rsidRPr="001A209B" w:rsidTr="00876F3E">
        <w:trPr>
          <w:trHeight w:val="227"/>
        </w:trPr>
        <w:tc>
          <w:tcPr>
            <w:tcW w:w="3343" w:type="dxa"/>
            <w:tcBorders>
              <w:top w:val="nil"/>
              <w:bottom w:val="nil"/>
            </w:tcBorders>
            <w:vAlign w:val="center"/>
          </w:tcPr>
          <w:p w:rsidR="00C548B4" w:rsidRPr="001A209B" w:rsidRDefault="00C548B4" w:rsidP="00876F3E">
            <w:pPr>
              <w:spacing w:before="20" w:after="20"/>
              <w:rPr>
                <w:sz w:val="18"/>
                <w:szCs w:val="18"/>
              </w:rPr>
            </w:pPr>
            <w:r w:rsidRPr="001A209B">
              <w:rPr>
                <w:rFonts w:cs="Arial"/>
                <w:sz w:val="18"/>
                <w:szCs w:val="18"/>
              </w:rPr>
              <w:t>Net revenue per ‘000 SE (£)</w:t>
            </w:r>
          </w:p>
        </w:tc>
        <w:tc>
          <w:tcPr>
            <w:tcW w:w="1173" w:type="dxa"/>
            <w:tcBorders>
              <w:top w:val="nil"/>
              <w:bottom w:val="nil"/>
              <w:right w:val="nil"/>
            </w:tcBorders>
            <w:vAlign w:val="center"/>
          </w:tcPr>
          <w:p w:rsidR="00C548B4" w:rsidRPr="001A209B" w:rsidRDefault="00C548B4" w:rsidP="00876F3E">
            <w:pPr>
              <w:jc w:val="right"/>
              <w:rPr>
                <w:rFonts w:cs="Arial"/>
                <w:b/>
                <w:sz w:val="18"/>
              </w:rPr>
            </w:pPr>
            <w:r w:rsidRPr="001A209B">
              <w:rPr>
                <w:rFonts w:cs="Arial"/>
                <w:b/>
                <w:sz w:val="18"/>
              </w:rPr>
              <w:t>23.82</w:t>
            </w:r>
          </w:p>
        </w:tc>
        <w:tc>
          <w:tcPr>
            <w:tcW w:w="1173" w:type="dxa"/>
            <w:tcBorders>
              <w:top w:val="nil"/>
              <w:left w:val="nil"/>
              <w:bottom w:val="nil"/>
              <w:right w:val="nil"/>
            </w:tcBorders>
            <w:vAlign w:val="center"/>
          </w:tcPr>
          <w:p w:rsidR="00C548B4" w:rsidRPr="001A209B" w:rsidRDefault="00C548B4" w:rsidP="00876F3E">
            <w:pPr>
              <w:jc w:val="right"/>
              <w:rPr>
                <w:rFonts w:cs="Arial"/>
                <w:sz w:val="18"/>
              </w:rPr>
            </w:pPr>
            <w:r w:rsidRPr="001A209B">
              <w:rPr>
                <w:rFonts w:cs="Arial"/>
                <w:sz w:val="18"/>
              </w:rPr>
              <w:t>23.03</w:t>
            </w:r>
          </w:p>
        </w:tc>
        <w:tc>
          <w:tcPr>
            <w:tcW w:w="1175" w:type="dxa"/>
            <w:tcBorders>
              <w:top w:val="nil"/>
              <w:left w:val="nil"/>
              <w:bottom w:val="nil"/>
              <w:right w:val="nil"/>
            </w:tcBorders>
            <w:vAlign w:val="center"/>
          </w:tcPr>
          <w:p w:rsidR="00C548B4" w:rsidRPr="001A209B" w:rsidRDefault="00C548B4" w:rsidP="00876F3E">
            <w:pPr>
              <w:jc w:val="right"/>
              <w:rPr>
                <w:rFonts w:cs="Arial"/>
                <w:sz w:val="18"/>
              </w:rPr>
            </w:pPr>
            <w:r w:rsidRPr="001A209B">
              <w:rPr>
                <w:rFonts w:cs="Arial"/>
                <w:sz w:val="18"/>
              </w:rPr>
              <w:t>+3%</w:t>
            </w:r>
          </w:p>
        </w:tc>
        <w:tc>
          <w:tcPr>
            <w:tcW w:w="1177" w:type="dxa"/>
            <w:tcBorders>
              <w:top w:val="nil"/>
              <w:left w:val="nil"/>
              <w:bottom w:val="nil"/>
              <w:right w:val="nil"/>
            </w:tcBorders>
            <w:vAlign w:val="center"/>
          </w:tcPr>
          <w:p w:rsidR="00C548B4" w:rsidRPr="001A209B" w:rsidRDefault="00C548B4" w:rsidP="00876F3E">
            <w:pPr>
              <w:jc w:val="right"/>
              <w:rPr>
                <w:rFonts w:cs="Arial"/>
                <w:sz w:val="18"/>
              </w:rPr>
            </w:pPr>
            <w:r w:rsidRPr="001A209B">
              <w:rPr>
                <w:rFonts w:cs="Arial"/>
                <w:sz w:val="18"/>
              </w:rPr>
              <w:t>+5%</w:t>
            </w:r>
          </w:p>
        </w:tc>
        <w:tc>
          <w:tcPr>
            <w:tcW w:w="1179" w:type="dxa"/>
            <w:tcBorders>
              <w:top w:val="nil"/>
              <w:left w:val="nil"/>
              <w:bottom w:val="nil"/>
            </w:tcBorders>
            <w:vAlign w:val="center"/>
          </w:tcPr>
          <w:p w:rsidR="00C548B4" w:rsidRPr="001A209B" w:rsidRDefault="00C548B4" w:rsidP="00C548B4">
            <w:pPr>
              <w:jc w:val="right"/>
              <w:rPr>
                <w:rFonts w:cs="Arial"/>
                <w:sz w:val="18"/>
              </w:rPr>
            </w:pPr>
            <w:r w:rsidRPr="001A209B">
              <w:rPr>
                <w:rFonts w:cs="Arial"/>
                <w:sz w:val="18"/>
              </w:rPr>
              <w:t>+7%</w:t>
            </w:r>
          </w:p>
        </w:tc>
      </w:tr>
      <w:tr w:rsidR="00C548B4" w:rsidRPr="001A209B" w:rsidTr="00876F3E">
        <w:trPr>
          <w:trHeight w:val="227"/>
        </w:trPr>
        <w:tc>
          <w:tcPr>
            <w:tcW w:w="3343" w:type="dxa"/>
            <w:tcBorders>
              <w:top w:val="nil"/>
              <w:bottom w:val="nil"/>
            </w:tcBorders>
            <w:shd w:val="clear" w:color="auto" w:fill="F1E7E7"/>
            <w:vAlign w:val="center"/>
          </w:tcPr>
          <w:p w:rsidR="00C548B4" w:rsidRPr="001A209B" w:rsidRDefault="00C548B4" w:rsidP="00876F3E">
            <w:pPr>
              <w:spacing w:before="20" w:after="20"/>
              <w:rPr>
                <w:sz w:val="18"/>
                <w:szCs w:val="18"/>
              </w:rPr>
            </w:pPr>
            <w:r w:rsidRPr="001A209B">
              <w:rPr>
                <w:sz w:val="18"/>
                <w:szCs w:val="18"/>
              </w:rPr>
              <w:t>Adjusted operating profit (£m)</w:t>
            </w:r>
          </w:p>
        </w:tc>
        <w:tc>
          <w:tcPr>
            <w:tcW w:w="1173" w:type="dxa"/>
            <w:tcBorders>
              <w:top w:val="nil"/>
              <w:bottom w:val="nil"/>
              <w:right w:val="nil"/>
            </w:tcBorders>
            <w:shd w:val="clear" w:color="auto" w:fill="F1E7E7"/>
            <w:vAlign w:val="center"/>
          </w:tcPr>
          <w:p w:rsidR="00C548B4" w:rsidRPr="001A209B" w:rsidRDefault="00C548B4" w:rsidP="00876F3E">
            <w:pPr>
              <w:jc w:val="right"/>
              <w:rPr>
                <w:rFonts w:cs="Arial"/>
                <w:b/>
                <w:sz w:val="18"/>
              </w:rPr>
            </w:pPr>
            <w:r w:rsidRPr="001A209B">
              <w:rPr>
                <w:rFonts w:cs="Arial"/>
                <w:b/>
                <w:sz w:val="18"/>
              </w:rPr>
              <w:t>1,089</w:t>
            </w:r>
          </w:p>
        </w:tc>
        <w:tc>
          <w:tcPr>
            <w:tcW w:w="1173" w:type="dxa"/>
            <w:tcBorders>
              <w:top w:val="nil"/>
              <w:left w:val="nil"/>
              <w:bottom w:val="nil"/>
              <w:right w:val="nil"/>
            </w:tcBorders>
            <w:shd w:val="clear" w:color="auto" w:fill="F1E7E7"/>
            <w:vAlign w:val="center"/>
          </w:tcPr>
          <w:p w:rsidR="00C548B4" w:rsidRPr="001A209B" w:rsidRDefault="00C548B4" w:rsidP="00876F3E">
            <w:pPr>
              <w:jc w:val="right"/>
              <w:rPr>
                <w:rFonts w:cs="Arial"/>
                <w:sz w:val="18"/>
              </w:rPr>
            </w:pPr>
            <w:r w:rsidRPr="001A209B">
              <w:rPr>
                <w:rFonts w:cs="Arial"/>
                <w:sz w:val="18"/>
              </w:rPr>
              <w:t>1,112</w:t>
            </w:r>
          </w:p>
        </w:tc>
        <w:tc>
          <w:tcPr>
            <w:tcW w:w="1175" w:type="dxa"/>
            <w:tcBorders>
              <w:top w:val="nil"/>
              <w:left w:val="nil"/>
              <w:bottom w:val="nil"/>
              <w:right w:val="nil"/>
            </w:tcBorders>
            <w:shd w:val="clear" w:color="auto" w:fill="F1E7E7"/>
            <w:vAlign w:val="center"/>
          </w:tcPr>
          <w:p w:rsidR="00C548B4" w:rsidRPr="001A209B" w:rsidRDefault="00C548B4" w:rsidP="00876F3E">
            <w:pPr>
              <w:jc w:val="right"/>
              <w:rPr>
                <w:rFonts w:cs="Arial"/>
                <w:sz w:val="18"/>
              </w:rPr>
            </w:pPr>
            <w:r w:rsidRPr="001A209B">
              <w:rPr>
                <w:rFonts w:cs="Arial"/>
                <w:sz w:val="18"/>
              </w:rPr>
              <w:t>-2%</w:t>
            </w:r>
          </w:p>
        </w:tc>
        <w:tc>
          <w:tcPr>
            <w:tcW w:w="1177" w:type="dxa"/>
            <w:tcBorders>
              <w:top w:val="nil"/>
              <w:left w:val="nil"/>
              <w:bottom w:val="nil"/>
              <w:right w:val="nil"/>
            </w:tcBorders>
            <w:shd w:val="clear" w:color="auto" w:fill="F1E7E7"/>
            <w:vAlign w:val="center"/>
          </w:tcPr>
          <w:p w:rsidR="00C548B4" w:rsidRPr="001A209B" w:rsidRDefault="00C548B4" w:rsidP="00876F3E">
            <w:pPr>
              <w:jc w:val="right"/>
              <w:rPr>
                <w:rFonts w:cs="Arial"/>
                <w:sz w:val="18"/>
              </w:rPr>
            </w:pPr>
            <w:r w:rsidRPr="001A209B">
              <w:rPr>
                <w:rFonts w:cs="Arial"/>
                <w:sz w:val="18"/>
              </w:rPr>
              <w:t>+0%</w:t>
            </w:r>
          </w:p>
        </w:tc>
        <w:tc>
          <w:tcPr>
            <w:tcW w:w="1179" w:type="dxa"/>
            <w:tcBorders>
              <w:top w:val="nil"/>
              <w:left w:val="nil"/>
              <w:bottom w:val="nil"/>
            </w:tcBorders>
            <w:shd w:val="clear" w:color="auto" w:fill="F1E7E7"/>
            <w:vAlign w:val="center"/>
          </w:tcPr>
          <w:p w:rsidR="00C548B4" w:rsidRPr="001A209B" w:rsidRDefault="00C548B4" w:rsidP="00C548B4">
            <w:pPr>
              <w:jc w:val="right"/>
              <w:rPr>
                <w:rFonts w:cs="Arial"/>
                <w:sz w:val="18"/>
              </w:rPr>
            </w:pPr>
          </w:p>
        </w:tc>
      </w:tr>
      <w:tr w:rsidR="00C548B4" w:rsidRPr="001A209B" w:rsidTr="00876F3E">
        <w:trPr>
          <w:trHeight w:val="227"/>
        </w:trPr>
        <w:tc>
          <w:tcPr>
            <w:tcW w:w="3343" w:type="dxa"/>
            <w:tcBorders>
              <w:top w:val="nil"/>
              <w:bottom w:val="single" w:sz="4" w:space="0" w:color="auto"/>
            </w:tcBorders>
            <w:vAlign w:val="center"/>
          </w:tcPr>
          <w:p w:rsidR="00C548B4" w:rsidRPr="001A209B" w:rsidRDefault="00C548B4" w:rsidP="00876F3E">
            <w:pPr>
              <w:spacing w:before="20" w:after="20"/>
              <w:rPr>
                <w:sz w:val="18"/>
                <w:szCs w:val="18"/>
              </w:rPr>
            </w:pPr>
            <w:r w:rsidRPr="001A209B">
              <w:rPr>
                <w:sz w:val="18"/>
                <w:szCs w:val="18"/>
              </w:rPr>
              <w:t xml:space="preserve">Growth Brands % tobacco net revenue </w:t>
            </w:r>
          </w:p>
        </w:tc>
        <w:tc>
          <w:tcPr>
            <w:tcW w:w="1173" w:type="dxa"/>
            <w:tcBorders>
              <w:top w:val="nil"/>
              <w:bottom w:val="single" w:sz="4" w:space="0" w:color="auto"/>
              <w:right w:val="nil"/>
            </w:tcBorders>
            <w:vAlign w:val="center"/>
          </w:tcPr>
          <w:p w:rsidR="00C548B4" w:rsidRPr="001A209B" w:rsidRDefault="00C548B4" w:rsidP="00876F3E">
            <w:pPr>
              <w:jc w:val="right"/>
              <w:rPr>
                <w:rFonts w:cs="Arial"/>
                <w:b/>
                <w:sz w:val="18"/>
              </w:rPr>
            </w:pPr>
            <w:r w:rsidRPr="001A209B">
              <w:rPr>
                <w:rFonts w:cs="Arial"/>
                <w:b/>
                <w:sz w:val="18"/>
              </w:rPr>
              <w:t>41</w:t>
            </w:r>
          </w:p>
        </w:tc>
        <w:tc>
          <w:tcPr>
            <w:tcW w:w="1173" w:type="dxa"/>
            <w:tcBorders>
              <w:top w:val="nil"/>
              <w:left w:val="nil"/>
              <w:bottom w:val="single" w:sz="4" w:space="0" w:color="auto"/>
              <w:right w:val="nil"/>
            </w:tcBorders>
            <w:vAlign w:val="center"/>
          </w:tcPr>
          <w:p w:rsidR="00C548B4" w:rsidRPr="001A209B" w:rsidRDefault="00C548B4" w:rsidP="00876F3E">
            <w:pPr>
              <w:jc w:val="right"/>
              <w:rPr>
                <w:rFonts w:cs="Arial"/>
                <w:sz w:val="18"/>
              </w:rPr>
            </w:pPr>
            <w:r w:rsidRPr="001A209B">
              <w:rPr>
                <w:rFonts w:cs="Arial"/>
                <w:sz w:val="18"/>
              </w:rPr>
              <w:t>39</w:t>
            </w:r>
          </w:p>
        </w:tc>
        <w:tc>
          <w:tcPr>
            <w:tcW w:w="1175" w:type="dxa"/>
            <w:tcBorders>
              <w:top w:val="nil"/>
              <w:left w:val="nil"/>
              <w:bottom w:val="single" w:sz="4" w:space="0" w:color="auto"/>
              <w:right w:val="nil"/>
            </w:tcBorders>
            <w:vAlign w:val="center"/>
          </w:tcPr>
          <w:p w:rsidR="00C548B4" w:rsidRPr="001A209B" w:rsidRDefault="00C548B4" w:rsidP="00876F3E">
            <w:pPr>
              <w:jc w:val="right"/>
              <w:rPr>
                <w:rFonts w:cs="Arial"/>
                <w:sz w:val="18"/>
              </w:rPr>
            </w:pPr>
            <w:r w:rsidRPr="001A209B">
              <w:rPr>
                <w:rFonts w:cs="Arial"/>
                <w:sz w:val="18"/>
              </w:rPr>
              <w:t>+200 bps</w:t>
            </w:r>
          </w:p>
        </w:tc>
        <w:tc>
          <w:tcPr>
            <w:tcW w:w="1177" w:type="dxa"/>
            <w:tcBorders>
              <w:top w:val="nil"/>
              <w:left w:val="nil"/>
              <w:bottom w:val="single" w:sz="4" w:space="0" w:color="auto"/>
              <w:right w:val="nil"/>
            </w:tcBorders>
            <w:vAlign w:val="center"/>
          </w:tcPr>
          <w:p w:rsidR="00C548B4" w:rsidRPr="001A209B" w:rsidRDefault="00C548B4" w:rsidP="00876F3E">
            <w:pPr>
              <w:jc w:val="right"/>
              <w:rPr>
                <w:rFonts w:cs="Arial"/>
                <w:sz w:val="18"/>
              </w:rPr>
            </w:pPr>
            <w:r w:rsidRPr="001A209B">
              <w:rPr>
                <w:rFonts w:cs="Arial"/>
                <w:sz w:val="18"/>
              </w:rPr>
              <w:t>+160 bps</w:t>
            </w:r>
          </w:p>
        </w:tc>
        <w:tc>
          <w:tcPr>
            <w:tcW w:w="1179" w:type="dxa"/>
            <w:tcBorders>
              <w:top w:val="nil"/>
              <w:left w:val="nil"/>
              <w:bottom w:val="single" w:sz="4" w:space="0" w:color="auto"/>
            </w:tcBorders>
            <w:vAlign w:val="center"/>
          </w:tcPr>
          <w:p w:rsidR="00C548B4" w:rsidRPr="001A209B" w:rsidRDefault="00C548B4" w:rsidP="00C548B4">
            <w:pPr>
              <w:jc w:val="right"/>
              <w:rPr>
                <w:rFonts w:cs="Arial"/>
                <w:sz w:val="18"/>
              </w:rPr>
            </w:pPr>
            <w:r w:rsidRPr="001A209B">
              <w:rPr>
                <w:rFonts w:cs="Arial"/>
                <w:sz w:val="18"/>
              </w:rPr>
              <w:t>+170 bps</w:t>
            </w:r>
          </w:p>
        </w:tc>
      </w:tr>
    </w:tbl>
    <w:p w:rsidR="00DF39D3" w:rsidRPr="001A209B" w:rsidRDefault="00DF39D3" w:rsidP="00853E15">
      <w:pPr>
        <w:spacing w:before="20" w:after="20"/>
        <w:jc w:val="both"/>
        <w:rPr>
          <w:rFonts w:cs="Arial"/>
          <w:bCs/>
          <w:i/>
          <w:sz w:val="16"/>
          <w:szCs w:val="16"/>
        </w:rPr>
      </w:pPr>
      <w:r w:rsidRPr="001A209B">
        <w:rPr>
          <w:rFonts w:cs="Arial"/>
          <w:i/>
          <w:sz w:val="18"/>
          <w:szCs w:val="18"/>
          <w:vertAlign w:val="superscript"/>
        </w:rPr>
        <w:t xml:space="preserve">1 </w:t>
      </w:r>
      <w:r w:rsidR="007A266C" w:rsidRPr="001A209B">
        <w:rPr>
          <w:rFonts w:cs="Arial"/>
          <w:bCs/>
          <w:i/>
          <w:sz w:val="16"/>
          <w:szCs w:val="16"/>
        </w:rPr>
        <w:t>See page 11</w:t>
      </w:r>
      <w:r w:rsidRPr="001A209B">
        <w:rPr>
          <w:rFonts w:cs="Arial"/>
          <w:bCs/>
          <w:i/>
          <w:sz w:val="16"/>
          <w:szCs w:val="16"/>
        </w:rPr>
        <w:t xml:space="preserve"> for basis of presentation.</w:t>
      </w:r>
    </w:p>
    <w:p w:rsidR="00DF39D3" w:rsidRPr="001A209B" w:rsidRDefault="00DF39D3" w:rsidP="00853E15">
      <w:pPr>
        <w:spacing w:before="20" w:after="20"/>
        <w:jc w:val="both"/>
        <w:rPr>
          <w:rFonts w:cs="Arial"/>
          <w:bCs/>
          <w:i/>
          <w:sz w:val="16"/>
          <w:szCs w:val="16"/>
        </w:rPr>
      </w:pPr>
    </w:p>
    <w:p w:rsidR="005D5FC1" w:rsidRPr="001A209B" w:rsidRDefault="005D5FC1" w:rsidP="00853E15">
      <w:pPr>
        <w:spacing w:before="20" w:after="20"/>
        <w:jc w:val="both"/>
        <w:rPr>
          <w:rFonts w:cs="Arial"/>
          <w:bCs/>
          <w:sz w:val="18"/>
          <w:szCs w:val="18"/>
        </w:rPr>
      </w:pPr>
      <w:r w:rsidRPr="001A209B">
        <w:rPr>
          <w:rFonts w:cs="Arial"/>
          <w:bCs/>
          <w:sz w:val="18"/>
          <w:szCs w:val="18"/>
        </w:rPr>
        <w:t xml:space="preserve">Industry volumes declined by </w:t>
      </w:r>
      <w:r w:rsidR="00D36D2D" w:rsidRPr="001A209B">
        <w:rPr>
          <w:rFonts w:cs="Arial"/>
          <w:bCs/>
          <w:sz w:val="18"/>
          <w:szCs w:val="18"/>
        </w:rPr>
        <w:t>5</w:t>
      </w:r>
      <w:r w:rsidRPr="001A209B">
        <w:rPr>
          <w:rFonts w:cs="Arial"/>
          <w:bCs/>
          <w:sz w:val="18"/>
          <w:szCs w:val="18"/>
        </w:rPr>
        <w:t xml:space="preserve"> </w:t>
      </w:r>
      <w:r w:rsidR="00A131F1" w:rsidRPr="001A209B">
        <w:rPr>
          <w:rFonts w:cs="Arial"/>
          <w:bCs/>
          <w:sz w:val="18"/>
          <w:szCs w:val="18"/>
        </w:rPr>
        <w:t xml:space="preserve">per cent in Returns Markets. The impact of a weak operating environment in </w:t>
      </w:r>
      <w:r w:rsidRPr="001A209B">
        <w:rPr>
          <w:rFonts w:cs="Arial"/>
          <w:bCs/>
          <w:sz w:val="18"/>
          <w:szCs w:val="18"/>
        </w:rPr>
        <w:t xml:space="preserve">Returns South </w:t>
      </w:r>
      <w:r w:rsidR="00A131F1" w:rsidRPr="001A209B">
        <w:rPr>
          <w:rFonts w:cs="Arial"/>
          <w:bCs/>
          <w:sz w:val="18"/>
          <w:szCs w:val="18"/>
        </w:rPr>
        <w:t xml:space="preserve">was offset by </w:t>
      </w:r>
      <w:r w:rsidRPr="001A209B">
        <w:rPr>
          <w:rFonts w:cs="Arial"/>
          <w:bCs/>
          <w:sz w:val="18"/>
          <w:szCs w:val="18"/>
        </w:rPr>
        <w:t xml:space="preserve">results in Returns North such that adjusted operating profit across our Returns Markets </w:t>
      </w:r>
      <w:r w:rsidR="00920D48" w:rsidRPr="001A209B">
        <w:rPr>
          <w:rFonts w:cs="Arial"/>
          <w:bCs/>
          <w:sz w:val="18"/>
          <w:szCs w:val="18"/>
        </w:rPr>
        <w:t xml:space="preserve">was </w:t>
      </w:r>
      <w:r w:rsidR="001629BE" w:rsidRPr="001A209B">
        <w:rPr>
          <w:rFonts w:cs="Arial"/>
          <w:bCs/>
          <w:sz w:val="18"/>
          <w:szCs w:val="18"/>
        </w:rPr>
        <w:t>flat</w:t>
      </w:r>
      <w:r w:rsidRPr="001A209B">
        <w:rPr>
          <w:rFonts w:cs="Arial"/>
          <w:bCs/>
          <w:sz w:val="18"/>
          <w:szCs w:val="18"/>
        </w:rPr>
        <w:t xml:space="preserve">. </w:t>
      </w:r>
      <w:r w:rsidR="00D37F13" w:rsidRPr="001A209B">
        <w:rPr>
          <w:rFonts w:cs="Arial"/>
          <w:bCs/>
          <w:sz w:val="18"/>
          <w:szCs w:val="18"/>
        </w:rPr>
        <w:t xml:space="preserve">Our market share position was </w:t>
      </w:r>
      <w:r w:rsidR="002211AB" w:rsidRPr="001A209B">
        <w:rPr>
          <w:rFonts w:cs="Arial"/>
          <w:bCs/>
          <w:sz w:val="18"/>
          <w:szCs w:val="18"/>
        </w:rPr>
        <w:t>impacted</w:t>
      </w:r>
      <w:r w:rsidR="00D37F13" w:rsidRPr="001A209B">
        <w:rPr>
          <w:rFonts w:cs="Arial"/>
          <w:bCs/>
          <w:sz w:val="18"/>
          <w:szCs w:val="18"/>
        </w:rPr>
        <w:t xml:space="preserve"> by industry volumes declines in markets such as the UK and Spain, where we have higher share than in other Returns Markets. </w:t>
      </w:r>
      <w:r w:rsidR="00176FA9" w:rsidRPr="001A209B">
        <w:rPr>
          <w:rFonts w:cs="Arial"/>
          <w:bCs/>
          <w:sz w:val="18"/>
          <w:szCs w:val="18"/>
        </w:rPr>
        <w:t xml:space="preserve">We grew net revenue per thousand stick equivalents by </w:t>
      </w:r>
      <w:r w:rsidR="00C50BC3" w:rsidRPr="001A209B">
        <w:rPr>
          <w:rFonts w:cs="Arial"/>
          <w:bCs/>
          <w:sz w:val="18"/>
          <w:szCs w:val="18"/>
        </w:rPr>
        <w:t>5</w:t>
      </w:r>
      <w:r w:rsidR="00A131F1" w:rsidRPr="001A209B">
        <w:rPr>
          <w:rFonts w:cs="Arial"/>
          <w:bCs/>
          <w:sz w:val="18"/>
          <w:szCs w:val="18"/>
        </w:rPr>
        <w:t xml:space="preserve"> </w:t>
      </w:r>
      <w:r w:rsidR="00176FA9" w:rsidRPr="001A209B">
        <w:rPr>
          <w:rFonts w:cs="Arial"/>
          <w:bCs/>
          <w:sz w:val="18"/>
          <w:szCs w:val="18"/>
        </w:rPr>
        <w:t xml:space="preserve">per cent </w:t>
      </w:r>
      <w:r w:rsidRPr="001A209B">
        <w:rPr>
          <w:rFonts w:cs="Arial"/>
          <w:bCs/>
          <w:sz w:val="18"/>
          <w:szCs w:val="18"/>
        </w:rPr>
        <w:t>and o</w:t>
      </w:r>
      <w:r w:rsidR="00A00AA7" w:rsidRPr="001A209B">
        <w:rPr>
          <w:rFonts w:cs="Arial"/>
          <w:sz w:val="18"/>
          <w:szCs w:val="18"/>
        </w:rPr>
        <w:t xml:space="preserve">ur market share was </w:t>
      </w:r>
      <w:r w:rsidR="00920D48" w:rsidRPr="001A209B">
        <w:rPr>
          <w:rFonts w:cs="Arial"/>
          <w:sz w:val="18"/>
          <w:szCs w:val="18"/>
        </w:rPr>
        <w:t>26.8</w:t>
      </w:r>
      <w:r w:rsidR="00A00AA7" w:rsidRPr="001A209B">
        <w:rPr>
          <w:rFonts w:cs="Arial"/>
          <w:sz w:val="18"/>
          <w:szCs w:val="18"/>
        </w:rPr>
        <w:t xml:space="preserve"> per cent compared to </w:t>
      </w:r>
      <w:r w:rsidR="00920D48" w:rsidRPr="001A209B">
        <w:rPr>
          <w:rFonts w:cs="Arial"/>
          <w:sz w:val="18"/>
          <w:szCs w:val="18"/>
        </w:rPr>
        <w:t>27.7</w:t>
      </w:r>
      <w:r w:rsidR="00D76958" w:rsidRPr="001A209B">
        <w:rPr>
          <w:rFonts w:cs="Arial"/>
          <w:sz w:val="18"/>
          <w:szCs w:val="18"/>
        </w:rPr>
        <w:t xml:space="preserve"> per cent last year.</w:t>
      </w:r>
      <w:r w:rsidR="009306FD" w:rsidRPr="001A209B">
        <w:rPr>
          <w:rFonts w:cs="Arial"/>
          <w:bCs/>
          <w:sz w:val="18"/>
          <w:szCs w:val="18"/>
        </w:rPr>
        <w:t xml:space="preserve"> </w:t>
      </w:r>
      <w:r w:rsidRPr="001A209B">
        <w:rPr>
          <w:rFonts w:cs="Arial"/>
          <w:sz w:val="18"/>
          <w:szCs w:val="18"/>
        </w:rPr>
        <w:t xml:space="preserve">We increased the revenue contribution from our Growth Brands; these brands generated </w:t>
      </w:r>
      <w:r w:rsidR="00920D48" w:rsidRPr="001A209B">
        <w:rPr>
          <w:rFonts w:cs="Arial"/>
          <w:sz w:val="18"/>
          <w:szCs w:val="18"/>
        </w:rPr>
        <w:t>41</w:t>
      </w:r>
      <w:r w:rsidRPr="001A209B">
        <w:rPr>
          <w:rFonts w:cs="Arial"/>
          <w:sz w:val="18"/>
          <w:szCs w:val="18"/>
        </w:rPr>
        <w:t xml:space="preserve"> per cent of tobacco net revenue in Returns Markets, </w:t>
      </w:r>
      <w:r w:rsidR="00905D9D" w:rsidRPr="001A209B">
        <w:rPr>
          <w:rFonts w:cs="Arial"/>
          <w:sz w:val="18"/>
          <w:szCs w:val="18"/>
        </w:rPr>
        <w:t>200</w:t>
      </w:r>
      <w:r w:rsidRPr="001A209B">
        <w:rPr>
          <w:rFonts w:cs="Arial"/>
          <w:b/>
          <w:sz w:val="18"/>
          <w:szCs w:val="18"/>
        </w:rPr>
        <w:t xml:space="preserve"> </w:t>
      </w:r>
      <w:r w:rsidRPr="001A209B">
        <w:rPr>
          <w:rFonts w:cs="Arial"/>
          <w:sz w:val="18"/>
          <w:szCs w:val="18"/>
        </w:rPr>
        <w:t>basis points higher than last year.</w:t>
      </w:r>
    </w:p>
    <w:p w:rsidR="00006ABD" w:rsidRPr="001A209B" w:rsidRDefault="00006ABD" w:rsidP="00853E15">
      <w:pPr>
        <w:spacing w:before="20" w:after="20"/>
        <w:jc w:val="both"/>
        <w:rPr>
          <w:rFonts w:cs="Arial"/>
          <w:sz w:val="18"/>
          <w:szCs w:val="18"/>
        </w:rPr>
      </w:pPr>
    </w:p>
    <w:p w:rsidR="00605439" w:rsidRPr="001A209B" w:rsidRDefault="00605439" w:rsidP="00853E15">
      <w:pPr>
        <w:spacing w:before="20" w:after="20"/>
        <w:jc w:val="both"/>
        <w:rPr>
          <w:rFonts w:cs="Arial"/>
          <w:sz w:val="18"/>
          <w:szCs w:val="18"/>
        </w:rPr>
      </w:pPr>
    </w:p>
    <w:p w:rsidR="00C548B4" w:rsidRPr="001A209B" w:rsidRDefault="005D5FC1" w:rsidP="00C548B4">
      <w:pPr>
        <w:spacing w:before="20" w:after="20"/>
        <w:jc w:val="both"/>
        <w:rPr>
          <w:rFonts w:cs="Arial"/>
          <w:b/>
          <w:bCs/>
          <w:color w:val="A60D1F"/>
          <w:sz w:val="18"/>
          <w:szCs w:val="18"/>
        </w:rPr>
      </w:pPr>
      <w:r w:rsidRPr="001A209B">
        <w:rPr>
          <w:rFonts w:cs="Arial"/>
          <w:b/>
          <w:bCs/>
          <w:color w:val="A60D1F"/>
          <w:sz w:val="18"/>
          <w:szCs w:val="18"/>
        </w:rPr>
        <w:t>Returns Markets North</w:t>
      </w:r>
    </w:p>
    <w:tbl>
      <w:tblPr>
        <w:tblStyle w:val="TableGrid"/>
        <w:tblW w:w="0" w:type="auto"/>
        <w:tblBorders>
          <w:left w:val="none" w:sz="0" w:space="0" w:color="auto"/>
          <w:right w:val="none" w:sz="0" w:space="0" w:color="auto"/>
          <w:insideV w:val="none" w:sz="0" w:space="0" w:color="auto"/>
        </w:tblBorders>
        <w:tblCellMar>
          <w:left w:w="85" w:type="dxa"/>
          <w:right w:w="85" w:type="dxa"/>
        </w:tblCellMar>
        <w:tblLook w:val="04A0" w:firstRow="1" w:lastRow="0" w:firstColumn="1" w:lastColumn="0" w:noHBand="0" w:noVBand="1"/>
      </w:tblPr>
      <w:tblGrid>
        <w:gridCol w:w="3343"/>
        <w:gridCol w:w="1173"/>
        <w:gridCol w:w="1173"/>
        <w:gridCol w:w="1175"/>
        <w:gridCol w:w="1177"/>
        <w:gridCol w:w="1179"/>
      </w:tblGrid>
      <w:tr w:rsidR="00C548B4" w:rsidRPr="001A209B" w:rsidTr="00876F3E">
        <w:trPr>
          <w:trHeight w:val="227"/>
        </w:trPr>
        <w:tc>
          <w:tcPr>
            <w:tcW w:w="3343" w:type="dxa"/>
            <w:tcBorders>
              <w:bottom w:val="nil"/>
            </w:tcBorders>
            <w:vAlign w:val="center"/>
          </w:tcPr>
          <w:p w:rsidR="00C548B4" w:rsidRPr="001A209B" w:rsidRDefault="00C548B4" w:rsidP="00876F3E">
            <w:pPr>
              <w:spacing w:before="20" w:after="20"/>
              <w:rPr>
                <w:rFonts w:cs="Arial"/>
                <w:b/>
                <w:color w:val="A60D1F"/>
                <w:sz w:val="18"/>
                <w:szCs w:val="18"/>
              </w:rPr>
            </w:pPr>
          </w:p>
        </w:tc>
        <w:tc>
          <w:tcPr>
            <w:tcW w:w="2346" w:type="dxa"/>
            <w:gridSpan w:val="2"/>
            <w:vAlign w:val="center"/>
          </w:tcPr>
          <w:p w:rsidR="00C548B4" w:rsidRPr="001A209B" w:rsidRDefault="00C548B4" w:rsidP="00876F3E">
            <w:pPr>
              <w:spacing w:before="20" w:after="20"/>
              <w:jc w:val="right"/>
              <w:rPr>
                <w:rFonts w:cs="Arial"/>
                <w:b/>
                <w:color w:val="A60D1F"/>
                <w:sz w:val="18"/>
                <w:szCs w:val="18"/>
              </w:rPr>
            </w:pPr>
            <w:r w:rsidRPr="001A209B">
              <w:rPr>
                <w:rFonts w:cs="Arial"/>
                <w:b/>
                <w:bCs/>
                <w:sz w:val="18"/>
                <w:szCs w:val="18"/>
              </w:rPr>
              <w:t>Half Year Result</w:t>
            </w:r>
          </w:p>
        </w:tc>
        <w:tc>
          <w:tcPr>
            <w:tcW w:w="3531" w:type="dxa"/>
            <w:gridSpan w:val="3"/>
            <w:vAlign w:val="center"/>
          </w:tcPr>
          <w:p w:rsidR="00C548B4" w:rsidRPr="001A209B" w:rsidRDefault="00C548B4" w:rsidP="00876F3E">
            <w:pPr>
              <w:spacing w:before="20" w:after="20"/>
              <w:jc w:val="center"/>
              <w:rPr>
                <w:rFonts w:cs="Arial"/>
                <w:b/>
                <w:color w:val="A60D1F"/>
                <w:sz w:val="18"/>
                <w:szCs w:val="18"/>
              </w:rPr>
            </w:pPr>
            <w:r w:rsidRPr="001A209B">
              <w:rPr>
                <w:rFonts w:cs="Arial"/>
                <w:b/>
                <w:bCs/>
                <w:sz w:val="18"/>
                <w:szCs w:val="18"/>
              </w:rPr>
              <w:t>Change</w:t>
            </w:r>
          </w:p>
        </w:tc>
      </w:tr>
      <w:tr w:rsidR="00C548B4" w:rsidRPr="001A209B" w:rsidTr="00876F3E">
        <w:trPr>
          <w:trHeight w:val="227"/>
        </w:trPr>
        <w:tc>
          <w:tcPr>
            <w:tcW w:w="3343" w:type="dxa"/>
            <w:tcBorders>
              <w:top w:val="nil"/>
              <w:bottom w:val="nil"/>
            </w:tcBorders>
            <w:vAlign w:val="center"/>
          </w:tcPr>
          <w:p w:rsidR="00C548B4" w:rsidRPr="001A209B" w:rsidRDefault="00C548B4" w:rsidP="00876F3E">
            <w:pPr>
              <w:spacing w:before="20" w:after="20"/>
              <w:rPr>
                <w:rFonts w:cs="Arial"/>
                <w:b/>
                <w:color w:val="A60D1F"/>
                <w:sz w:val="18"/>
                <w:szCs w:val="18"/>
              </w:rPr>
            </w:pPr>
          </w:p>
        </w:tc>
        <w:tc>
          <w:tcPr>
            <w:tcW w:w="1173" w:type="dxa"/>
            <w:tcBorders>
              <w:bottom w:val="single" w:sz="4" w:space="0" w:color="auto"/>
            </w:tcBorders>
            <w:vAlign w:val="bottom"/>
          </w:tcPr>
          <w:p w:rsidR="00C548B4" w:rsidRPr="001A209B" w:rsidRDefault="00C548B4" w:rsidP="00876F3E">
            <w:pPr>
              <w:spacing w:before="20" w:after="20"/>
              <w:jc w:val="right"/>
              <w:rPr>
                <w:b/>
                <w:sz w:val="18"/>
                <w:szCs w:val="18"/>
              </w:rPr>
            </w:pPr>
            <w:r w:rsidRPr="001A209B">
              <w:rPr>
                <w:b/>
                <w:sz w:val="18"/>
                <w:szCs w:val="18"/>
              </w:rPr>
              <w:t>2014</w:t>
            </w:r>
          </w:p>
        </w:tc>
        <w:tc>
          <w:tcPr>
            <w:tcW w:w="1173" w:type="dxa"/>
            <w:tcBorders>
              <w:bottom w:val="single" w:sz="4" w:space="0" w:color="auto"/>
            </w:tcBorders>
            <w:vAlign w:val="bottom"/>
          </w:tcPr>
          <w:p w:rsidR="00C548B4" w:rsidRPr="001A209B" w:rsidRDefault="00C548B4" w:rsidP="00876F3E">
            <w:pPr>
              <w:spacing w:before="20" w:after="20"/>
              <w:jc w:val="right"/>
              <w:rPr>
                <w:sz w:val="18"/>
                <w:szCs w:val="18"/>
              </w:rPr>
            </w:pPr>
            <w:r w:rsidRPr="001A209B">
              <w:rPr>
                <w:sz w:val="18"/>
                <w:szCs w:val="18"/>
              </w:rPr>
              <w:t>2013</w:t>
            </w:r>
          </w:p>
        </w:tc>
        <w:tc>
          <w:tcPr>
            <w:tcW w:w="1175" w:type="dxa"/>
            <w:tcBorders>
              <w:bottom w:val="single" w:sz="4" w:space="0" w:color="auto"/>
            </w:tcBorders>
            <w:vAlign w:val="bottom"/>
          </w:tcPr>
          <w:p w:rsidR="00C548B4" w:rsidRPr="001A209B" w:rsidRDefault="00C548B4" w:rsidP="00876F3E">
            <w:pPr>
              <w:spacing w:before="20" w:after="20"/>
              <w:jc w:val="right"/>
              <w:rPr>
                <w:sz w:val="18"/>
                <w:szCs w:val="18"/>
              </w:rPr>
            </w:pPr>
            <w:r w:rsidRPr="001A209B">
              <w:rPr>
                <w:sz w:val="18"/>
                <w:szCs w:val="18"/>
              </w:rPr>
              <w:t>Actual</w:t>
            </w:r>
          </w:p>
        </w:tc>
        <w:tc>
          <w:tcPr>
            <w:tcW w:w="1177" w:type="dxa"/>
            <w:tcBorders>
              <w:bottom w:val="single" w:sz="4" w:space="0" w:color="auto"/>
            </w:tcBorders>
            <w:vAlign w:val="bottom"/>
          </w:tcPr>
          <w:p w:rsidR="00C548B4" w:rsidRPr="001A209B" w:rsidRDefault="00C548B4" w:rsidP="00876F3E">
            <w:pPr>
              <w:spacing w:before="20" w:after="20"/>
              <w:jc w:val="right"/>
              <w:rPr>
                <w:sz w:val="18"/>
                <w:szCs w:val="18"/>
              </w:rPr>
            </w:pPr>
            <w:r w:rsidRPr="001A209B">
              <w:rPr>
                <w:sz w:val="18"/>
                <w:szCs w:val="18"/>
              </w:rPr>
              <w:t xml:space="preserve">Constant </w:t>
            </w:r>
            <w:r w:rsidRPr="001A209B">
              <w:rPr>
                <w:rFonts w:cs="Arial"/>
                <w:bCs/>
                <w:sz w:val="18"/>
                <w:szCs w:val="18"/>
              </w:rPr>
              <w:t>Currency</w:t>
            </w:r>
            <w:r w:rsidRPr="001A209B">
              <w:rPr>
                <w:rFonts w:cs="Arial"/>
                <w:sz w:val="18"/>
                <w:szCs w:val="18"/>
                <w:vertAlign w:val="superscript"/>
              </w:rPr>
              <w:t>1</w:t>
            </w:r>
          </w:p>
        </w:tc>
        <w:tc>
          <w:tcPr>
            <w:tcW w:w="1179" w:type="dxa"/>
            <w:tcBorders>
              <w:bottom w:val="single" w:sz="4" w:space="0" w:color="auto"/>
            </w:tcBorders>
            <w:vAlign w:val="bottom"/>
          </w:tcPr>
          <w:p w:rsidR="00C548B4" w:rsidRPr="001A209B" w:rsidRDefault="00C548B4" w:rsidP="00876F3E">
            <w:pPr>
              <w:spacing w:before="20" w:after="20"/>
              <w:jc w:val="right"/>
              <w:rPr>
                <w:sz w:val="18"/>
                <w:szCs w:val="18"/>
              </w:rPr>
            </w:pPr>
            <w:r w:rsidRPr="001A209B">
              <w:rPr>
                <w:rFonts w:cs="Arial"/>
                <w:sz w:val="18"/>
                <w:szCs w:val="18"/>
              </w:rPr>
              <w:t>Underlying</w:t>
            </w:r>
            <w:r w:rsidRPr="001A209B">
              <w:rPr>
                <w:rFonts w:cs="Arial"/>
                <w:sz w:val="18"/>
                <w:szCs w:val="18"/>
                <w:vertAlign w:val="superscript"/>
              </w:rPr>
              <w:t>1</w:t>
            </w:r>
          </w:p>
        </w:tc>
      </w:tr>
      <w:tr w:rsidR="00C548B4" w:rsidRPr="001A209B" w:rsidTr="00876F3E">
        <w:trPr>
          <w:trHeight w:val="227"/>
        </w:trPr>
        <w:tc>
          <w:tcPr>
            <w:tcW w:w="3343" w:type="dxa"/>
            <w:tcBorders>
              <w:top w:val="nil"/>
              <w:bottom w:val="nil"/>
            </w:tcBorders>
            <w:shd w:val="clear" w:color="auto" w:fill="F1E7E7"/>
            <w:vAlign w:val="center"/>
          </w:tcPr>
          <w:p w:rsidR="00C548B4" w:rsidRPr="001A209B" w:rsidRDefault="00C548B4" w:rsidP="00876F3E">
            <w:pPr>
              <w:spacing w:before="20" w:after="20"/>
              <w:rPr>
                <w:sz w:val="18"/>
                <w:szCs w:val="18"/>
              </w:rPr>
            </w:pPr>
            <w:r w:rsidRPr="001A209B">
              <w:rPr>
                <w:sz w:val="18"/>
                <w:szCs w:val="18"/>
              </w:rPr>
              <w:t xml:space="preserve">Market share (%) </w:t>
            </w:r>
          </w:p>
        </w:tc>
        <w:tc>
          <w:tcPr>
            <w:tcW w:w="1173" w:type="dxa"/>
            <w:tcBorders>
              <w:bottom w:val="nil"/>
              <w:right w:val="nil"/>
            </w:tcBorders>
            <w:shd w:val="clear" w:color="auto" w:fill="F1E7E7"/>
            <w:vAlign w:val="center"/>
          </w:tcPr>
          <w:p w:rsidR="00C548B4" w:rsidRPr="001A209B" w:rsidRDefault="00C548B4" w:rsidP="00876F3E">
            <w:pPr>
              <w:jc w:val="right"/>
              <w:rPr>
                <w:rFonts w:cs="Arial"/>
                <w:b/>
                <w:sz w:val="18"/>
              </w:rPr>
            </w:pPr>
            <w:r w:rsidRPr="001A209B">
              <w:rPr>
                <w:rFonts w:cs="Arial"/>
                <w:b/>
                <w:sz w:val="18"/>
              </w:rPr>
              <w:t>25.0</w:t>
            </w:r>
          </w:p>
        </w:tc>
        <w:tc>
          <w:tcPr>
            <w:tcW w:w="1173" w:type="dxa"/>
            <w:tcBorders>
              <w:left w:val="nil"/>
              <w:bottom w:val="nil"/>
              <w:right w:val="nil"/>
            </w:tcBorders>
            <w:shd w:val="clear" w:color="auto" w:fill="F1E7E7"/>
            <w:vAlign w:val="center"/>
          </w:tcPr>
          <w:p w:rsidR="00C548B4" w:rsidRPr="001A209B" w:rsidRDefault="00C548B4" w:rsidP="00876F3E">
            <w:pPr>
              <w:jc w:val="right"/>
              <w:rPr>
                <w:rFonts w:cs="Arial"/>
                <w:sz w:val="18"/>
              </w:rPr>
            </w:pPr>
            <w:r w:rsidRPr="001A209B">
              <w:rPr>
                <w:rFonts w:cs="Arial"/>
                <w:sz w:val="18"/>
              </w:rPr>
              <w:t>25.8</w:t>
            </w:r>
          </w:p>
        </w:tc>
        <w:tc>
          <w:tcPr>
            <w:tcW w:w="1175" w:type="dxa"/>
            <w:tcBorders>
              <w:left w:val="nil"/>
              <w:bottom w:val="nil"/>
              <w:right w:val="nil"/>
            </w:tcBorders>
            <w:shd w:val="clear" w:color="auto" w:fill="F1E7E7"/>
            <w:vAlign w:val="center"/>
          </w:tcPr>
          <w:p w:rsidR="00C548B4" w:rsidRPr="001A209B" w:rsidRDefault="00C548B4" w:rsidP="00876F3E">
            <w:pPr>
              <w:jc w:val="right"/>
              <w:rPr>
                <w:rFonts w:cs="Arial"/>
                <w:sz w:val="18"/>
              </w:rPr>
            </w:pPr>
            <w:r w:rsidRPr="001A209B">
              <w:rPr>
                <w:rFonts w:cs="Arial"/>
                <w:sz w:val="18"/>
              </w:rPr>
              <w:t>-80 bps</w:t>
            </w:r>
          </w:p>
        </w:tc>
        <w:tc>
          <w:tcPr>
            <w:tcW w:w="1177" w:type="dxa"/>
            <w:tcBorders>
              <w:left w:val="nil"/>
              <w:bottom w:val="nil"/>
              <w:right w:val="nil"/>
            </w:tcBorders>
            <w:shd w:val="clear" w:color="auto" w:fill="F1E7E7"/>
            <w:vAlign w:val="center"/>
          </w:tcPr>
          <w:p w:rsidR="00C548B4" w:rsidRPr="001A209B" w:rsidRDefault="00C548B4" w:rsidP="00876F3E">
            <w:pPr>
              <w:jc w:val="right"/>
              <w:rPr>
                <w:rFonts w:cs="Arial"/>
                <w:sz w:val="18"/>
              </w:rPr>
            </w:pPr>
          </w:p>
        </w:tc>
        <w:tc>
          <w:tcPr>
            <w:tcW w:w="1179" w:type="dxa"/>
            <w:tcBorders>
              <w:left w:val="nil"/>
              <w:bottom w:val="nil"/>
            </w:tcBorders>
            <w:shd w:val="clear" w:color="auto" w:fill="F1E7E7"/>
            <w:vAlign w:val="center"/>
          </w:tcPr>
          <w:p w:rsidR="00C548B4" w:rsidRPr="001A209B" w:rsidRDefault="00C548B4" w:rsidP="00876F3E">
            <w:pPr>
              <w:jc w:val="right"/>
              <w:rPr>
                <w:rFonts w:cs="Arial"/>
                <w:sz w:val="18"/>
              </w:rPr>
            </w:pPr>
          </w:p>
        </w:tc>
      </w:tr>
      <w:tr w:rsidR="00C548B4" w:rsidRPr="001A209B" w:rsidTr="00876F3E">
        <w:trPr>
          <w:trHeight w:val="227"/>
        </w:trPr>
        <w:tc>
          <w:tcPr>
            <w:tcW w:w="3343" w:type="dxa"/>
            <w:tcBorders>
              <w:top w:val="nil"/>
              <w:bottom w:val="nil"/>
            </w:tcBorders>
            <w:vAlign w:val="center"/>
          </w:tcPr>
          <w:p w:rsidR="00C548B4" w:rsidRPr="001A209B" w:rsidRDefault="00C548B4" w:rsidP="00876F3E">
            <w:pPr>
              <w:spacing w:before="20" w:after="20"/>
              <w:rPr>
                <w:sz w:val="18"/>
                <w:szCs w:val="18"/>
              </w:rPr>
            </w:pPr>
            <w:r w:rsidRPr="001A209B">
              <w:rPr>
                <w:rFonts w:cs="Arial"/>
                <w:sz w:val="18"/>
                <w:szCs w:val="18"/>
              </w:rPr>
              <w:t>Net revenue per ‘000 SE (£)</w:t>
            </w:r>
          </w:p>
        </w:tc>
        <w:tc>
          <w:tcPr>
            <w:tcW w:w="1173" w:type="dxa"/>
            <w:tcBorders>
              <w:top w:val="nil"/>
              <w:bottom w:val="nil"/>
              <w:right w:val="nil"/>
            </w:tcBorders>
            <w:vAlign w:val="center"/>
          </w:tcPr>
          <w:p w:rsidR="00C548B4" w:rsidRPr="001A209B" w:rsidRDefault="00C548B4" w:rsidP="00876F3E">
            <w:pPr>
              <w:jc w:val="right"/>
              <w:rPr>
                <w:rFonts w:cs="Arial"/>
                <w:b/>
                <w:sz w:val="18"/>
              </w:rPr>
            </w:pPr>
            <w:r w:rsidRPr="001A209B">
              <w:rPr>
                <w:rFonts w:cs="Arial"/>
                <w:b/>
                <w:sz w:val="18"/>
              </w:rPr>
              <w:t>28.21</w:t>
            </w:r>
          </w:p>
        </w:tc>
        <w:tc>
          <w:tcPr>
            <w:tcW w:w="1173" w:type="dxa"/>
            <w:tcBorders>
              <w:top w:val="nil"/>
              <w:left w:val="nil"/>
              <w:bottom w:val="nil"/>
              <w:right w:val="nil"/>
            </w:tcBorders>
            <w:vAlign w:val="center"/>
          </w:tcPr>
          <w:p w:rsidR="00C548B4" w:rsidRPr="001A209B" w:rsidRDefault="00C548B4" w:rsidP="00876F3E">
            <w:pPr>
              <w:jc w:val="right"/>
              <w:rPr>
                <w:rFonts w:cs="Arial"/>
                <w:sz w:val="18"/>
              </w:rPr>
            </w:pPr>
            <w:r w:rsidRPr="001A209B">
              <w:rPr>
                <w:rFonts w:cs="Arial"/>
                <w:sz w:val="18"/>
              </w:rPr>
              <w:t>26.99</w:t>
            </w:r>
          </w:p>
        </w:tc>
        <w:tc>
          <w:tcPr>
            <w:tcW w:w="1175" w:type="dxa"/>
            <w:tcBorders>
              <w:top w:val="nil"/>
              <w:left w:val="nil"/>
              <w:bottom w:val="nil"/>
              <w:right w:val="nil"/>
            </w:tcBorders>
            <w:vAlign w:val="center"/>
          </w:tcPr>
          <w:p w:rsidR="00C548B4" w:rsidRPr="001A209B" w:rsidRDefault="00C548B4" w:rsidP="00876F3E">
            <w:pPr>
              <w:jc w:val="right"/>
              <w:rPr>
                <w:rFonts w:cs="Arial"/>
                <w:sz w:val="18"/>
              </w:rPr>
            </w:pPr>
            <w:r w:rsidRPr="001A209B">
              <w:rPr>
                <w:rFonts w:cs="Arial"/>
                <w:sz w:val="18"/>
              </w:rPr>
              <w:t>+5%</w:t>
            </w:r>
          </w:p>
        </w:tc>
        <w:tc>
          <w:tcPr>
            <w:tcW w:w="1177" w:type="dxa"/>
            <w:tcBorders>
              <w:top w:val="nil"/>
              <w:left w:val="nil"/>
              <w:bottom w:val="nil"/>
              <w:right w:val="nil"/>
            </w:tcBorders>
            <w:vAlign w:val="center"/>
          </w:tcPr>
          <w:p w:rsidR="00C548B4" w:rsidRPr="001A209B" w:rsidRDefault="00C548B4" w:rsidP="00876F3E">
            <w:pPr>
              <w:jc w:val="right"/>
              <w:rPr>
                <w:rFonts w:cs="Arial"/>
                <w:sz w:val="18"/>
              </w:rPr>
            </w:pPr>
            <w:r w:rsidRPr="001A209B">
              <w:rPr>
                <w:rFonts w:cs="Arial"/>
                <w:sz w:val="18"/>
              </w:rPr>
              <w:t>+7%</w:t>
            </w:r>
          </w:p>
        </w:tc>
        <w:tc>
          <w:tcPr>
            <w:tcW w:w="1179" w:type="dxa"/>
            <w:tcBorders>
              <w:top w:val="nil"/>
              <w:left w:val="nil"/>
              <w:bottom w:val="nil"/>
            </w:tcBorders>
            <w:vAlign w:val="center"/>
          </w:tcPr>
          <w:p w:rsidR="00C548B4" w:rsidRPr="001A209B" w:rsidRDefault="00C548B4" w:rsidP="00876F3E">
            <w:pPr>
              <w:jc w:val="right"/>
              <w:rPr>
                <w:rFonts w:cs="Arial"/>
                <w:sz w:val="18"/>
              </w:rPr>
            </w:pPr>
            <w:r w:rsidRPr="001A209B">
              <w:rPr>
                <w:rFonts w:cs="Arial"/>
                <w:sz w:val="18"/>
              </w:rPr>
              <w:t>+10%</w:t>
            </w:r>
          </w:p>
        </w:tc>
      </w:tr>
      <w:tr w:rsidR="00C548B4" w:rsidRPr="001A209B" w:rsidTr="00876F3E">
        <w:trPr>
          <w:trHeight w:val="227"/>
        </w:trPr>
        <w:tc>
          <w:tcPr>
            <w:tcW w:w="3343" w:type="dxa"/>
            <w:tcBorders>
              <w:top w:val="nil"/>
              <w:bottom w:val="nil"/>
            </w:tcBorders>
            <w:shd w:val="clear" w:color="auto" w:fill="F1E7E7"/>
            <w:vAlign w:val="center"/>
          </w:tcPr>
          <w:p w:rsidR="00C548B4" w:rsidRPr="001A209B" w:rsidRDefault="00C548B4" w:rsidP="00876F3E">
            <w:pPr>
              <w:spacing w:before="20" w:after="20"/>
              <w:rPr>
                <w:sz w:val="18"/>
                <w:szCs w:val="18"/>
              </w:rPr>
            </w:pPr>
            <w:r w:rsidRPr="001A209B">
              <w:rPr>
                <w:sz w:val="18"/>
                <w:szCs w:val="18"/>
              </w:rPr>
              <w:t>Adjusted operating profit (£m)</w:t>
            </w:r>
          </w:p>
        </w:tc>
        <w:tc>
          <w:tcPr>
            <w:tcW w:w="1173" w:type="dxa"/>
            <w:tcBorders>
              <w:top w:val="nil"/>
              <w:bottom w:val="nil"/>
              <w:right w:val="nil"/>
            </w:tcBorders>
            <w:shd w:val="clear" w:color="auto" w:fill="F1E7E7"/>
            <w:vAlign w:val="center"/>
          </w:tcPr>
          <w:p w:rsidR="00C548B4" w:rsidRPr="001A209B" w:rsidRDefault="00C548B4" w:rsidP="00876F3E">
            <w:pPr>
              <w:jc w:val="right"/>
              <w:rPr>
                <w:rFonts w:cs="Arial"/>
                <w:b/>
                <w:sz w:val="18"/>
              </w:rPr>
            </w:pPr>
            <w:r w:rsidRPr="001A209B">
              <w:rPr>
                <w:rFonts w:cs="Arial"/>
                <w:b/>
                <w:sz w:val="18"/>
              </w:rPr>
              <w:t>728</w:t>
            </w:r>
          </w:p>
        </w:tc>
        <w:tc>
          <w:tcPr>
            <w:tcW w:w="1173" w:type="dxa"/>
            <w:tcBorders>
              <w:top w:val="nil"/>
              <w:left w:val="nil"/>
              <w:bottom w:val="nil"/>
              <w:right w:val="nil"/>
            </w:tcBorders>
            <w:shd w:val="clear" w:color="auto" w:fill="F1E7E7"/>
            <w:vAlign w:val="center"/>
          </w:tcPr>
          <w:p w:rsidR="00C548B4" w:rsidRPr="001A209B" w:rsidRDefault="00C548B4" w:rsidP="00876F3E">
            <w:pPr>
              <w:jc w:val="right"/>
              <w:rPr>
                <w:rFonts w:cs="Arial"/>
                <w:sz w:val="18"/>
              </w:rPr>
            </w:pPr>
            <w:r w:rsidRPr="001A209B">
              <w:rPr>
                <w:rFonts w:cs="Arial"/>
                <w:sz w:val="18"/>
              </w:rPr>
              <w:t>731</w:t>
            </w:r>
          </w:p>
        </w:tc>
        <w:tc>
          <w:tcPr>
            <w:tcW w:w="1175" w:type="dxa"/>
            <w:tcBorders>
              <w:top w:val="nil"/>
              <w:left w:val="nil"/>
              <w:bottom w:val="nil"/>
              <w:right w:val="nil"/>
            </w:tcBorders>
            <w:shd w:val="clear" w:color="auto" w:fill="F1E7E7"/>
            <w:vAlign w:val="center"/>
          </w:tcPr>
          <w:p w:rsidR="00C548B4" w:rsidRPr="001A209B" w:rsidRDefault="00C548B4" w:rsidP="00876F3E">
            <w:pPr>
              <w:jc w:val="right"/>
              <w:rPr>
                <w:rFonts w:cs="Arial"/>
                <w:sz w:val="18"/>
              </w:rPr>
            </w:pPr>
            <w:r w:rsidRPr="001A209B">
              <w:rPr>
                <w:rFonts w:cs="Arial"/>
                <w:sz w:val="18"/>
              </w:rPr>
              <w:t>-0%</w:t>
            </w:r>
          </w:p>
        </w:tc>
        <w:tc>
          <w:tcPr>
            <w:tcW w:w="1177" w:type="dxa"/>
            <w:tcBorders>
              <w:top w:val="nil"/>
              <w:left w:val="nil"/>
              <w:bottom w:val="nil"/>
              <w:right w:val="nil"/>
            </w:tcBorders>
            <w:shd w:val="clear" w:color="auto" w:fill="F1E7E7"/>
            <w:vAlign w:val="center"/>
          </w:tcPr>
          <w:p w:rsidR="00C548B4" w:rsidRPr="001A209B" w:rsidRDefault="00C548B4" w:rsidP="00876F3E">
            <w:pPr>
              <w:jc w:val="right"/>
              <w:rPr>
                <w:rFonts w:cs="Arial"/>
                <w:sz w:val="18"/>
              </w:rPr>
            </w:pPr>
            <w:r w:rsidRPr="001A209B">
              <w:rPr>
                <w:rFonts w:cs="Arial"/>
                <w:sz w:val="18"/>
              </w:rPr>
              <w:t>+3%</w:t>
            </w:r>
          </w:p>
        </w:tc>
        <w:tc>
          <w:tcPr>
            <w:tcW w:w="1179" w:type="dxa"/>
            <w:tcBorders>
              <w:top w:val="nil"/>
              <w:left w:val="nil"/>
              <w:bottom w:val="nil"/>
            </w:tcBorders>
            <w:shd w:val="clear" w:color="auto" w:fill="F1E7E7"/>
            <w:vAlign w:val="center"/>
          </w:tcPr>
          <w:p w:rsidR="00C548B4" w:rsidRPr="001A209B" w:rsidRDefault="00C548B4" w:rsidP="00876F3E">
            <w:pPr>
              <w:jc w:val="right"/>
              <w:rPr>
                <w:rFonts w:cs="Arial"/>
                <w:sz w:val="18"/>
              </w:rPr>
            </w:pPr>
          </w:p>
        </w:tc>
      </w:tr>
      <w:tr w:rsidR="00C548B4" w:rsidRPr="001A209B" w:rsidTr="00876F3E">
        <w:trPr>
          <w:trHeight w:val="227"/>
        </w:trPr>
        <w:tc>
          <w:tcPr>
            <w:tcW w:w="3343" w:type="dxa"/>
            <w:tcBorders>
              <w:top w:val="nil"/>
              <w:bottom w:val="single" w:sz="4" w:space="0" w:color="auto"/>
            </w:tcBorders>
            <w:vAlign w:val="center"/>
          </w:tcPr>
          <w:p w:rsidR="00C548B4" w:rsidRPr="001A209B" w:rsidRDefault="00C548B4" w:rsidP="00876F3E">
            <w:pPr>
              <w:spacing w:before="20" w:after="20"/>
              <w:rPr>
                <w:sz w:val="18"/>
                <w:szCs w:val="18"/>
              </w:rPr>
            </w:pPr>
            <w:r w:rsidRPr="001A209B">
              <w:rPr>
                <w:sz w:val="18"/>
                <w:szCs w:val="18"/>
              </w:rPr>
              <w:t xml:space="preserve">Growth Brands % tobacco net revenue </w:t>
            </w:r>
          </w:p>
        </w:tc>
        <w:tc>
          <w:tcPr>
            <w:tcW w:w="1173" w:type="dxa"/>
            <w:tcBorders>
              <w:top w:val="nil"/>
              <w:bottom w:val="single" w:sz="4" w:space="0" w:color="auto"/>
              <w:right w:val="nil"/>
            </w:tcBorders>
            <w:vAlign w:val="center"/>
          </w:tcPr>
          <w:p w:rsidR="00C548B4" w:rsidRPr="001A209B" w:rsidRDefault="00C548B4" w:rsidP="00876F3E">
            <w:pPr>
              <w:jc w:val="right"/>
              <w:rPr>
                <w:rFonts w:cs="Arial"/>
                <w:b/>
                <w:sz w:val="18"/>
              </w:rPr>
            </w:pPr>
            <w:r w:rsidRPr="001A209B">
              <w:rPr>
                <w:rFonts w:cs="Arial"/>
                <w:b/>
                <w:sz w:val="18"/>
              </w:rPr>
              <w:t>45</w:t>
            </w:r>
          </w:p>
        </w:tc>
        <w:tc>
          <w:tcPr>
            <w:tcW w:w="1173" w:type="dxa"/>
            <w:tcBorders>
              <w:top w:val="nil"/>
              <w:left w:val="nil"/>
              <w:bottom w:val="single" w:sz="4" w:space="0" w:color="auto"/>
              <w:right w:val="nil"/>
            </w:tcBorders>
            <w:vAlign w:val="center"/>
          </w:tcPr>
          <w:p w:rsidR="00C548B4" w:rsidRPr="001A209B" w:rsidRDefault="00C548B4" w:rsidP="00876F3E">
            <w:pPr>
              <w:jc w:val="right"/>
              <w:rPr>
                <w:rFonts w:cs="Arial"/>
                <w:sz w:val="18"/>
              </w:rPr>
            </w:pPr>
            <w:r w:rsidRPr="001A209B">
              <w:rPr>
                <w:rFonts w:cs="Arial"/>
                <w:sz w:val="18"/>
              </w:rPr>
              <w:t>43</w:t>
            </w:r>
          </w:p>
        </w:tc>
        <w:tc>
          <w:tcPr>
            <w:tcW w:w="1175" w:type="dxa"/>
            <w:tcBorders>
              <w:top w:val="nil"/>
              <w:left w:val="nil"/>
              <w:bottom w:val="single" w:sz="4" w:space="0" w:color="auto"/>
              <w:right w:val="nil"/>
            </w:tcBorders>
            <w:vAlign w:val="center"/>
          </w:tcPr>
          <w:p w:rsidR="00C548B4" w:rsidRPr="001A209B" w:rsidRDefault="00C548B4" w:rsidP="00876F3E">
            <w:pPr>
              <w:jc w:val="right"/>
              <w:rPr>
                <w:rFonts w:cs="Arial"/>
                <w:sz w:val="18"/>
              </w:rPr>
            </w:pPr>
            <w:r w:rsidRPr="001A209B">
              <w:rPr>
                <w:rFonts w:cs="Arial"/>
                <w:sz w:val="18"/>
              </w:rPr>
              <w:t>+190 bps</w:t>
            </w:r>
          </w:p>
        </w:tc>
        <w:tc>
          <w:tcPr>
            <w:tcW w:w="1177" w:type="dxa"/>
            <w:tcBorders>
              <w:top w:val="nil"/>
              <w:left w:val="nil"/>
              <w:bottom w:val="single" w:sz="4" w:space="0" w:color="auto"/>
              <w:right w:val="nil"/>
            </w:tcBorders>
            <w:vAlign w:val="center"/>
          </w:tcPr>
          <w:p w:rsidR="00C548B4" w:rsidRPr="001A209B" w:rsidRDefault="00C548B4" w:rsidP="00876F3E">
            <w:pPr>
              <w:jc w:val="right"/>
              <w:rPr>
                <w:rFonts w:cs="Arial"/>
                <w:sz w:val="18"/>
              </w:rPr>
            </w:pPr>
            <w:r w:rsidRPr="001A209B">
              <w:rPr>
                <w:rFonts w:cs="Arial"/>
                <w:sz w:val="18"/>
              </w:rPr>
              <w:t>+130 bps</w:t>
            </w:r>
          </w:p>
        </w:tc>
        <w:tc>
          <w:tcPr>
            <w:tcW w:w="1179" w:type="dxa"/>
            <w:tcBorders>
              <w:top w:val="nil"/>
              <w:left w:val="nil"/>
              <w:bottom w:val="single" w:sz="4" w:space="0" w:color="auto"/>
            </w:tcBorders>
            <w:vAlign w:val="center"/>
          </w:tcPr>
          <w:p w:rsidR="00C548B4" w:rsidRPr="001A209B" w:rsidRDefault="00C548B4" w:rsidP="00876F3E">
            <w:pPr>
              <w:jc w:val="right"/>
              <w:rPr>
                <w:rFonts w:cs="Arial"/>
                <w:sz w:val="18"/>
              </w:rPr>
            </w:pPr>
            <w:r w:rsidRPr="001A209B">
              <w:rPr>
                <w:rFonts w:cs="Arial"/>
                <w:sz w:val="18"/>
              </w:rPr>
              <w:t>+170 bps</w:t>
            </w:r>
          </w:p>
        </w:tc>
      </w:tr>
    </w:tbl>
    <w:p w:rsidR="00C548B4" w:rsidRPr="001A209B" w:rsidRDefault="00C548B4" w:rsidP="00C548B4">
      <w:pPr>
        <w:spacing w:before="20" w:after="20"/>
        <w:jc w:val="both"/>
        <w:rPr>
          <w:rFonts w:cs="Arial"/>
          <w:bCs/>
          <w:i/>
          <w:sz w:val="16"/>
          <w:szCs w:val="16"/>
        </w:rPr>
      </w:pPr>
      <w:r w:rsidRPr="001A209B">
        <w:rPr>
          <w:rFonts w:cs="Arial"/>
          <w:i/>
          <w:sz w:val="18"/>
          <w:szCs w:val="18"/>
          <w:vertAlign w:val="superscript"/>
        </w:rPr>
        <w:t xml:space="preserve">1 </w:t>
      </w:r>
      <w:r w:rsidRPr="001A209B">
        <w:rPr>
          <w:rFonts w:cs="Arial"/>
          <w:bCs/>
          <w:i/>
          <w:sz w:val="16"/>
          <w:szCs w:val="16"/>
        </w:rPr>
        <w:t>See page 11 for basis of presentation.</w:t>
      </w:r>
    </w:p>
    <w:p w:rsidR="00C548B4" w:rsidRPr="001A209B" w:rsidRDefault="00C548B4" w:rsidP="00853E15">
      <w:pPr>
        <w:spacing w:before="20" w:after="20"/>
        <w:jc w:val="both"/>
        <w:rPr>
          <w:rFonts w:cs="Arial"/>
          <w:bCs/>
          <w:sz w:val="18"/>
          <w:szCs w:val="18"/>
        </w:rPr>
      </w:pPr>
    </w:p>
    <w:p w:rsidR="005D5FC1" w:rsidRPr="001A209B" w:rsidRDefault="005D5FC1" w:rsidP="00853E15">
      <w:pPr>
        <w:spacing w:before="20" w:after="20"/>
        <w:jc w:val="both"/>
        <w:rPr>
          <w:rFonts w:cs="Arial"/>
          <w:bCs/>
          <w:sz w:val="18"/>
          <w:szCs w:val="18"/>
        </w:rPr>
      </w:pPr>
      <w:r w:rsidRPr="001A209B">
        <w:rPr>
          <w:rFonts w:cs="Arial"/>
          <w:bCs/>
          <w:sz w:val="18"/>
          <w:szCs w:val="18"/>
        </w:rPr>
        <w:t>We achieved robust results in Returns Markets North, w</w:t>
      </w:r>
      <w:r w:rsidR="00A00AA7" w:rsidRPr="001A209B">
        <w:rPr>
          <w:rFonts w:cs="Arial"/>
          <w:bCs/>
          <w:sz w:val="18"/>
          <w:szCs w:val="18"/>
        </w:rPr>
        <w:t xml:space="preserve">ith net revenue </w:t>
      </w:r>
      <w:r w:rsidR="00176FA9" w:rsidRPr="001A209B">
        <w:rPr>
          <w:rFonts w:cs="Arial"/>
          <w:bCs/>
          <w:sz w:val="18"/>
          <w:szCs w:val="18"/>
        </w:rPr>
        <w:t xml:space="preserve">per thousand stick equivalents increasing by </w:t>
      </w:r>
      <w:r w:rsidR="00201CD0" w:rsidRPr="001A209B">
        <w:rPr>
          <w:rFonts w:cs="Arial"/>
          <w:bCs/>
          <w:sz w:val="18"/>
          <w:szCs w:val="18"/>
        </w:rPr>
        <w:t>7</w:t>
      </w:r>
      <w:r w:rsidR="00C75AD5" w:rsidRPr="001A209B">
        <w:rPr>
          <w:rFonts w:cs="Arial"/>
          <w:bCs/>
          <w:sz w:val="18"/>
          <w:szCs w:val="18"/>
        </w:rPr>
        <w:t xml:space="preserve"> </w:t>
      </w:r>
      <w:r w:rsidR="00176FA9" w:rsidRPr="001A209B">
        <w:rPr>
          <w:rFonts w:cs="Arial"/>
          <w:bCs/>
          <w:sz w:val="18"/>
          <w:szCs w:val="18"/>
        </w:rPr>
        <w:t>per cent</w:t>
      </w:r>
      <w:r w:rsidRPr="001A209B">
        <w:rPr>
          <w:rFonts w:cs="Arial"/>
          <w:bCs/>
          <w:sz w:val="18"/>
          <w:szCs w:val="18"/>
        </w:rPr>
        <w:t xml:space="preserve"> and adjusted </w:t>
      </w:r>
      <w:r w:rsidR="00A00AA7" w:rsidRPr="001A209B">
        <w:rPr>
          <w:rFonts w:cs="Arial"/>
          <w:bCs/>
          <w:sz w:val="18"/>
          <w:szCs w:val="18"/>
        </w:rPr>
        <w:t xml:space="preserve">operating profit increasing by </w:t>
      </w:r>
      <w:r w:rsidR="006B4AD7" w:rsidRPr="001A209B">
        <w:rPr>
          <w:rFonts w:cs="Arial"/>
          <w:bCs/>
          <w:sz w:val="18"/>
          <w:szCs w:val="18"/>
        </w:rPr>
        <w:t>3</w:t>
      </w:r>
      <w:r w:rsidRPr="001A209B">
        <w:rPr>
          <w:rFonts w:cs="Arial"/>
          <w:b/>
          <w:bCs/>
          <w:sz w:val="18"/>
          <w:szCs w:val="18"/>
        </w:rPr>
        <w:t xml:space="preserve"> </w:t>
      </w:r>
      <w:r w:rsidRPr="001A209B">
        <w:rPr>
          <w:rFonts w:cs="Arial"/>
          <w:bCs/>
          <w:sz w:val="18"/>
          <w:szCs w:val="18"/>
        </w:rPr>
        <w:t>per cent.</w:t>
      </w:r>
      <w:r w:rsidR="00360440" w:rsidRPr="001A209B">
        <w:rPr>
          <w:rFonts w:cs="Arial"/>
          <w:bCs/>
          <w:sz w:val="18"/>
          <w:szCs w:val="18"/>
        </w:rPr>
        <w:t xml:space="preserve"> </w:t>
      </w:r>
      <w:r w:rsidRPr="001A209B">
        <w:rPr>
          <w:rFonts w:cs="Arial"/>
          <w:bCs/>
          <w:sz w:val="18"/>
          <w:szCs w:val="18"/>
        </w:rPr>
        <w:t xml:space="preserve">Our Growth Brands delivered </w:t>
      </w:r>
      <w:r w:rsidR="00E31FD1" w:rsidRPr="001A209B">
        <w:rPr>
          <w:rFonts w:cs="Arial"/>
          <w:bCs/>
          <w:sz w:val="18"/>
          <w:szCs w:val="18"/>
        </w:rPr>
        <w:t>45</w:t>
      </w:r>
      <w:r w:rsidRPr="001A209B">
        <w:rPr>
          <w:rFonts w:cs="Arial"/>
          <w:bCs/>
          <w:sz w:val="18"/>
          <w:szCs w:val="18"/>
        </w:rPr>
        <w:t xml:space="preserve"> per cent of tobacco net revenue, up from </w:t>
      </w:r>
      <w:r w:rsidR="00E31FD1" w:rsidRPr="001A209B">
        <w:rPr>
          <w:rFonts w:cs="Arial"/>
          <w:bCs/>
          <w:sz w:val="18"/>
          <w:szCs w:val="18"/>
        </w:rPr>
        <w:t>43</w:t>
      </w:r>
      <w:r w:rsidRPr="001A209B">
        <w:rPr>
          <w:rFonts w:cs="Arial"/>
          <w:bCs/>
          <w:sz w:val="18"/>
          <w:szCs w:val="18"/>
        </w:rPr>
        <w:t xml:space="preserve"> per cent, and our market share was </w:t>
      </w:r>
      <w:r w:rsidR="006B4AD7" w:rsidRPr="001A209B">
        <w:rPr>
          <w:rFonts w:cs="Arial"/>
          <w:bCs/>
          <w:sz w:val="18"/>
          <w:szCs w:val="18"/>
        </w:rPr>
        <w:t>25.0</w:t>
      </w:r>
      <w:r w:rsidR="00D37F13" w:rsidRPr="001A209B">
        <w:rPr>
          <w:rFonts w:cs="Arial"/>
          <w:bCs/>
          <w:sz w:val="18"/>
          <w:szCs w:val="18"/>
        </w:rPr>
        <w:t xml:space="preserve"> per cent, </w:t>
      </w:r>
      <w:r w:rsidR="002211AB" w:rsidRPr="001A209B">
        <w:rPr>
          <w:rFonts w:cs="Arial"/>
          <w:bCs/>
          <w:sz w:val="18"/>
          <w:szCs w:val="18"/>
        </w:rPr>
        <w:t>impacted by</w:t>
      </w:r>
      <w:r w:rsidR="00D37F13" w:rsidRPr="001A209B">
        <w:rPr>
          <w:rFonts w:cs="Arial"/>
          <w:bCs/>
          <w:sz w:val="18"/>
          <w:szCs w:val="18"/>
        </w:rPr>
        <w:t xml:space="preserve"> industry volume declines in the UK.</w:t>
      </w:r>
    </w:p>
    <w:p w:rsidR="004F6F4C" w:rsidRPr="001A209B" w:rsidRDefault="004F6F4C" w:rsidP="00853E15">
      <w:pPr>
        <w:spacing w:before="20" w:after="20"/>
        <w:jc w:val="both"/>
        <w:rPr>
          <w:rFonts w:cs="Arial"/>
          <w:bCs/>
          <w:sz w:val="18"/>
          <w:szCs w:val="18"/>
        </w:rPr>
      </w:pPr>
    </w:p>
    <w:tbl>
      <w:tblPr>
        <w:tblW w:w="5000" w:type="pct"/>
        <w:jc w:val="center"/>
        <w:tblLook w:val="01E0" w:firstRow="1" w:lastRow="1" w:firstColumn="1" w:lastColumn="1" w:noHBand="0" w:noVBand="0"/>
      </w:tblPr>
      <w:tblGrid>
        <w:gridCol w:w="1494"/>
        <w:gridCol w:w="7772"/>
      </w:tblGrid>
      <w:tr w:rsidR="00BF0866" w:rsidRPr="001A209B" w:rsidTr="004D5B7B">
        <w:trPr>
          <w:cantSplit/>
          <w:jc w:val="center"/>
        </w:trPr>
        <w:tc>
          <w:tcPr>
            <w:tcW w:w="806" w:type="pct"/>
            <w:tcBorders>
              <w:bottom w:val="single" w:sz="4" w:space="0" w:color="auto"/>
            </w:tcBorders>
          </w:tcPr>
          <w:p w:rsidR="00BF0866" w:rsidRPr="001A209B" w:rsidRDefault="00BF0866" w:rsidP="00041ADA">
            <w:pPr>
              <w:spacing w:before="20" w:after="20"/>
              <w:rPr>
                <w:rFonts w:cs="Arial"/>
                <w:b/>
                <w:color w:val="A60D1F"/>
                <w:sz w:val="18"/>
                <w:szCs w:val="18"/>
              </w:rPr>
            </w:pPr>
            <w:r w:rsidRPr="001A209B">
              <w:rPr>
                <w:rFonts w:cs="Arial"/>
                <w:b/>
                <w:color w:val="A60D1F"/>
                <w:sz w:val="18"/>
                <w:szCs w:val="18"/>
              </w:rPr>
              <w:t>Country</w:t>
            </w:r>
          </w:p>
        </w:tc>
        <w:tc>
          <w:tcPr>
            <w:tcW w:w="4194" w:type="pct"/>
            <w:tcBorders>
              <w:bottom w:val="single" w:sz="4" w:space="0" w:color="auto"/>
            </w:tcBorders>
          </w:tcPr>
          <w:p w:rsidR="00BF0866" w:rsidRPr="001A209B" w:rsidRDefault="00BF0866" w:rsidP="009536D1">
            <w:pPr>
              <w:spacing w:before="20" w:after="20"/>
              <w:jc w:val="both"/>
              <w:rPr>
                <w:rFonts w:cs="Arial"/>
                <w:b/>
                <w:color w:val="A60D1F"/>
                <w:sz w:val="18"/>
                <w:szCs w:val="18"/>
              </w:rPr>
            </w:pPr>
            <w:r w:rsidRPr="001A209B">
              <w:rPr>
                <w:rFonts w:cs="Arial"/>
                <w:b/>
                <w:color w:val="A60D1F"/>
                <w:sz w:val="18"/>
                <w:szCs w:val="18"/>
              </w:rPr>
              <w:t>Performance</w:t>
            </w:r>
          </w:p>
        </w:tc>
      </w:tr>
      <w:tr w:rsidR="00BF0866" w:rsidRPr="001A209B" w:rsidTr="004D5B7B">
        <w:trPr>
          <w:cantSplit/>
          <w:jc w:val="center"/>
        </w:trPr>
        <w:tc>
          <w:tcPr>
            <w:tcW w:w="806" w:type="pct"/>
            <w:tcBorders>
              <w:top w:val="single" w:sz="4" w:space="0" w:color="auto"/>
            </w:tcBorders>
            <w:shd w:val="clear" w:color="auto" w:fill="auto"/>
          </w:tcPr>
          <w:p w:rsidR="00BF0866" w:rsidRPr="001A209B" w:rsidRDefault="00BF0866" w:rsidP="00041ADA">
            <w:pPr>
              <w:spacing w:before="20" w:after="20"/>
              <w:rPr>
                <w:rFonts w:cs="Arial"/>
                <w:sz w:val="18"/>
                <w:szCs w:val="18"/>
              </w:rPr>
            </w:pPr>
            <w:r w:rsidRPr="001A209B">
              <w:rPr>
                <w:rFonts w:cs="Arial"/>
                <w:sz w:val="18"/>
                <w:szCs w:val="18"/>
              </w:rPr>
              <w:t>Australia</w:t>
            </w:r>
          </w:p>
        </w:tc>
        <w:tc>
          <w:tcPr>
            <w:tcW w:w="4194" w:type="pct"/>
            <w:tcBorders>
              <w:top w:val="single" w:sz="4" w:space="0" w:color="auto"/>
            </w:tcBorders>
            <w:shd w:val="clear" w:color="auto" w:fill="auto"/>
          </w:tcPr>
          <w:p w:rsidR="00BF0866" w:rsidRPr="001A209B" w:rsidRDefault="004E4E82" w:rsidP="009536D1">
            <w:pPr>
              <w:spacing w:before="20" w:after="20"/>
              <w:jc w:val="both"/>
              <w:rPr>
                <w:rFonts w:cs="Arial"/>
                <w:bCs/>
                <w:sz w:val="18"/>
                <w:szCs w:val="18"/>
              </w:rPr>
            </w:pPr>
            <w:r w:rsidRPr="001A209B">
              <w:rPr>
                <w:rFonts w:cs="Arial"/>
                <w:bCs/>
                <w:sz w:val="18"/>
                <w:szCs w:val="18"/>
              </w:rPr>
              <w:t xml:space="preserve">Revenue and </w:t>
            </w:r>
            <w:r w:rsidR="00BF0866" w:rsidRPr="001A209B">
              <w:rPr>
                <w:rFonts w:cs="Arial"/>
                <w:bCs/>
                <w:sz w:val="18"/>
                <w:szCs w:val="18"/>
              </w:rPr>
              <w:t xml:space="preserve">profit </w:t>
            </w:r>
            <w:r w:rsidRPr="001A209B">
              <w:rPr>
                <w:rFonts w:cs="Arial"/>
                <w:bCs/>
                <w:sz w:val="18"/>
                <w:szCs w:val="18"/>
              </w:rPr>
              <w:t xml:space="preserve">were up and our </w:t>
            </w:r>
            <w:r w:rsidR="00BF0866" w:rsidRPr="001A209B">
              <w:rPr>
                <w:rFonts w:cs="Arial"/>
                <w:bCs/>
                <w:sz w:val="18"/>
                <w:szCs w:val="18"/>
              </w:rPr>
              <w:t>cigarette and fine cut tobacco shares</w:t>
            </w:r>
            <w:r w:rsidRPr="001A209B">
              <w:rPr>
                <w:rFonts w:cs="Arial"/>
                <w:bCs/>
                <w:sz w:val="18"/>
                <w:szCs w:val="18"/>
              </w:rPr>
              <w:t xml:space="preserve"> increased, driven by another strong performance from JPS. </w:t>
            </w:r>
          </w:p>
        </w:tc>
      </w:tr>
      <w:tr w:rsidR="00BA1D01" w:rsidRPr="001A209B" w:rsidTr="004D5B7B">
        <w:trPr>
          <w:cantSplit/>
          <w:jc w:val="center"/>
        </w:trPr>
        <w:tc>
          <w:tcPr>
            <w:tcW w:w="806" w:type="pct"/>
            <w:shd w:val="clear" w:color="auto" w:fill="auto"/>
          </w:tcPr>
          <w:p w:rsidR="00BA1D01" w:rsidRPr="001A209B" w:rsidRDefault="00BA1D01" w:rsidP="00041ADA">
            <w:pPr>
              <w:spacing w:before="20" w:after="20"/>
              <w:rPr>
                <w:rFonts w:cs="Arial"/>
                <w:sz w:val="18"/>
                <w:szCs w:val="18"/>
              </w:rPr>
            </w:pPr>
            <w:r w:rsidRPr="001A209B">
              <w:rPr>
                <w:rFonts w:cs="Arial"/>
                <w:sz w:val="18"/>
                <w:szCs w:val="18"/>
              </w:rPr>
              <w:t>New Zealand</w:t>
            </w:r>
          </w:p>
        </w:tc>
        <w:tc>
          <w:tcPr>
            <w:tcW w:w="4194" w:type="pct"/>
            <w:shd w:val="clear" w:color="auto" w:fill="auto"/>
          </w:tcPr>
          <w:p w:rsidR="00BA1D01" w:rsidRPr="001A209B" w:rsidRDefault="00BA1D01" w:rsidP="009536D1">
            <w:pPr>
              <w:spacing w:before="20" w:after="20"/>
              <w:jc w:val="both"/>
              <w:rPr>
                <w:rFonts w:cs="Arial"/>
                <w:bCs/>
                <w:i/>
                <w:sz w:val="18"/>
                <w:szCs w:val="18"/>
              </w:rPr>
            </w:pPr>
            <w:r w:rsidRPr="001A209B">
              <w:rPr>
                <w:rFonts w:cs="Arial"/>
                <w:bCs/>
                <w:sz w:val="18"/>
                <w:szCs w:val="18"/>
              </w:rPr>
              <w:t xml:space="preserve">We </w:t>
            </w:r>
            <w:r w:rsidR="000004CE" w:rsidRPr="001A209B">
              <w:rPr>
                <w:rFonts w:cs="Arial"/>
                <w:bCs/>
                <w:sz w:val="18"/>
                <w:szCs w:val="18"/>
              </w:rPr>
              <w:t>improved</w:t>
            </w:r>
            <w:r w:rsidRPr="001A209B">
              <w:rPr>
                <w:rFonts w:cs="Arial"/>
                <w:bCs/>
                <w:sz w:val="18"/>
                <w:szCs w:val="18"/>
              </w:rPr>
              <w:t xml:space="preserve"> our cigarette and fine cut tobacco shares with growth from</w:t>
            </w:r>
            <w:r w:rsidR="00831D76" w:rsidRPr="001A209B">
              <w:rPr>
                <w:rFonts w:cs="Arial"/>
                <w:bCs/>
                <w:sz w:val="18"/>
                <w:szCs w:val="18"/>
              </w:rPr>
              <w:t xml:space="preserve"> JPS.</w:t>
            </w:r>
          </w:p>
        </w:tc>
      </w:tr>
      <w:tr w:rsidR="00BA1D01" w:rsidRPr="001A209B" w:rsidTr="004D5B7B">
        <w:trPr>
          <w:cantSplit/>
          <w:jc w:val="center"/>
        </w:trPr>
        <w:tc>
          <w:tcPr>
            <w:tcW w:w="806" w:type="pct"/>
            <w:shd w:val="clear" w:color="auto" w:fill="auto"/>
          </w:tcPr>
          <w:p w:rsidR="00BA1D01" w:rsidRPr="001A209B" w:rsidRDefault="00BA1D01" w:rsidP="00041ADA">
            <w:pPr>
              <w:spacing w:before="20" w:after="20"/>
              <w:rPr>
                <w:rFonts w:cs="Arial"/>
                <w:sz w:val="18"/>
                <w:szCs w:val="18"/>
              </w:rPr>
            </w:pPr>
            <w:r w:rsidRPr="001A209B">
              <w:rPr>
                <w:rFonts w:cs="Arial"/>
                <w:sz w:val="18"/>
                <w:szCs w:val="18"/>
              </w:rPr>
              <w:t>Benelux</w:t>
            </w:r>
          </w:p>
        </w:tc>
        <w:tc>
          <w:tcPr>
            <w:tcW w:w="4194" w:type="pct"/>
            <w:shd w:val="clear" w:color="auto" w:fill="auto"/>
          </w:tcPr>
          <w:p w:rsidR="00BA1D01" w:rsidRPr="001A209B" w:rsidRDefault="00BA1D01" w:rsidP="001C1924">
            <w:pPr>
              <w:spacing w:before="20" w:after="20"/>
              <w:jc w:val="both"/>
              <w:rPr>
                <w:rFonts w:cs="Arial"/>
                <w:bCs/>
                <w:i/>
                <w:sz w:val="18"/>
                <w:szCs w:val="18"/>
              </w:rPr>
            </w:pPr>
            <w:r w:rsidRPr="001A209B">
              <w:rPr>
                <w:rFonts w:cs="Arial"/>
                <w:bCs/>
                <w:sz w:val="18"/>
                <w:szCs w:val="18"/>
              </w:rPr>
              <w:t xml:space="preserve">We </w:t>
            </w:r>
            <w:r w:rsidR="000004CE" w:rsidRPr="001A209B">
              <w:rPr>
                <w:rFonts w:cs="Arial"/>
                <w:bCs/>
                <w:sz w:val="18"/>
                <w:szCs w:val="18"/>
              </w:rPr>
              <w:t xml:space="preserve">grew revenue and profit and </w:t>
            </w:r>
            <w:r w:rsidRPr="001A209B">
              <w:rPr>
                <w:rFonts w:cs="Arial"/>
                <w:bCs/>
                <w:sz w:val="18"/>
                <w:szCs w:val="18"/>
              </w:rPr>
              <w:t xml:space="preserve">made further </w:t>
            </w:r>
            <w:r w:rsidR="00343A0F" w:rsidRPr="001A209B">
              <w:rPr>
                <w:rFonts w:cs="Arial"/>
                <w:bCs/>
                <w:sz w:val="18"/>
                <w:szCs w:val="18"/>
              </w:rPr>
              <w:t xml:space="preserve">fine cut tobacco </w:t>
            </w:r>
            <w:r w:rsidR="00831D76" w:rsidRPr="001A209B">
              <w:rPr>
                <w:rFonts w:cs="Arial"/>
                <w:bCs/>
                <w:sz w:val="18"/>
                <w:szCs w:val="18"/>
              </w:rPr>
              <w:t>volume</w:t>
            </w:r>
            <w:r w:rsidRPr="001A209B">
              <w:rPr>
                <w:rFonts w:cs="Arial"/>
                <w:bCs/>
                <w:sz w:val="18"/>
                <w:szCs w:val="18"/>
              </w:rPr>
              <w:t xml:space="preserve"> gains in Belgium wit</w:t>
            </w:r>
            <w:r w:rsidR="00831D76" w:rsidRPr="001A209B">
              <w:rPr>
                <w:rFonts w:cs="Arial"/>
                <w:bCs/>
                <w:sz w:val="18"/>
                <w:szCs w:val="18"/>
              </w:rPr>
              <w:t>h JPS, West, Golden Virginia and News.</w:t>
            </w:r>
          </w:p>
        </w:tc>
      </w:tr>
      <w:tr w:rsidR="00BF0866" w:rsidRPr="001A209B" w:rsidTr="004D5B7B">
        <w:trPr>
          <w:cantSplit/>
          <w:jc w:val="center"/>
        </w:trPr>
        <w:tc>
          <w:tcPr>
            <w:tcW w:w="806" w:type="pct"/>
            <w:shd w:val="clear" w:color="auto" w:fill="auto"/>
          </w:tcPr>
          <w:p w:rsidR="00BF0866" w:rsidRPr="001A209B" w:rsidRDefault="00F24C8C" w:rsidP="00041ADA">
            <w:pPr>
              <w:spacing w:before="20" w:after="20"/>
              <w:rPr>
                <w:rFonts w:cs="Arial"/>
                <w:sz w:val="18"/>
                <w:szCs w:val="18"/>
              </w:rPr>
            </w:pPr>
            <w:r w:rsidRPr="001A209B">
              <w:rPr>
                <w:rFonts w:cs="Arial"/>
                <w:sz w:val="18"/>
                <w:szCs w:val="18"/>
              </w:rPr>
              <w:t>Germany</w:t>
            </w:r>
          </w:p>
        </w:tc>
        <w:tc>
          <w:tcPr>
            <w:tcW w:w="4194" w:type="pct"/>
            <w:shd w:val="clear" w:color="auto" w:fill="auto"/>
          </w:tcPr>
          <w:p w:rsidR="00F24C8C" w:rsidRPr="001A209B" w:rsidRDefault="00F27763" w:rsidP="009536D1">
            <w:pPr>
              <w:spacing w:before="20" w:after="20"/>
              <w:jc w:val="both"/>
              <w:rPr>
                <w:rFonts w:cs="Arial"/>
                <w:sz w:val="18"/>
                <w:szCs w:val="18"/>
              </w:rPr>
            </w:pPr>
            <w:r w:rsidRPr="001A209B">
              <w:rPr>
                <w:rFonts w:cs="Arial"/>
                <w:sz w:val="18"/>
                <w:szCs w:val="18"/>
              </w:rPr>
              <w:t xml:space="preserve">We increased our cigarette </w:t>
            </w:r>
            <w:r w:rsidR="00C33815" w:rsidRPr="001A209B">
              <w:rPr>
                <w:rFonts w:cs="Arial"/>
                <w:sz w:val="18"/>
                <w:szCs w:val="18"/>
              </w:rPr>
              <w:t>share</w:t>
            </w:r>
            <w:r w:rsidR="000004CE" w:rsidRPr="001A209B">
              <w:rPr>
                <w:rFonts w:cs="Arial"/>
                <w:sz w:val="18"/>
                <w:szCs w:val="18"/>
              </w:rPr>
              <w:t xml:space="preserve"> </w:t>
            </w:r>
            <w:r w:rsidRPr="001A209B">
              <w:rPr>
                <w:rFonts w:cs="Arial"/>
                <w:sz w:val="18"/>
                <w:szCs w:val="18"/>
              </w:rPr>
              <w:t>and profit</w:t>
            </w:r>
            <w:r w:rsidR="00C33815" w:rsidRPr="001A209B">
              <w:rPr>
                <w:rFonts w:cs="Arial"/>
                <w:sz w:val="18"/>
                <w:szCs w:val="18"/>
              </w:rPr>
              <w:t xml:space="preserve">, driven by the strength of our total tobacco portfolio. </w:t>
            </w:r>
            <w:r w:rsidR="00831D76" w:rsidRPr="001A209B">
              <w:rPr>
                <w:rFonts w:cs="Arial"/>
                <w:sz w:val="18"/>
                <w:szCs w:val="18"/>
              </w:rPr>
              <w:t>JPS also made gains in fine cut tobacco.</w:t>
            </w:r>
          </w:p>
        </w:tc>
      </w:tr>
      <w:tr w:rsidR="00BF0866" w:rsidRPr="001A209B" w:rsidTr="004D5B7B">
        <w:trPr>
          <w:cantSplit/>
          <w:jc w:val="center"/>
        </w:trPr>
        <w:tc>
          <w:tcPr>
            <w:tcW w:w="806" w:type="pct"/>
            <w:shd w:val="clear" w:color="auto" w:fill="auto"/>
          </w:tcPr>
          <w:p w:rsidR="00BF0866" w:rsidRPr="001A209B" w:rsidRDefault="00F24C8C" w:rsidP="00041ADA">
            <w:pPr>
              <w:spacing w:before="20" w:after="20"/>
              <w:rPr>
                <w:rFonts w:cs="Arial"/>
                <w:sz w:val="18"/>
                <w:szCs w:val="18"/>
              </w:rPr>
            </w:pPr>
            <w:r w:rsidRPr="001A209B">
              <w:rPr>
                <w:rFonts w:cs="Arial"/>
                <w:sz w:val="18"/>
                <w:szCs w:val="18"/>
              </w:rPr>
              <w:t>UK</w:t>
            </w:r>
          </w:p>
        </w:tc>
        <w:tc>
          <w:tcPr>
            <w:tcW w:w="4194" w:type="pct"/>
            <w:shd w:val="clear" w:color="auto" w:fill="auto"/>
          </w:tcPr>
          <w:p w:rsidR="00BF0866" w:rsidRPr="001A209B" w:rsidRDefault="00B96E08" w:rsidP="009536D1">
            <w:pPr>
              <w:spacing w:before="20" w:after="20"/>
              <w:jc w:val="both"/>
              <w:rPr>
                <w:rFonts w:cs="Arial"/>
                <w:bCs/>
                <w:sz w:val="18"/>
                <w:szCs w:val="18"/>
              </w:rPr>
            </w:pPr>
            <w:r w:rsidRPr="001A209B">
              <w:rPr>
                <w:rFonts w:cs="Arial"/>
                <w:bCs/>
                <w:sz w:val="18"/>
                <w:szCs w:val="18"/>
              </w:rPr>
              <w:t xml:space="preserve">We </w:t>
            </w:r>
            <w:r w:rsidR="00360350" w:rsidRPr="001A209B">
              <w:rPr>
                <w:rFonts w:cs="Arial"/>
                <w:bCs/>
                <w:sz w:val="18"/>
                <w:szCs w:val="18"/>
              </w:rPr>
              <w:t>focused on portfolio initiatives to reinforce our leadership position in an envir</w:t>
            </w:r>
            <w:r w:rsidR="00520115" w:rsidRPr="001A209B">
              <w:rPr>
                <w:rFonts w:cs="Arial"/>
                <w:bCs/>
                <w:sz w:val="18"/>
                <w:szCs w:val="18"/>
              </w:rPr>
              <w:t xml:space="preserve">onment of weak industry volumes, launching </w:t>
            </w:r>
            <w:r w:rsidR="008767C0" w:rsidRPr="001A209B">
              <w:rPr>
                <w:rFonts w:cs="Arial"/>
                <w:bCs/>
                <w:sz w:val="18"/>
                <w:szCs w:val="18"/>
              </w:rPr>
              <w:t>JPS Duo in the growing crushball segment and Lambert &amp; Butler Blue</w:t>
            </w:r>
            <w:r w:rsidR="004C1821" w:rsidRPr="001A209B">
              <w:rPr>
                <w:rFonts w:cs="Arial"/>
                <w:bCs/>
                <w:sz w:val="18"/>
                <w:szCs w:val="18"/>
              </w:rPr>
              <w:t>, a value variant.</w:t>
            </w:r>
          </w:p>
        </w:tc>
      </w:tr>
      <w:tr w:rsidR="00BF0866" w:rsidRPr="001A209B" w:rsidTr="004D5B7B">
        <w:trPr>
          <w:cantSplit/>
          <w:jc w:val="center"/>
        </w:trPr>
        <w:tc>
          <w:tcPr>
            <w:tcW w:w="806" w:type="pct"/>
            <w:shd w:val="clear" w:color="auto" w:fill="auto"/>
          </w:tcPr>
          <w:p w:rsidR="00BF0866" w:rsidRPr="001A209B" w:rsidRDefault="00471899" w:rsidP="00041ADA">
            <w:pPr>
              <w:spacing w:before="20" w:after="20"/>
              <w:rPr>
                <w:rFonts w:cs="Arial"/>
                <w:sz w:val="18"/>
                <w:szCs w:val="18"/>
              </w:rPr>
            </w:pPr>
            <w:r w:rsidRPr="001A209B">
              <w:rPr>
                <w:rFonts w:cs="Arial"/>
                <w:sz w:val="18"/>
                <w:szCs w:val="18"/>
              </w:rPr>
              <w:t>Azerbaijan</w:t>
            </w:r>
          </w:p>
        </w:tc>
        <w:tc>
          <w:tcPr>
            <w:tcW w:w="4194" w:type="pct"/>
            <w:shd w:val="clear" w:color="auto" w:fill="auto"/>
          </w:tcPr>
          <w:p w:rsidR="00BF0866" w:rsidRPr="001A209B" w:rsidRDefault="00471899" w:rsidP="009536D1">
            <w:pPr>
              <w:spacing w:before="20" w:after="20"/>
              <w:jc w:val="both"/>
              <w:rPr>
                <w:rFonts w:cs="Arial"/>
                <w:sz w:val="18"/>
                <w:szCs w:val="18"/>
              </w:rPr>
            </w:pPr>
            <w:r w:rsidRPr="001A209B">
              <w:rPr>
                <w:rFonts w:cs="Arial"/>
                <w:sz w:val="18"/>
                <w:szCs w:val="18"/>
              </w:rPr>
              <w:t>Parker &amp; Simpson</w:t>
            </w:r>
            <w:r w:rsidR="00477ED0" w:rsidRPr="001A209B">
              <w:rPr>
                <w:rFonts w:cs="Arial"/>
                <w:sz w:val="18"/>
                <w:szCs w:val="18"/>
              </w:rPr>
              <w:t xml:space="preserve"> is building volume following last year’s launch and the introduction of a superslims variant has added impetus to West’s growth momentum.</w:t>
            </w:r>
          </w:p>
        </w:tc>
      </w:tr>
      <w:tr w:rsidR="00041ADA" w:rsidRPr="001A209B" w:rsidTr="004D5B7B">
        <w:trPr>
          <w:cantSplit/>
          <w:jc w:val="center"/>
        </w:trPr>
        <w:tc>
          <w:tcPr>
            <w:tcW w:w="806" w:type="pct"/>
            <w:shd w:val="clear" w:color="auto" w:fill="auto"/>
          </w:tcPr>
          <w:p w:rsidR="00041ADA" w:rsidRPr="001A209B" w:rsidRDefault="00041ADA" w:rsidP="00041ADA">
            <w:pPr>
              <w:spacing w:before="20" w:after="20"/>
              <w:rPr>
                <w:rFonts w:cs="Arial"/>
                <w:sz w:val="18"/>
                <w:szCs w:val="18"/>
              </w:rPr>
            </w:pPr>
            <w:r w:rsidRPr="001A209B">
              <w:rPr>
                <w:rFonts w:cs="Arial"/>
                <w:sz w:val="18"/>
                <w:szCs w:val="18"/>
              </w:rPr>
              <w:t>Ukraine</w:t>
            </w:r>
          </w:p>
        </w:tc>
        <w:tc>
          <w:tcPr>
            <w:tcW w:w="4194" w:type="pct"/>
            <w:shd w:val="clear" w:color="auto" w:fill="auto"/>
          </w:tcPr>
          <w:p w:rsidR="00041ADA" w:rsidRPr="001A209B" w:rsidRDefault="000004CE" w:rsidP="009536D1">
            <w:pPr>
              <w:spacing w:before="20" w:after="20"/>
              <w:jc w:val="both"/>
              <w:rPr>
                <w:rFonts w:cs="Arial"/>
                <w:sz w:val="18"/>
                <w:szCs w:val="18"/>
              </w:rPr>
            </w:pPr>
            <w:r w:rsidRPr="001A209B">
              <w:rPr>
                <w:rFonts w:cs="Arial"/>
                <w:sz w:val="18"/>
                <w:szCs w:val="18"/>
              </w:rPr>
              <w:t xml:space="preserve">We grew revenue and profit in a turbulent environment. </w:t>
            </w:r>
            <w:r w:rsidR="00096330" w:rsidRPr="001A209B">
              <w:rPr>
                <w:rFonts w:cs="Arial"/>
                <w:sz w:val="18"/>
                <w:szCs w:val="18"/>
              </w:rPr>
              <w:t xml:space="preserve">West </w:t>
            </w:r>
            <w:r w:rsidRPr="001A209B">
              <w:rPr>
                <w:rFonts w:cs="Arial"/>
                <w:sz w:val="18"/>
                <w:szCs w:val="18"/>
              </w:rPr>
              <w:t>registered strong volume growth and we launched</w:t>
            </w:r>
            <w:r w:rsidR="00096330" w:rsidRPr="001A209B">
              <w:rPr>
                <w:rFonts w:cs="Arial"/>
                <w:sz w:val="18"/>
                <w:szCs w:val="18"/>
              </w:rPr>
              <w:t xml:space="preserve"> </w:t>
            </w:r>
            <w:r w:rsidR="00343A0F" w:rsidRPr="001A209B">
              <w:rPr>
                <w:rFonts w:cs="Arial"/>
                <w:sz w:val="18"/>
                <w:szCs w:val="18"/>
              </w:rPr>
              <w:t>Parker &amp; Simpson</w:t>
            </w:r>
            <w:r w:rsidRPr="001A209B">
              <w:rPr>
                <w:rFonts w:cs="Arial"/>
                <w:sz w:val="18"/>
                <w:szCs w:val="18"/>
              </w:rPr>
              <w:t>.</w:t>
            </w:r>
          </w:p>
        </w:tc>
      </w:tr>
    </w:tbl>
    <w:p w:rsidR="00605439" w:rsidRPr="001A209B" w:rsidRDefault="00605439" w:rsidP="00853E15">
      <w:pPr>
        <w:spacing w:before="20" w:after="20"/>
        <w:jc w:val="both"/>
        <w:rPr>
          <w:rFonts w:cs="Arial"/>
          <w:b/>
          <w:bCs/>
          <w:color w:val="A60D1F"/>
          <w:sz w:val="18"/>
          <w:szCs w:val="18"/>
        </w:rPr>
      </w:pPr>
    </w:p>
    <w:p w:rsidR="00605439" w:rsidRPr="001A209B" w:rsidRDefault="00605439">
      <w:pPr>
        <w:rPr>
          <w:rFonts w:cs="Arial"/>
          <w:b/>
          <w:bCs/>
          <w:color w:val="A60D1F"/>
          <w:sz w:val="18"/>
          <w:szCs w:val="18"/>
        </w:rPr>
      </w:pPr>
      <w:r w:rsidRPr="001A209B">
        <w:rPr>
          <w:rFonts w:cs="Arial"/>
          <w:b/>
          <w:bCs/>
          <w:color w:val="A60D1F"/>
          <w:sz w:val="18"/>
          <w:szCs w:val="18"/>
        </w:rPr>
        <w:br w:type="page"/>
      </w:r>
    </w:p>
    <w:p w:rsidR="00C548B4" w:rsidRPr="001A209B" w:rsidRDefault="00C548B4" w:rsidP="00C548B4">
      <w:pPr>
        <w:spacing w:before="20" w:after="20"/>
        <w:jc w:val="both"/>
        <w:rPr>
          <w:rFonts w:cs="Arial"/>
          <w:b/>
          <w:bCs/>
          <w:color w:val="A60D1F"/>
          <w:sz w:val="18"/>
          <w:szCs w:val="18"/>
        </w:rPr>
      </w:pPr>
      <w:r w:rsidRPr="001A209B">
        <w:rPr>
          <w:rFonts w:cs="Arial"/>
          <w:b/>
          <w:bCs/>
          <w:color w:val="A60D1F"/>
          <w:sz w:val="18"/>
          <w:szCs w:val="18"/>
        </w:rPr>
        <w:t>Returns Markets South</w:t>
      </w:r>
    </w:p>
    <w:tbl>
      <w:tblPr>
        <w:tblStyle w:val="TableGrid"/>
        <w:tblW w:w="0" w:type="auto"/>
        <w:tblBorders>
          <w:left w:val="none" w:sz="0" w:space="0" w:color="auto"/>
          <w:right w:val="none" w:sz="0" w:space="0" w:color="auto"/>
          <w:insideV w:val="none" w:sz="0" w:space="0" w:color="auto"/>
        </w:tblBorders>
        <w:tblCellMar>
          <w:left w:w="85" w:type="dxa"/>
          <w:right w:w="85" w:type="dxa"/>
        </w:tblCellMar>
        <w:tblLook w:val="04A0" w:firstRow="1" w:lastRow="0" w:firstColumn="1" w:lastColumn="0" w:noHBand="0" w:noVBand="1"/>
      </w:tblPr>
      <w:tblGrid>
        <w:gridCol w:w="3343"/>
        <w:gridCol w:w="1173"/>
        <w:gridCol w:w="1173"/>
        <w:gridCol w:w="1175"/>
        <w:gridCol w:w="1177"/>
        <w:gridCol w:w="1179"/>
      </w:tblGrid>
      <w:tr w:rsidR="00C548B4" w:rsidRPr="001A209B" w:rsidTr="00876F3E">
        <w:trPr>
          <w:trHeight w:val="227"/>
        </w:trPr>
        <w:tc>
          <w:tcPr>
            <w:tcW w:w="3343" w:type="dxa"/>
            <w:tcBorders>
              <w:bottom w:val="nil"/>
            </w:tcBorders>
            <w:vAlign w:val="center"/>
          </w:tcPr>
          <w:p w:rsidR="00C548B4" w:rsidRPr="001A209B" w:rsidRDefault="00C548B4" w:rsidP="00876F3E">
            <w:pPr>
              <w:spacing w:before="20" w:after="20"/>
              <w:rPr>
                <w:rFonts w:cs="Arial"/>
                <w:b/>
                <w:color w:val="A60D1F"/>
                <w:sz w:val="18"/>
                <w:szCs w:val="18"/>
              </w:rPr>
            </w:pPr>
          </w:p>
        </w:tc>
        <w:tc>
          <w:tcPr>
            <w:tcW w:w="2346" w:type="dxa"/>
            <w:gridSpan w:val="2"/>
            <w:vAlign w:val="center"/>
          </w:tcPr>
          <w:p w:rsidR="00C548B4" w:rsidRPr="001A209B" w:rsidRDefault="00C548B4" w:rsidP="00876F3E">
            <w:pPr>
              <w:spacing w:before="20" w:after="20"/>
              <w:jc w:val="right"/>
              <w:rPr>
                <w:rFonts w:cs="Arial"/>
                <w:b/>
                <w:color w:val="A60D1F"/>
                <w:sz w:val="18"/>
                <w:szCs w:val="18"/>
              </w:rPr>
            </w:pPr>
            <w:r w:rsidRPr="001A209B">
              <w:rPr>
                <w:rFonts w:cs="Arial"/>
                <w:b/>
                <w:bCs/>
                <w:sz w:val="18"/>
                <w:szCs w:val="18"/>
              </w:rPr>
              <w:t>Half Year Result</w:t>
            </w:r>
          </w:p>
        </w:tc>
        <w:tc>
          <w:tcPr>
            <w:tcW w:w="3531" w:type="dxa"/>
            <w:gridSpan w:val="3"/>
            <w:vAlign w:val="center"/>
          </w:tcPr>
          <w:p w:rsidR="00C548B4" w:rsidRPr="001A209B" w:rsidRDefault="00C548B4" w:rsidP="00876F3E">
            <w:pPr>
              <w:spacing w:before="20" w:after="20"/>
              <w:jc w:val="center"/>
              <w:rPr>
                <w:rFonts w:cs="Arial"/>
                <w:b/>
                <w:color w:val="A60D1F"/>
                <w:sz w:val="18"/>
                <w:szCs w:val="18"/>
              </w:rPr>
            </w:pPr>
            <w:r w:rsidRPr="001A209B">
              <w:rPr>
                <w:rFonts w:cs="Arial"/>
                <w:b/>
                <w:bCs/>
                <w:sz w:val="18"/>
                <w:szCs w:val="18"/>
              </w:rPr>
              <w:t>Change</w:t>
            </w:r>
          </w:p>
        </w:tc>
      </w:tr>
      <w:tr w:rsidR="00C548B4" w:rsidRPr="001A209B" w:rsidTr="00876F3E">
        <w:trPr>
          <w:trHeight w:val="227"/>
        </w:trPr>
        <w:tc>
          <w:tcPr>
            <w:tcW w:w="3343" w:type="dxa"/>
            <w:tcBorders>
              <w:top w:val="nil"/>
              <w:bottom w:val="nil"/>
            </w:tcBorders>
            <w:vAlign w:val="center"/>
          </w:tcPr>
          <w:p w:rsidR="00C548B4" w:rsidRPr="001A209B" w:rsidRDefault="00C548B4" w:rsidP="00876F3E">
            <w:pPr>
              <w:spacing w:before="20" w:after="20"/>
              <w:rPr>
                <w:rFonts w:cs="Arial"/>
                <w:b/>
                <w:color w:val="A60D1F"/>
                <w:sz w:val="18"/>
                <w:szCs w:val="18"/>
              </w:rPr>
            </w:pPr>
          </w:p>
        </w:tc>
        <w:tc>
          <w:tcPr>
            <w:tcW w:w="1173" w:type="dxa"/>
            <w:tcBorders>
              <w:bottom w:val="single" w:sz="4" w:space="0" w:color="auto"/>
            </w:tcBorders>
            <w:vAlign w:val="bottom"/>
          </w:tcPr>
          <w:p w:rsidR="00C548B4" w:rsidRPr="001A209B" w:rsidRDefault="00C548B4" w:rsidP="00876F3E">
            <w:pPr>
              <w:spacing w:before="20" w:after="20"/>
              <w:jc w:val="right"/>
              <w:rPr>
                <w:b/>
                <w:sz w:val="18"/>
                <w:szCs w:val="18"/>
              </w:rPr>
            </w:pPr>
            <w:r w:rsidRPr="001A209B">
              <w:rPr>
                <w:b/>
                <w:sz w:val="18"/>
                <w:szCs w:val="18"/>
              </w:rPr>
              <w:t>2014</w:t>
            </w:r>
          </w:p>
        </w:tc>
        <w:tc>
          <w:tcPr>
            <w:tcW w:w="1173" w:type="dxa"/>
            <w:tcBorders>
              <w:bottom w:val="single" w:sz="4" w:space="0" w:color="auto"/>
            </w:tcBorders>
            <w:vAlign w:val="bottom"/>
          </w:tcPr>
          <w:p w:rsidR="00C548B4" w:rsidRPr="001A209B" w:rsidRDefault="00C548B4" w:rsidP="00876F3E">
            <w:pPr>
              <w:spacing w:before="20" w:after="20"/>
              <w:jc w:val="right"/>
              <w:rPr>
                <w:sz w:val="18"/>
                <w:szCs w:val="18"/>
              </w:rPr>
            </w:pPr>
            <w:r w:rsidRPr="001A209B">
              <w:rPr>
                <w:sz w:val="18"/>
                <w:szCs w:val="18"/>
              </w:rPr>
              <w:t>2013</w:t>
            </w:r>
          </w:p>
        </w:tc>
        <w:tc>
          <w:tcPr>
            <w:tcW w:w="1175" w:type="dxa"/>
            <w:tcBorders>
              <w:bottom w:val="single" w:sz="4" w:space="0" w:color="auto"/>
            </w:tcBorders>
            <w:vAlign w:val="bottom"/>
          </w:tcPr>
          <w:p w:rsidR="00C548B4" w:rsidRPr="001A209B" w:rsidRDefault="00C548B4" w:rsidP="00876F3E">
            <w:pPr>
              <w:spacing w:before="20" w:after="20"/>
              <w:jc w:val="right"/>
              <w:rPr>
                <w:sz w:val="18"/>
                <w:szCs w:val="18"/>
              </w:rPr>
            </w:pPr>
            <w:r w:rsidRPr="001A209B">
              <w:rPr>
                <w:sz w:val="18"/>
                <w:szCs w:val="18"/>
              </w:rPr>
              <w:t>Actual</w:t>
            </w:r>
          </w:p>
        </w:tc>
        <w:tc>
          <w:tcPr>
            <w:tcW w:w="1177" w:type="dxa"/>
            <w:tcBorders>
              <w:bottom w:val="single" w:sz="4" w:space="0" w:color="auto"/>
            </w:tcBorders>
            <w:vAlign w:val="bottom"/>
          </w:tcPr>
          <w:p w:rsidR="00C548B4" w:rsidRPr="001A209B" w:rsidRDefault="00C548B4" w:rsidP="00876F3E">
            <w:pPr>
              <w:spacing w:before="20" w:after="20"/>
              <w:jc w:val="right"/>
              <w:rPr>
                <w:sz w:val="18"/>
                <w:szCs w:val="18"/>
              </w:rPr>
            </w:pPr>
            <w:r w:rsidRPr="001A209B">
              <w:rPr>
                <w:sz w:val="18"/>
                <w:szCs w:val="18"/>
              </w:rPr>
              <w:t xml:space="preserve">Constant </w:t>
            </w:r>
            <w:r w:rsidRPr="001A209B">
              <w:rPr>
                <w:rFonts w:cs="Arial"/>
                <w:bCs/>
                <w:sz w:val="18"/>
                <w:szCs w:val="18"/>
              </w:rPr>
              <w:t>Currency</w:t>
            </w:r>
            <w:r w:rsidRPr="001A209B">
              <w:rPr>
                <w:rFonts w:cs="Arial"/>
                <w:sz w:val="18"/>
                <w:szCs w:val="18"/>
                <w:vertAlign w:val="superscript"/>
              </w:rPr>
              <w:t>1</w:t>
            </w:r>
          </w:p>
        </w:tc>
        <w:tc>
          <w:tcPr>
            <w:tcW w:w="1179" w:type="dxa"/>
            <w:tcBorders>
              <w:bottom w:val="single" w:sz="4" w:space="0" w:color="auto"/>
            </w:tcBorders>
            <w:vAlign w:val="bottom"/>
          </w:tcPr>
          <w:p w:rsidR="00C548B4" w:rsidRPr="001A209B" w:rsidRDefault="00C548B4" w:rsidP="00876F3E">
            <w:pPr>
              <w:spacing w:before="20" w:after="20"/>
              <w:jc w:val="right"/>
              <w:rPr>
                <w:sz w:val="18"/>
                <w:szCs w:val="18"/>
              </w:rPr>
            </w:pPr>
            <w:r w:rsidRPr="001A209B">
              <w:rPr>
                <w:rFonts w:cs="Arial"/>
                <w:sz w:val="18"/>
                <w:szCs w:val="18"/>
              </w:rPr>
              <w:t>Underlying</w:t>
            </w:r>
            <w:r w:rsidRPr="001A209B">
              <w:rPr>
                <w:rFonts w:cs="Arial"/>
                <w:sz w:val="18"/>
                <w:szCs w:val="18"/>
                <w:vertAlign w:val="superscript"/>
              </w:rPr>
              <w:t>1</w:t>
            </w:r>
          </w:p>
        </w:tc>
      </w:tr>
      <w:tr w:rsidR="00C548B4" w:rsidRPr="001A209B" w:rsidTr="00876F3E">
        <w:trPr>
          <w:trHeight w:val="227"/>
        </w:trPr>
        <w:tc>
          <w:tcPr>
            <w:tcW w:w="3343" w:type="dxa"/>
            <w:tcBorders>
              <w:top w:val="nil"/>
              <w:bottom w:val="nil"/>
            </w:tcBorders>
            <w:shd w:val="clear" w:color="auto" w:fill="F1E7E7"/>
            <w:vAlign w:val="center"/>
          </w:tcPr>
          <w:p w:rsidR="00C548B4" w:rsidRPr="001A209B" w:rsidRDefault="00C548B4" w:rsidP="00876F3E">
            <w:pPr>
              <w:spacing w:before="20" w:after="20"/>
              <w:rPr>
                <w:sz w:val="18"/>
                <w:szCs w:val="18"/>
              </w:rPr>
            </w:pPr>
            <w:r w:rsidRPr="001A209B">
              <w:rPr>
                <w:sz w:val="18"/>
                <w:szCs w:val="18"/>
              </w:rPr>
              <w:t xml:space="preserve">Market share (%) </w:t>
            </w:r>
          </w:p>
        </w:tc>
        <w:tc>
          <w:tcPr>
            <w:tcW w:w="1173" w:type="dxa"/>
            <w:tcBorders>
              <w:bottom w:val="nil"/>
              <w:right w:val="nil"/>
            </w:tcBorders>
            <w:shd w:val="clear" w:color="auto" w:fill="F1E7E7"/>
            <w:vAlign w:val="center"/>
          </w:tcPr>
          <w:p w:rsidR="00C548B4" w:rsidRPr="001A209B" w:rsidRDefault="00C548B4" w:rsidP="00876F3E">
            <w:pPr>
              <w:jc w:val="right"/>
              <w:rPr>
                <w:rFonts w:cs="Arial"/>
                <w:b/>
                <w:sz w:val="18"/>
                <w:szCs w:val="18"/>
              </w:rPr>
            </w:pPr>
            <w:r w:rsidRPr="001A209B">
              <w:rPr>
                <w:rFonts w:cs="Arial"/>
                <w:b/>
                <w:sz w:val="18"/>
                <w:szCs w:val="18"/>
              </w:rPr>
              <w:t>29.4</w:t>
            </w:r>
          </w:p>
        </w:tc>
        <w:tc>
          <w:tcPr>
            <w:tcW w:w="1173" w:type="dxa"/>
            <w:tcBorders>
              <w:left w:val="nil"/>
              <w:bottom w:val="nil"/>
              <w:right w:val="nil"/>
            </w:tcBorders>
            <w:shd w:val="clear" w:color="auto" w:fill="F1E7E7"/>
            <w:vAlign w:val="center"/>
          </w:tcPr>
          <w:p w:rsidR="00C548B4" w:rsidRPr="001A209B" w:rsidRDefault="00C548B4" w:rsidP="00876F3E">
            <w:pPr>
              <w:jc w:val="right"/>
              <w:rPr>
                <w:rFonts w:cs="Arial"/>
                <w:sz w:val="18"/>
                <w:szCs w:val="18"/>
              </w:rPr>
            </w:pPr>
            <w:r w:rsidRPr="001A209B">
              <w:rPr>
                <w:rFonts w:cs="Arial"/>
                <w:sz w:val="18"/>
                <w:szCs w:val="18"/>
              </w:rPr>
              <w:t>30.5</w:t>
            </w:r>
          </w:p>
        </w:tc>
        <w:tc>
          <w:tcPr>
            <w:tcW w:w="1175" w:type="dxa"/>
            <w:tcBorders>
              <w:left w:val="nil"/>
              <w:bottom w:val="nil"/>
              <w:right w:val="nil"/>
            </w:tcBorders>
            <w:shd w:val="clear" w:color="auto" w:fill="F1E7E7"/>
            <w:vAlign w:val="center"/>
          </w:tcPr>
          <w:p w:rsidR="00C548B4" w:rsidRPr="001A209B" w:rsidRDefault="00C548B4" w:rsidP="00876F3E">
            <w:pPr>
              <w:jc w:val="right"/>
              <w:rPr>
                <w:rFonts w:cs="Arial"/>
                <w:sz w:val="18"/>
                <w:szCs w:val="18"/>
              </w:rPr>
            </w:pPr>
            <w:r w:rsidRPr="001A209B">
              <w:rPr>
                <w:rFonts w:cs="Arial"/>
                <w:sz w:val="18"/>
                <w:szCs w:val="18"/>
              </w:rPr>
              <w:t>-110 bps</w:t>
            </w:r>
          </w:p>
        </w:tc>
        <w:tc>
          <w:tcPr>
            <w:tcW w:w="1177" w:type="dxa"/>
            <w:tcBorders>
              <w:left w:val="nil"/>
              <w:bottom w:val="nil"/>
              <w:right w:val="nil"/>
            </w:tcBorders>
            <w:shd w:val="clear" w:color="auto" w:fill="F1E7E7"/>
            <w:vAlign w:val="center"/>
          </w:tcPr>
          <w:p w:rsidR="00C548B4" w:rsidRPr="001A209B" w:rsidRDefault="00C548B4" w:rsidP="00876F3E">
            <w:pPr>
              <w:jc w:val="right"/>
              <w:rPr>
                <w:rFonts w:cs="Arial"/>
                <w:sz w:val="18"/>
                <w:szCs w:val="18"/>
              </w:rPr>
            </w:pPr>
          </w:p>
        </w:tc>
        <w:tc>
          <w:tcPr>
            <w:tcW w:w="1179" w:type="dxa"/>
            <w:tcBorders>
              <w:left w:val="nil"/>
              <w:bottom w:val="nil"/>
            </w:tcBorders>
            <w:shd w:val="clear" w:color="auto" w:fill="F1E7E7"/>
            <w:vAlign w:val="center"/>
          </w:tcPr>
          <w:p w:rsidR="00C548B4" w:rsidRPr="001A209B" w:rsidRDefault="00C548B4" w:rsidP="00876F3E">
            <w:pPr>
              <w:jc w:val="right"/>
              <w:rPr>
                <w:rFonts w:cs="Arial"/>
                <w:sz w:val="18"/>
              </w:rPr>
            </w:pPr>
          </w:p>
        </w:tc>
      </w:tr>
      <w:tr w:rsidR="00C548B4" w:rsidRPr="001A209B" w:rsidTr="00876F3E">
        <w:trPr>
          <w:trHeight w:val="227"/>
        </w:trPr>
        <w:tc>
          <w:tcPr>
            <w:tcW w:w="3343" w:type="dxa"/>
            <w:tcBorders>
              <w:top w:val="nil"/>
              <w:bottom w:val="nil"/>
            </w:tcBorders>
            <w:vAlign w:val="center"/>
          </w:tcPr>
          <w:p w:rsidR="00C548B4" w:rsidRPr="001A209B" w:rsidRDefault="00C548B4" w:rsidP="00876F3E">
            <w:pPr>
              <w:spacing w:before="20" w:after="20"/>
              <w:rPr>
                <w:sz w:val="18"/>
                <w:szCs w:val="18"/>
              </w:rPr>
            </w:pPr>
            <w:r w:rsidRPr="001A209B">
              <w:rPr>
                <w:rFonts w:cs="Arial"/>
                <w:sz w:val="18"/>
                <w:szCs w:val="18"/>
              </w:rPr>
              <w:t>Net revenue per ‘000 SE (£)</w:t>
            </w:r>
          </w:p>
        </w:tc>
        <w:tc>
          <w:tcPr>
            <w:tcW w:w="1173" w:type="dxa"/>
            <w:tcBorders>
              <w:top w:val="nil"/>
              <w:bottom w:val="nil"/>
              <w:right w:val="nil"/>
            </w:tcBorders>
            <w:vAlign w:val="center"/>
          </w:tcPr>
          <w:p w:rsidR="00C548B4" w:rsidRPr="001A209B" w:rsidRDefault="00C548B4" w:rsidP="00876F3E">
            <w:pPr>
              <w:jc w:val="right"/>
              <w:rPr>
                <w:rFonts w:cs="Arial"/>
                <w:b/>
                <w:sz w:val="18"/>
                <w:szCs w:val="18"/>
              </w:rPr>
            </w:pPr>
            <w:r w:rsidRPr="001A209B">
              <w:rPr>
                <w:rFonts w:cs="Arial"/>
                <w:b/>
                <w:sz w:val="18"/>
                <w:szCs w:val="18"/>
              </w:rPr>
              <w:t>19.06</w:t>
            </w:r>
          </w:p>
        </w:tc>
        <w:tc>
          <w:tcPr>
            <w:tcW w:w="1173" w:type="dxa"/>
            <w:tcBorders>
              <w:top w:val="nil"/>
              <w:left w:val="nil"/>
              <w:bottom w:val="nil"/>
              <w:right w:val="nil"/>
            </w:tcBorders>
            <w:vAlign w:val="center"/>
          </w:tcPr>
          <w:p w:rsidR="00C548B4" w:rsidRPr="001A209B" w:rsidRDefault="00C548B4" w:rsidP="00876F3E">
            <w:pPr>
              <w:jc w:val="right"/>
              <w:rPr>
                <w:rFonts w:cs="Arial"/>
                <w:sz w:val="18"/>
                <w:szCs w:val="18"/>
              </w:rPr>
            </w:pPr>
            <w:r w:rsidRPr="001A209B">
              <w:rPr>
                <w:rFonts w:cs="Arial"/>
                <w:sz w:val="18"/>
                <w:szCs w:val="18"/>
              </w:rPr>
              <w:t>18.70</w:t>
            </w:r>
          </w:p>
        </w:tc>
        <w:tc>
          <w:tcPr>
            <w:tcW w:w="1175" w:type="dxa"/>
            <w:tcBorders>
              <w:top w:val="nil"/>
              <w:left w:val="nil"/>
              <w:bottom w:val="nil"/>
              <w:right w:val="nil"/>
            </w:tcBorders>
            <w:vAlign w:val="center"/>
          </w:tcPr>
          <w:p w:rsidR="00C548B4" w:rsidRPr="001A209B" w:rsidRDefault="00C548B4" w:rsidP="00876F3E">
            <w:pPr>
              <w:jc w:val="right"/>
              <w:rPr>
                <w:rFonts w:cs="Arial"/>
                <w:sz w:val="18"/>
                <w:szCs w:val="18"/>
              </w:rPr>
            </w:pPr>
            <w:r w:rsidRPr="001A209B">
              <w:rPr>
                <w:rFonts w:cs="Arial"/>
                <w:sz w:val="18"/>
                <w:szCs w:val="18"/>
              </w:rPr>
              <w:t>+2%</w:t>
            </w:r>
          </w:p>
        </w:tc>
        <w:tc>
          <w:tcPr>
            <w:tcW w:w="1177" w:type="dxa"/>
            <w:tcBorders>
              <w:top w:val="nil"/>
              <w:left w:val="nil"/>
              <w:bottom w:val="nil"/>
              <w:right w:val="nil"/>
            </w:tcBorders>
            <w:vAlign w:val="center"/>
          </w:tcPr>
          <w:p w:rsidR="00C548B4" w:rsidRPr="001A209B" w:rsidRDefault="00C548B4" w:rsidP="00876F3E">
            <w:pPr>
              <w:jc w:val="right"/>
              <w:rPr>
                <w:rFonts w:cs="Arial"/>
                <w:sz w:val="18"/>
                <w:szCs w:val="18"/>
              </w:rPr>
            </w:pPr>
            <w:r w:rsidRPr="001A209B">
              <w:rPr>
                <w:rFonts w:cs="Arial"/>
                <w:sz w:val="18"/>
                <w:szCs w:val="18"/>
              </w:rPr>
              <w:t>+2%</w:t>
            </w:r>
          </w:p>
        </w:tc>
        <w:tc>
          <w:tcPr>
            <w:tcW w:w="1179" w:type="dxa"/>
            <w:tcBorders>
              <w:top w:val="nil"/>
              <w:left w:val="nil"/>
              <w:bottom w:val="nil"/>
            </w:tcBorders>
            <w:vAlign w:val="center"/>
          </w:tcPr>
          <w:p w:rsidR="00C548B4" w:rsidRPr="001A209B" w:rsidRDefault="00C548B4" w:rsidP="00C548B4">
            <w:pPr>
              <w:jc w:val="right"/>
              <w:rPr>
                <w:rFonts w:cs="Arial"/>
                <w:sz w:val="18"/>
              </w:rPr>
            </w:pPr>
            <w:r w:rsidRPr="001A209B">
              <w:rPr>
                <w:rFonts w:cs="Arial"/>
                <w:sz w:val="18"/>
              </w:rPr>
              <w:t>+2%</w:t>
            </w:r>
          </w:p>
        </w:tc>
      </w:tr>
      <w:tr w:rsidR="00C548B4" w:rsidRPr="001A209B" w:rsidTr="00876F3E">
        <w:trPr>
          <w:trHeight w:val="227"/>
        </w:trPr>
        <w:tc>
          <w:tcPr>
            <w:tcW w:w="3343" w:type="dxa"/>
            <w:tcBorders>
              <w:top w:val="nil"/>
              <w:bottom w:val="nil"/>
            </w:tcBorders>
            <w:shd w:val="clear" w:color="auto" w:fill="F1E7E7"/>
            <w:vAlign w:val="center"/>
          </w:tcPr>
          <w:p w:rsidR="00C548B4" w:rsidRPr="001A209B" w:rsidRDefault="00C548B4" w:rsidP="00876F3E">
            <w:pPr>
              <w:spacing w:before="20" w:after="20"/>
              <w:rPr>
                <w:sz w:val="18"/>
                <w:szCs w:val="18"/>
              </w:rPr>
            </w:pPr>
            <w:r w:rsidRPr="001A209B">
              <w:rPr>
                <w:sz w:val="18"/>
                <w:szCs w:val="18"/>
              </w:rPr>
              <w:t>Adjusted operating profit (£m)</w:t>
            </w:r>
          </w:p>
        </w:tc>
        <w:tc>
          <w:tcPr>
            <w:tcW w:w="1173" w:type="dxa"/>
            <w:tcBorders>
              <w:top w:val="nil"/>
              <w:bottom w:val="nil"/>
              <w:right w:val="nil"/>
            </w:tcBorders>
            <w:shd w:val="clear" w:color="auto" w:fill="F1E7E7"/>
            <w:vAlign w:val="center"/>
          </w:tcPr>
          <w:p w:rsidR="00C548B4" w:rsidRPr="001A209B" w:rsidRDefault="00C548B4" w:rsidP="00876F3E">
            <w:pPr>
              <w:jc w:val="right"/>
              <w:rPr>
                <w:rFonts w:cs="Arial"/>
                <w:b/>
                <w:sz w:val="18"/>
                <w:szCs w:val="18"/>
              </w:rPr>
            </w:pPr>
            <w:r w:rsidRPr="001A209B">
              <w:rPr>
                <w:rFonts w:cs="Arial"/>
                <w:b/>
                <w:sz w:val="18"/>
                <w:szCs w:val="18"/>
              </w:rPr>
              <w:t>361</w:t>
            </w:r>
          </w:p>
        </w:tc>
        <w:tc>
          <w:tcPr>
            <w:tcW w:w="1173" w:type="dxa"/>
            <w:tcBorders>
              <w:top w:val="nil"/>
              <w:left w:val="nil"/>
              <w:bottom w:val="nil"/>
              <w:right w:val="nil"/>
            </w:tcBorders>
            <w:shd w:val="clear" w:color="auto" w:fill="F1E7E7"/>
            <w:vAlign w:val="center"/>
          </w:tcPr>
          <w:p w:rsidR="00C548B4" w:rsidRPr="001A209B" w:rsidRDefault="00C548B4" w:rsidP="00876F3E">
            <w:pPr>
              <w:jc w:val="right"/>
              <w:rPr>
                <w:rFonts w:cs="Arial"/>
                <w:sz w:val="18"/>
                <w:szCs w:val="18"/>
              </w:rPr>
            </w:pPr>
            <w:r w:rsidRPr="001A209B">
              <w:rPr>
                <w:rFonts w:cs="Arial"/>
                <w:sz w:val="18"/>
                <w:szCs w:val="18"/>
              </w:rPr>
              <w:t>381</w:t>
            </w:r>
          </w:p>
        </w:tc>
        <w:tc>
          <w:tcPr>
            <w:tcW w:w="1175" w:type="dxa"/>
            <w:tcBorders>
              <w:top w:val="nil"/>
              <w:left w:val="nil"/>
              <w:bottom w:val="nil"/>
              <w:right w:val="nil"/>
            </w:tcBorders>
            <w:shd w:val="clear" w:color="auto" w:fill="F1E7E7"/>
            <w:vAlign w:val="center"/>
          </w:tcPr>
          <w:p w:rsidR="00C548B4" w:rsidRPr="001A209B" w:rsidRDefault="00C548B4" w:rsidP="00876F3E">
            <w:pPr>
              <w:jc w:val="right"/>
              <w:rPr>
                <w:rFonts w:cs="Arial"/>
                <w:sz w:val="18"/>
                <w:szCs w:val="18"/>
              </w:rPr>
            </w:pPr>
            <w:r w:rsidRPr="001A209B">
              <w:rPr>
                <w:rFonts w:cs="Arial"/>
                <w:sz w:val="18"/>
                <w:szCs w:val="18"/>
              </w:rPr>
              <w:t>-5%</w:t>
            </w:r>
          </w:p>
        </w:tc>
        <w:tc>
          <w:tcPr>
            <w:tcW w:w="1177" w:type="dxa"/>
            <w:tcBorders>
              <w:top w:val="nil"/>
              <w:left w:val="nil"/>
              <w:bottom w:val="nil"/>
              <w:right w:val="nil"/>
            </w:tcBorders>
            <w:shd w:val="clear" w:color="auto" w:fill="F1E7E7"/>
            <w:vAlign w:val="center"/>
          </w:tcPr>
          <w:p w:rsidR="00C548B4" w:rsidRPr="001A209B" w:rsidRDefault="00C548B4" w:rsidP="00876F3E">
            <w:pPr>
              <w:jc w:val="right"/>
              <w:rPr>
                <w:rFonts w:cs="Arial"/>
                <w:sz w:val="18"/>
                <w:szCs w:val="18"/>
              </w:rPr>
            </w:pPr>
            <w:r w:rsidRPr="001A209B">
              <w:rPr>
                <w:rFonts w:cs="Arial"/>
                <w:sz w:val="18"/>
                <w:szCs w:val="18"/>
              </w:rPr>
              <w:t>-4%</w:t>
            </w:r>
          </w:p>
        </w:tc>
        <w:tc>
          <w:tcPr>
            <w:tcW w:w="1179" w:type="dxa"/>
            <w:tcBorders>
              <w:top w:val="nil"/>
              <w:left w:val="nil"/>
              <w:bottom w:val="nil"/>
            </w:tcBorders>
            <w:shd w:val="clear" w:color="auto" w:fill="F1E7E7"/>
            <w:vAlign w:val="center"/>
          </w:tcPr>
          <w:p w:rsidR="00C548B4" w:rsidRPr="001A209B" w:rsidRDefault="00C548B4" w:rsidP="00876F3E">
            <w:pPr>
              <w:jc w:val="right"/>
              <w:rPr>
                <w:rFonts w:cs="Arial"/>
                <w:sz w:val="18"/>
              </w:rPr>
            </w:pPr>
          </w:p>
        </w:tc>
      </w:tr>
      <w:tr w:rsidR="00C548B4" w:rsidRPr="001A209B" w:rsidTr="00876F3E">
        <w:trPr>
          <w:trHeight w:val="227"/>
        </w:trPr>
        <w:tc>
          <w:tcPr>
            <w:tcW w:w="3343" w:type="dxa"/>
            <w:tcBorders>
              <w:top w:val="nil"/>
              <w:bottom w:val="single" w:sz="4" w:space="0" w:color="auto"/>
            </w:tcBorders>
            <w:vAlign w:val="center"/>
          </w:tcPr>
          <w:p w:rsidR="00C548B4" w:rsidRPr="001A209B" w:rsidRDefault="00C548B4" w:rsidP="00876F3E">
            <w:pPr>
              <w:spacing w:before="20" w:after="20"/>
              <w:rPr>
                <w:sz w:val="18"/>
                <w:szCs w:val="18"/>
              </w:rPr>
            </w:pPr>
            <w:r w:rsidRPr="001A209B">
              <w:rPr>
                <w:sz w:val="18"/>
                <w:szCs w:val="18"/>
              </w:rPr>
              <w:t xml:space="preserve">Growth Brands % tobacco net revenue </w:t>
            </w:r>
          </w:p>
        </w:tc>
        <w:tc>
          <w:tcPr>
            <w:tcW w:w="1173" w:type="dxa"/>
            <w:tcBorders>
              <w:top w:val="nil"/>
              <w:bottom w:val="single" w:sz="4" w:space="0" w:color="auto"/>
              <w:right w:val="nil"/>
            </w:tcBorders>
            <w:vAlign w:val="center"/>
          </w:tcPr>
          <w:p w:rsidR="00C548B4" w:rsidRPr="001A209B" w:rsidRDefault="00C548B4" w:rsidP="00876F3E">
            <w:pPr>
              <w:jc w:val="right"/>
              <w:rPr>
                <w:rFonts w:cs="Arial"/>
                <w:b/>
                <w:sz w:val="18"/>
                <w:szCs w:val="18"/>
              </w:rPr>
            </w:pPr>
            <w:r w:rsidRPr="001A209B">
              <w:rPr>
                <w:rFonts w:cs="Arial"/>
                <w:b/>
                <w:sz w:val="18"/>
                <w:szCs w:val="18"/>
              </w:rPr>
              <w:t>35</w:t>
            </w:r>
          </w:p>
        </w:tc>
        <w:tc>
          <w:tcPr>
            <w:tcW w:w="1173" w:type="dxa"/>
            <w:tcBorders>
              <w:top w:val="nil"/>
              <w:left w:val="nil"/>
              <w:bottom w:val="single" w:sz="4" w:space="0" w:color="auto"/>
              <w:right w:val="nil"/>
            </w:tcBorders>
            <w:vAlign w:val="center"/>
          </w:tcPr>
          <w:p w:rsidR="00C548B4" w:rsidRPr="001A209B" w:rsidRDefault="00C548B4" w:rsidP="00876F3E">
            <w:pPr>
              <w:jc w:val="right"/>
              <w:rPr>
                <w:rFonts w:cs="Arial"/>
                <w:sz w:val="18"/>
                <w:szCs w:val="18"/>
              </w:rPr>
            </w:pPr>
            <w:r w:rsidRPr="001A209B">
              <w:rPr>
                <w:rFonts w:cs="Arial"/>
                <w:sz w:val="18"/>
                <w:szCs w:val="18"/>
              </w:rPr>
              <w:t>33</w:t>
            </w:r>
          </w:p>
        </w:tc>
        <w:tc>
          <w:tcPr>
            <w:tcW w:w="1175" w:type="dxa"/>
            <w:tcBorders>
              <w:top w:val="nil"/>
              <w:left w:val="nil"/>
              <w:bottom w:val="single" w:sz="4" w:space="0" w:color="auto"/>
              <w:right w:val="nil"/>
            </w:tcBorders>
            <w:vAlign w:val="center"/>
          </w:tcPr>
          <w:p w:rsidR="00C548B4" w:rsidRPr="001A209B" w:rsidRDefault="00C548B4" w:rsidP="00876F3E">
            <w:pPr>
              <w:jc w:val="right"/>
              <w:rPr>
                <w:rFonts w:cs="Arial"/>
                <w:sz w:val="18"/>
                <w:szCs w:val="18"/>
              </w:rPr>
            </w:pPr>
            <w:r w:rsidRPr="001A209B">
              <w:rPr>
                <w:rFonts w:cs="Arial"/>
                <w:sz w:val="18"/>
                <w:szCs w:val="18"/>
              </w:rPr>
              <w:t>+210 bps</w:t>
            </w:r>
          </w:p>
        </w:tc>
        <w:tc>
          <w:tcPr>
            <w:tcW w:w="1177" w:type="dxa"/>
            <w:tcBorders>
              <w:top w:val="nil"/>
              <w:left w:val="nil"/>
              <w:bottom w:val="single" w:sz="4" w:space="0" w:color="auto"/>
              <w:right w:val="nil"/>
            </w:tcBorders>
            <w:vAlign w:val="center"/>
          </w:tcPr>
          <w:p w:rsidR="00C548B4" w:rsidRPr="001A209B" w:rsidRDefault="00C548B4" w:rsidP="00876F3E">
            <w:pPr>
              <w:jc w:val="right"/>
              <w:rPr>
                <w:rFonts w:cs="Arial"/>
                <w:sz w:val="18"/>
                <w:szCs w:val="18"/>
              </w:rPr>
            </w:pPr>
            <w:r w:rsidRPr="001A209B">
              <w:rPr>
                <w:rFonts w:cs="Arial"/>
                <w:sz w:val="18"/>
                <w:szCs w:val="18"/>
              </w:rPr>
              <w:t>+190 bps</w:t>
            </w:r>
          </w:p>
        </w:tc>
        <w:tc>
          <w:tcPr>
            <w:tcW w:w="1179" w:type="dxa"/>
            <w:tcBorders>
              <w:top w:val="nil"/>
              <w:left w:val="nil"/>
              <w:bottom w:val="single" w:sz="4" w:space="0" w:color="auto"/>
            </w:tcBorders>
            <w:vAlign w:val="center"/>
          </w:tcPr>
          <w:p w:rsidR="00C548B4" w:rsidRPr="001A209B" w:rsidRDefault="00C548B4" w:rsidP="00876F3E">
            <w:pPr>
              <w:jc w:val="right"/>
              <w:rPr>
                <w:rFonts w:cs="Arial"/>
                <w:sz w:val="18"/>
              </w:rPr>
            </w:pPr>
            <w:r w:rsidRPr="001A209B">
              <w:rPr>
                <w:rFonts w:cs="Arial"/>
                <w:sz w:val="18"/>
              </w:rPr>
              <w:t>+150 bps</w:t>
            </w:r>
          </w:p>
        </w:tc>
      </w:tr>
    </w:tbl>
    <w:p w:rsidR="00E24956" w:rsidRPr="001A209B" w:rsidRDefault="00DF39D3" w:rsidP="00853E15">
      <w:pPr>
        <w:spacing w:before="20" w:after="20"/>
        <w:jc w:val="both"/>
        <w:rPr>
          <w:rFonts w:cs="Arial"/>
          <w:bCs/>
          <w:i/>
          <w:sz w:val="16"/>
          <w:szCs w:val="16"/>
        </w:rPr>
      </w:pPr>
      <w:r w:rsidRPr="001A209B">
        <w:rPr>
          <w:rFonts w:cs="Arial"/>
          <w:i/>
          <w:sz w:val="18"/>
          <w:szCs w:val="18"/>
          <w:vertAlign w:val="superscript"/>
        </w:rPr>
        <w:t xml:space="preserve">1 </w:t>
      </w:r>
      <w:r w:rsidRPr="001A209B">
        <w:rPr>
          <w:rFonts w:cs="Arial"/>
          <w:bCs/>
          <w:i/>
          <w:sz w:val="16"/>
          <w:szCs w:val="16"/>
        </w:rPr>
        <w:t>See page 1</w:t>
      </w:r>
      <w:r w:rsidR="007A266C" w:rsidRPr="001A209B">
        <w:rPr>
          <w:rFonts w:cs="Arial"/>
          <w:bCs/>
          <w:i/>
          <w:sz w:val="16"/>
          <w:szCs w:val="16"/>
        </w:rPr>
        <w:t>1</w:t>
      </w:r>
      <w:r w:rsidRPr="001A209B">
        <w:rPr>
          <w:rFonts w:cs="Arial"/>
          <w:bCs/>
          <w:i/>
          <w:sz w:val="16"/>
          <w:szCs w:val="16"/>
        </w:rPr>
        <w:t xml:space="preserve"> for basis of presentation.</w:t>
      </w:r>
    </w:p>
    <w:p w:rsidR="00DF39D3" w:rsidRPr="001A209B" w:rsidRDefault="00DF39D3" w:rsidP="00853E15">
      <w:pPr>
        <w:spacing w:before="20" w:after="20"/>
        <w:jc w:val="both"/>
        <w:rPr>
          <w:rFonts w:cs="Arial"/>
          <w:b/>
          <w:bCs/>
          <w:color w:val="A60D1F"/>
          <w:sz w:val="18"/>
          <w:szCs w:val="18"/>
        </w:rPr>
      </w:pPr>
    </w:p>
    <w:p w:rsidR="005D5FC1" w:rsidRPr="001A209B" w:rsidRDefault="00360440" w:rsidP="00853E15">
      <w:pPr>
        <w:spacing w:before="20" w:after="20"/>
        <w:jc w:val="both"/>
        <w:rPr>
          <w:rFonts w:cs="Arial"/>
          <w:bCs/>
          <w:sz w:val="18"/>
          <w:szCs w:val="18"/>
        </w:rPr>
      </w:pPr>
      <w:r w:rsidRPr="001A209B">
        <w:rPr>
          <w:rFonts w:cs="Arial"/>
          <w:bCs/>
          <w:sz w:val="18"/>
          <w:szCs w:val="18"/>
        </w:rPr>
        <w:t>Our</w:t>
      </w:r>
      <w:r w:rsidR="005D5FC1" w:rsidRPr="001A209B">
        <w:rPr>
          <w:rFonts w:cs="Arial"/>
          <w:bCs/>
          <w:sz w:val="18"/>
          <w:szCs w:val="18"/>
        </w:rPr>
        <w:t xml:space="preserve"> financial delivery</w:t>
      </w:r>
      <w:r w:rsidRPr="001A209B">
        <w:rPr>
          <w:rFonts w:cs="Arial"/>
          <w:bCs/>
          <w:sz w:val="18"/>
          <w:szCs w:val="18"/>
        </w:rPr>
        <w:t xml:space="preserve"> </w:t>
      </w:r>
      <w:r w:rsidR="00990609" w:rsidRPr="001A209B">
        <w:rPr>
          <w:rFonts w:cs="Arial"/>
          <w:bCs/>
          <w:sz w:val="18"/>
          <w:szCs w:val="18"/>
        </w:rPr>
        <w:t xml:space="preserve">in Returns South, particularly in France, Spain and Morocco, </w:t>
      </w:r>
      <w:r w:rsidRPr="001A209B">
        <w:rPr>
          <w:rFonts w:cs="Arial"/>
          <w:bCs/>
          <w:sz w:val="18"/>
          <w:szCs w:val="18"/>
        </w:rPr>
        <w:t>was impacted by the weak operating environment</w:t>
      </w:r>
      <w:r w:rsidR="00D37F13" w:rsidRPr="001A209B">
        <w:rPr>
          <w:rFonts w:cs="Arial"/>
          <w:bCs/>
          <w:sz w:val="18"/>
          <w:szCs w:val="18"/>
        </w:rPr>
        <w:t xml:space="preserve">. </w:t>
      </w:r>
      <w:r w:rsidRPr="001A209B">
        <w:rPr>
          <w:rFonts w:cs="Arial"/>
          <w:bCs/>
          <w:sz w:val="18"/>
          <w:szCs w:val="18"/>
        </w:rPr>
        <w:t>O</w:t>
      </w:r>
      <w:r w:rsidR="005D5FC1" w:rsidRPr="001A209B">
        <w:rPr>
          <w:rFonts w:cs="Arial"/>
          <w:bCs/>
          <w:sz w:val="18"/>
          <w:szCs w:val="18"/>
        </w:rPr>
        <w:t xml:space="preserve">ur focus on improving the quality of our growth was </w:t>
      </w:r>
      <w:r w:rsidR="00FB0451" w:rsidRPr="001A209B">
        <w:rPr>
          <w:rFonts w:cs="Arial"/>
          <w:bCs/>
          <w:sz w:val="18"/>
          <w:szCs w:val="18"/>
        </w:rPr>
        <w:t xml:space="preserve">reflected in the development of our Growth Brands which </w:t>
      </w:r>
      <w:r w:rsidR="005D5FC1" w:rsidRPr="001A209B">
        <w:rPr>
          <w:rFonts w:cs="Arial"/>
          <w:bCs/>
          <w:sz w:val="18"/>
          <w:szCs w:val="18"/>
        </w:rPr>
        <w:t xml:space="preserve">accounted for </w:t>
      </w:r>
      <w:r w:rsidR="003C5BC3" w:rsidRPr="001A209B">
        <w:rPr>
          <w:rFonts w:cs="Arial"/>
          <w:bCs/>
          <w:sz w:val="18"/>
          <w:szCs w:val="18"/>
        </w:rPr>
        <w:t>35</w:t>
      </w:r>
      <w:r w:rsidR="005D5FC1" w:rsidRPr="001A209B">
        <w:rPr>
          <w:rFonts w:cs="Arial"/>
          <w:bCs/>
          <w:sz w:val="18"/>
          <w:szCs w:val="18"/>
        </w:rPr>
        <w:t xml:space="preserve"> per cent of tobacco net revenue,</w:t>
      </w:r>
      <w:r w:rsidR="00D76958" w:rsidRPr="001A209B">
        <w:rPr>
          <w:rFonts w:cs="Arial"/>
          <w:bCs/>
          <w:sz w:val="18"/>
          <w:szCs w:val="18"/>
        </w:rPr>
        <w:t xml:space="preserve"> up from </w:t>
      </w:r>
      <w:r w:rsidR="003C5BC3" w:rsidRPr="001A209B">
        <w:rPr>
          <w:rFonts w:cs="Arial"/>
          <w:bCs/>
          <w:sz w:val="18"/>
          <w:szCs w:val="18"/>
        </w:rPr>
        <w:t>33</w:t>
      </w:r>
      <w:r w:rsidR="00D76958" w:rsidRPr="001A209B">
        <w:rPr>
          <w:rFonts w:cs="Arial"/>
          <w:bCs/>
          <w:sz w:val="18"/>
          <w:szCs w:val="18"/>
        </w:rPr>
        <w:t xml:space="preserve"> per cent last year.</w:t>
      </w:r>
    </w:p>
    <w:p w:rsidR="005D5FC1" w:rsidRPr="001A209B" w:rsidRDefault="005D5FC1" w:rsidP="00853E15">
      <w:pPr>
        <w:spacing w:before="20" w:after="20"/>
        <w:jc w:val="both"/>
        <w:rPr>
          <w:rFonts w:cs="Arial"/>
          <w:b/>
          <w:sz w:val="18"/>
          <w:szCs w:val="18"/>
          <w:u w:val="single"/>
        </w:rPr>
      </w:pPr>
    </w:p>
    <w:tbl>
      <w:tblPr>
        <w:tblW w:w="5000" w:type="pct"/>
        <w:jc w:val="center"/>
        <w:tblLook w:val="01E0" w:firstRow="1" w:lastRow="1" w:firstColumn="1" w:lastColumn="1" w:noHBand="0" w:noVBand="0"/>
      </w:tblPr>
      <w:tblGrid>
        <w:gridCol w:w="1494"/>
        <w:gridCol w:w="7772"/>
      </w:tblGrid>
      <w:tr w:rsidR="00BF0866" w:rsidRPr="001A209B" w:rsidTr="004D5B7B">
        <w:trPr>
          <w:cantSplit/>
          <w:jc w:val="center"/>
        </w:trPr>
        <w:tc>
          <w:tcPr>
            <w:tcW w:w="806" w:type="pct"/>
            <w:tcBorders>
              <w:bottom w:val="single" w:sz="4" w:space="0" w:color="auto"/>
            </w:tcBorders>
          </w:tcPr>
          <w:p w:rsidR="00BF0866" w:rsidRPr="001A209B" w:rsidRDefault="00BF0866" w:rsidP="00041ADA">
            <w:pPr>
              <w:spacing w:before="20" w:after="20"/>
              <w:rPr>
                <w:rFonts w:cs="Arial"/>
                <w:b/>
                <w:color w:val="A60D1F"/>
                <w:sz w:val="18"/>
                <w:szCs w:val="18"/>
              </w:rPr>
            </w:pPr>
            <w:r w:rsidRPr="001A209B">
              <w:rPr>
                <w:rFonts w:cs="Arial"/>
                <w:b/>
                <w:color w:val="A60D1F"/>
                <w:sz w:val="18"/>
                <w:szCs w:val="18"/>
              </w:rPr>
              <w:t>Country</w:t>
            </w:r>
          </w:p>
        </w:tc>
        <w:tc>
          <w:tcPr>
            <w:tcW w:w="4194" w:type="pct"/>
            <w:tcBorders>
              <w:bottom w:val="single" w:sz="4" w:space="0" w:color="auto"/>
            </w:tcBorders>
          </w:tcPr>
          <w:p w:rsidR="00BF0866" w:rsidRPr="001A209B" w:rsidRDefault="00BF0866" w:rsidP="009536D1">
            <w:pPr>
              <w:spacing w:before="20" w:after="20"/>
              <w:jc w:val="both"/>
              <w:rPr>
                <w:rFonts w:cs="Arial"/>
                <w:b/>
                <w:color w:val="A60D1F"/>
                <w:sz w:val="18"/>
                <w:szCs w:val="18"/>
              </w:rPr>
            </w:pPr>
            <w:r w:rsidRPr="001A209B">
              <w:rPr>
                <w:rFonts w:cs="Arial"/>
                <w:b/>
                <w:color w:val="A60D1F"/>
                <w:sz w:val="18"/>
                <w:szCs w:val="18"/>
              </w:rPr>
              <w:t>Performance</w:t>
            </w:r>
          </w:p>
        </w:tc>
      </w:tr>
      <w:tr w:rsidR="00BF0866" w:rsidRPr="001A209B" w:rsidTr="004D5B7B">
        <w:trPr>
          <w:cantSplit/>
          <w:jc w:val="center"/>
        </w:trPr>
        <w:tc>
          <w:tcPr>
            <w:tcW w:w="806" w:type="pct"/>
            <w:tcBorders>
              <w:top w:val="single" w:sz="4" w:space="0" w:color="auto"/>
            </w:tcBorders>
            <w:shd w:val="clear" w:color="auto" w:fill="auto"/>
          </w:tcPr>
          <w:p w:rsidR="00BF0866" w:rsidRPr="001A209B" w:rsidRDefault="00F24C8C" w:rsidP="00041ADA">
            <w:pPr>
              <w:spacing w:before="20" w:after="20"/>
              <w:rPr>
                <w:rFonts w:cs="Arial"/>
                <w:sz w:val="18"/>
                <w:szCs w:val="18"/>
              </w:rPr>
            </w:pPr>
            <w:r w:rsidRPr="001A209B">
              <w:rPr>
                <w:rFonts w:cs="Arial"/>
                <w:sz w:val="18"/>
                <w:szCs w:val="18"/>
              </w:rPr>
              <w:t>Algeria</w:t>
            </w:r>
          </w:p>
        </w:tc>
        <w:tc>
          <w:tcPr>
            <w:tcW w:w="4194" w:type="pct"/>
            <w:tcBorders>
              <w:top w:val="single" w:sz="4" w:space="0" w:color="auto"/>
            </w:tcBorders>
            <w:shd w:val="clear" w:color="auto" w:fill="auto"/>
          </w:tcPr>
          <w:p w:rsidR="004E5D4C" w:rsidRPr="001A209B" w:rsidRDefault="00795F2B" w:rsidP="009536D1">
            <w:pPr>
              <w:spacing w:before="20" w:after="20"/>
              <w:jc w:val="both"/>
              <w:rPr>
                <w:rFonts w:cs="Arial"/>
                <w:sz w:val="18"/>
                <w:szCs w:val="18"/>
              </w:rPr>
            </w:pPr>
            <w:r w:rsidRPr="001A209B">
              <w:rPr>
                <w:rFonts w:cs="Arial"/>
                <w:sz w:val="18"/>
                <w:szCs w:val="18"/>
              </w:rPr>
              <w:t xml:space="preserve">Gauloises Blondes and West maintained their growth momentum with both brands </w:t>
            </w:r>
            <w:r w:rsidR="004E4E82" w:rsidRPr="001A209B">
              <w:rPr>
                <w:rFonts w:cs="Arial"/>
                <w:sz w:val="18"/>
                <w:szCs w:val="18"/>
              </w:rPr>
              <w:t xml:space="preserve">gaining </w:t>
            </w:r>
            <w:r w:rsidRPr="001A209B">
              <w:rPr>
                <w:rFonts w:cs="Arial"/>
                <w:sz w:val="18"/>
                <w:szCs w:val="18"/>
              </w:rPr>
              <w:t xml:space="preserve">volume and </w:t>
            </w:r>
            <w:r w:rsidR="004E4E82" w:rsidRPr="001A209B">
              <w:rPr>
                <w:rFonts w:cs="Arial"/>
                <w:sz w:val="18"/>
                <w:szCs w:val="18"/>
              </w:rPr>
              <w:t>share</w:t>
            </w:r>
            <w:r w:rsidRPr="001A209B">
              <w:rPr>
                <w:rFonts w:cs="Arial"/>
                <w:sz w:val="18"/>
                <w:szCs w:val="18"/>
              </w:rPr>
              <w:t>.</w:t>
            </w:r>
          </w:p>
        </w:tc>
      </w:tr>
      <w:tr w:rsidR="004E5D4C" w:rsidRPr="001A209B" w:rsidTr="004D5B7B">
        <w:trPr>
          <w:cantSplit/>
          <w:jc w:val="center"/>
        </w:trPr>
        <w:tc>
          <w:tcPr>
            <w:tcW w:w="806" w:type="pct"/>
            <w:shd w:val="clear" w:color="auto" w:fill="auto"/>
          </w:tcPr>
          <w:p w:rsidR="004E5D4C" w:rsidRPr="001A209B" w:rsidRDefault="004E5D4C" w:rsidP="00041ADA">
            <w:pPr>
              <w:spacing w:before="20" w:after="20"/>
              <w:rPr>
                <w:rFonts w:cs="Arial"/>
                <w:sz w:val="18"/>
                <w:szCs w:val="18"/>
              </w:rPr>
            </w:pPr>
            <w:r w:rsidRPr="001A209B">
              <w:rPr>
                <w:rFonts w:cs="Arial"/>
                <w:sz w:val="18"/>
                <w:szCs w:val="18"/>
              </w:rPr>
              <w:t>Ivory Coast</w:t>
            </w:r>
          </w:p>
        </w:tc>
        <w:tc>
          <w:tcPr>
            <w:tcW w:w="4194" w:type="pct"/>
            <w:shd w:val="clear" w:color="auto" w:fill="auto"/>
          </w:tcPr>
          <w:p w:rsidR="004E5D4C" w:rsidRPr="001A209B" w:rsidRDefault="004E5D4C" w:rsidP="009536D1">
            <w:pPr>
              <w:spacing w:before="20" w:after="20"/>
              <w:jc w:val="both"/>
              <w:rPr>
                <w:rFonts w:cs="Arial"/>
                <w:sz w:val="18"/>
                <w:szCs w:val="18"/>
              </w:rPr>
            </w:pPr>
            <w:r w:rsidRPr="001A209B">
              <w:rPr>
                <w:rFonts w:cs="Arial"/>
                <w:sz w:val="18"/>
                <w:szCs w:val="18"/>
              </w:rPr>
              <w:t>Further gains from Fine continued to underpin our market leading position.</w:t>
            </w:r>
          </w:p>
        </w:tc>
      </w:tr>
      <w:tr w:rsidR="00041ADA" w:rsidRPr="001A209B" w:rsidTr="004D5B7B">
        <w:trPr>
          <w:cantSplit/>
          <w:jc w:val="center"/>
        </w:trPr>
        <w:tc>
          <w:tcPr>
            <w:tcW w:w="806" w:type="pct"/>
            <w:shd w:val="clear" w:color="auto" w:fill="auto"/>
          </w:tcPr>
          <w:p w:rsidR="00041ADA" w:rsidRPr="001A209B" w:rsidRDefault="00041ADA" w:rsidP="00041ADA">
            <w:pPr>
              <w:spacing w:before="20" w:after="20"/>
              <w:rPr>
                <w:rFonts w:cs="Arial"/>
                <w:sz w:val="18"/>
                <w:szCs w:val="18"/>
              </w:rPr>
            </w:pPr>
            <w:r w:rsidRPr="001A209B">
              <w:rPr>
                <w:rFonts w:cs="Arial"/>
                <w:sz w:val="18"/>
                <w:szCs w:val="18"/>
              </w:rPr>
              <w:t>France</w:t>
            </w:r>
          </w:p>
        </w:tc>
        <w:tc>
          <w:tcPr>
            <w:tcW w:w="4194" w:type="pct"/>
            <w:shd w:val="clear" w:color="auto" w:fill="auto"/>
          </w:tcPr>
          <w:p w:rsidR="00041ADA" w:rsidRPr="001A209B" w:rsidRDefault="00520115" w:rsidP="009536D1">
            <w:pPr>
              <w:spacing w:before="20" w:after="20"/>
              <w:jc w:val="both"/>
              <w:rPr>
                <w:rFonts w:cs="Arial"/>
                <w:sz w:val="18"/>
                <w:szCs w:val="18"/>
              </w:rPr>
            </w:pPr>
            <w:r w:rsidRPr="001A209B">
              <w:rPr>
                <w:rFonts w:cs="Arial"/>
                <w:sz w:val="18"/>
                <w:szCs w:val="18"/>
              </w:rPr>
              <w:t>Against a background of weak industry volumes w</w:t>
            </w:r>
            <w:r w:rsidR="004E5D4C" w:rsidRPr="001A209B">
              <w:rPr>
                <w:rFonts w:cs="Arial"/>
                <w:sz w:val="18"/>
                <w:szCs w:val="18"/>
              </w:rPr>
              <w:t xml:space="preserve">e have particularly focused on capitalising on growth in make your own with </w:t>
            </w:r>
            <w:r w:rsidR="00041ADA" w:rsidRPr="001A209B">
              <w:rPr>
                <w:rFonts w:cs="Arial"/>
                <w:sz w:val="18"/>
                <w:szCs w:val="18"/>
              </w:rPr>
              <w:t>Gauloises Blondes and News.</w:t>
            </w:r>
            <w:r w:rsidR="00D37F13" w:rsidRPr="001A209B">
              <w:rPr>
                <w:rFonts w:cs="Arial"/>
                <w:sz w:val="18"/>
                <w:szCs w:val="18"/>
              </w:rPr>
              <w:t xml:space="preserve"> </w:t>
            </w:r>
          </w:p>
        </w:tc>
      </w:tr>
      <w:tr w:rsidR="00041ADA" w:rsidRPr="001A209B" w:rsidTr="004D5B7B">
        <w:trPr>
          <w:cantSplit/>
          <w:jc w:val="center"/>
        </w:trPr>
        <w:tc>
          <w:tcPr>
            <w:tcW w:w="806" w:type="pct"/>
            <w:shd w:val="clear" w:color="auto" w:fill="auto"/>
          </w:tcPr>
          <w:p w:rsidR="00041ADA" w:rsidRPr="001A209B" w:rsidRDefault="00041ADA" w:rsidP="00041ADA">
            <w:pPr>
              <w:spacing w:before="20" w:after="20"/>
              <w:rPr>
                <w:rFonts w:cs="Arial"/>
                <w:sz w:val="18"/>
                <w:szCs w:val="18"/>
              </w:rPr>
            </w:pPr>
            <w:r w:rsidRPr="001A209B">
              <w:rPr>
                <w:rFonts w:cs="Arial"/>
                <w:sz w:val="18"/>
                <w:szCs w:val="18"/>
              </w:rPr>
              <w:t>Spain</w:t>
            </w:r>
          </w:p>
        </w:tc>
        <w:tc>
          <w:tcPr>
            <w:tcW w:w="4194" w:type="pct"/>
            <w:shd w:val="clear" w:color="auto" w:fill="auto"/>
          </w:tcPr>
          <w:p w:rsidR="00041ADA" w:rsidRPr="001A209B" w:rsidRDefault="00041ADA" w:rsidP="009536D1">
            <w:pPr>
              <w:spacing w:before="20" w:after="20"/>
              <w:jc w:val="both"/>
              <w:rPr>
                <w:rFonts w:cs="Arial"/>
                <w:sz w:val="18"/>
                <w:szCs w:val="18"/>
              </w:rPr>
            </w:pPr>
            <w:r w:rsidRPr="001A209B">
              <w:rPr>
                <w:rFonts w:cs="Arial"/>
                <w:sz w:val="18"/>
                <w:szCs w:val="18"/>
              </w:rPr>
              <w:t xml:space="preserve">Marked declines in industry volumes impacted </w:t>
            </w:r>
            <w:r w:rsidR="00B22223" w:rsidRPr="001A209B">
              <w:rPr>
                <w:rFonts w:cs="Arial"/>
                <w:sz w:val="18"/>
                <w:szCs w:val="18"/>
              </w:rPr>
              <w:t>our overall performance but o</w:t>
            </w:r>
            <w:r w:rsidRPr="001A209B">
              <w:rPr>
                <w:rFonts w:cs="Arial"/>
                <w:sz w:val="18"/>
                <w:szCs w:val="18"/>
              </w:rPr>
              <w:t>ur total tobacco focu</w:t>
            </w:r>
            <w:r w:rsidR="001C007F" w:rsidRPr="001A209B">
              <w:rPr>
                <w:rFonts w:cs="Arial"/>
                <w:sz w:val="18"/>
                <w:szCs w:val="18"/>
              </w:rPr>
              <w:t>s generated portfolio gains</w:t>
            </w:r>
            <w:r w:rsidR="00B22223" w:rsidRPr="001A209B">
              <w:rPr>
                <w:rFonts w:cs="Arial"/>
                <w:sz w:val="18"/>
                <w:szCs w:val="18"/>
              </w:rPr>
              <w:t xml:space="preserve">. We improved our blonde cigarette share and JPS delivered excellent </w:t>
            </w:r>
            <w:r w:rsidR="001C007F" w:rsidRPr="001A209B">
              <w:rPr>
                <w:rFonts w:cs="Arial"/>
                <w:sz w:val="18"/>
                <w:szCs w:val="18"/>
              </w:rPr>
              <w:t>fine cut tobacco volume growth.</w:t>
            </w:r>
          </w:p>
        </w:tc>
      </w:tr>
      <w:tr w:rsidR="00041ADA" w:rsidRPr="001A209B" w:rsidTr="004D5B7B">
        <w:trPr>
          <w:cantSplit/>
          <w:jc w:val="center"/>
        </w:trPr>
        <w:tc>
          <w:tcPr>
            <w:tcW w:w="806" w:type="pct"/>
            <w:shd w:val="clear" w:color="auto" w:fill="auto"/>
          </w:tcPr>
          <w:p w:rsidR="00041ADA" w:rsidRPr="001A209B" w:rsidRDefault="00041ADA" w:rsidP="00041ADA">
            <w:pPr>
              <w:spacing w:before="20" w:after="20"/>
              <w:rPr>
                <w:rFonts w:cs="Arial"/>
                <w:sz w:val="18"/>
                <w:szCs w:val="18"/>
              </w:rPr>
            </w:pPr>
            <w:r w:rsidRPr="001A209B">
              <w:rPr>
                <w:rFonts w:cs="Arial"/>
                <w:sz w:val="18"/>
                <w:szCs w:val="18"/>
              </w:rPr>
              <w:t>Czech Republic</w:t>
            </w:r>
          </w:p>
        </w:tc>
        <w:tc>
          <w:tcPr>
            <w:tcW w:w="4194" w:type="pct"/>
            <w:shd w:val="clear" w:color="auto" w:fill="auto"/>
          </w:tcPr>
          <w:p w:rsidR="00041ADA" w:rsidRPr="001A209B" w:rsidRDefault="00041ADA" w:rsidP="009536D1">
            <w:pPr>
              <w:spacing w:before="20" w:after="20"/>
              <w:jc w:val="both"/>
              <w:rPr>
                <w:rFonts w:cs="Arial"/>
                <w:sz w:val="18"/>
                <w:szCs w:val="18"/>
              </w:rPr>
            </w:pPr>
            <w:r w:rsidRPr="001A209B">
              <w:rPr>
                <w:rFonts w:cs="Arial"/>
                <w:sz w:val="18"/>
                <w:szCs w:val="18"/>
              </w:rPr>
              <w:t xml:space="preserve">Market share gains were driven by Davidoff, West and Parker &amp; Simpson. We strengthened our presence in the </w:t>
            </w:r>
            <w:r w:rsidR="00BA1D01" w:rsidRPr="001A209B">
              <w:rPr>
                <w:rFonts w:cs="Arial"/>
                <w:sz w:val="18"/>
                <w:szCs w:val="18"/>
              </w:rPr>
              <w:t xml:space="preserve">crushball cigarette segment </w:t>
            </w:r>
            <w:r w:rsidRPr="001A209B">
              <w:rPr>
                <w:rFonts w:cs="Arial"/>
                <w:sz w:val="18"/>
                <w:szCs w:val="18"/>
              </w:rPr>
              <w:t xml:space="preserve">with </w:t>
            </w:r>
            <w:r w:rsidR="00BA1D01" w:rsidRPr="001A209B">
              <w:rPr>
                <w:rFonts w:cs="Arial"/>
                <w:sz w:val="18"/>
                <w:szCs w:val="18"/>
              </w:rPr>
              <w:t xml:space="preserve">Parker &amp; Simpson Duo and </w:t>
            </w:r>
            <w:r w:rsidRPr="001A209B">
              <w:rPr>
                <w:rFonts w:cs="Arial"/>
                <w:sz w:val="18"/>
                <w:szCs w:val="18"/>
              </w:rPr>
              <w:t>launched Parker &amp; Simpson make your own tobacco to capitalise on another high growth segment.</w:t>
            </w:r>
          </w:p>
        </w:tc>
      </w:tr>
      <w:tr w:rsidR="00041ADA" w:rsidRPr="001A209B" w:rsidTr="004D5B7B">
        <w:trPr>
          <w:cantSplit/>
          <w:jc w:val="center"/>
        </w:trPr>
        <w:tc>
          <w:tcPr>
            <w:tcW w:w="806" w:type="pct"/>
            <w:shd w:val="clear" w:color="auto" w:fill="auto"/>
          </w:tcPr>
          <w:p w:rsidR="00041ADA" w:rsidRPr="001A209B" w:rsidRDefault="00041ADA" w:rsidP="00041ADA">
            <w:pPr>
              <w:spacing w:before="20" w:after="20"/>
              <w:rPr>
                <w:rFonts w:cs="Arial"/>
                <w:sz w:val="18"/>
                <w:szCs w:val="18"/>
              </w:rPr>
            </w:pPr>
            <w:r w:rsidRPr="001A209B">
              <w:rPr>
                <w:rFonts w:cs="Arial"/>
                <w:sz w:val="18"/>
                <w:szCs w:val="18"/>
              </w:rPr>
              <w:t>Portugal</w:t>
            </w:r>
          </w:p>
        </w:tc>
        <w:tc>
          <w:tcPr>
            <w:tcW w:w="4194" w:type="pct"/>
            <w:shd w:val="clear" w:color="auto" w:fill="auto"/>
          </w:tcPr>
          <w:p w:rsidR="00041ADA" w:rsidRPr="001A209B" w:rsidRDefault="00E874B0" w:rsidP="009536D1">
            <w:pPr>
              <w:spacing w:before="20" w:after="20"/>
              <w:jc w:val="both"/>
              <w:rPr>
                <w:rFonts w:cs="Arial"/>
                <w:sz w:val="18"/>
                <w:szCs w:val="18"/>
              </w:rPr>
            </w:pPr>
            <w:r w:rsidRPr="001A209B">
              <w:rPr>
                <w:rFonts w:cs="Arial"/>
                <w:sz w:val="18"/>
                <w:szCs w:val="18"/>
              </w:rPr>
              <w:t>JPS continued</w:t>
            </w:r>
            <w:r w:rsidR="00BA1D01" w:rsidRPr="001A209B">
              <w:rPr>
                <w:rFonts w:cs="Arial"/>
                <w:sz w:val="18"/>
                <w:szCs w:val="18"/>
              </w:rPr>
              <w:t xml:space="preserve"> to make progress; our cigarette share </w:t>
            </w:r>
            <w:r w:rsidR="00B22223" w:rsidRPr="001A209B">
              <w:rPr>
                <w:rFonts w:cs="Arial"/>
                <w:sz w:val="18"/>
                <w:szCs w:val="18"/>
              </w:rPr>
              <w:t>increased</w:t>
            </w:r>
            <w:r w:rsidR="00BA1D01" w:rsidRPr="001A209B">
              <w:rPr>
                <w:rFonts w:cs="Arial"/>
                <w:sz w:val="18"/>
                <w:szCs w:val="18"/>
              </w:rPr>
              <w:t xml:space="preserve"> and we </w:t>
            </w:r>
            <w:r w:rsidRPr="001A209B">
              <w:rPr>
                <w:rFonts w:cs="Arial"/>
                <w:sz w:val="18"/>
                <w:szCs w:val="18"/>
              </w:rPr>
              <w:t xml:space="preserve">considerably improved </w:t>
            </w:r>
            <w:r w:rsidR="00BA1D01" w:rsidRPr="001A209B">
              <w:rPr>
                <w:rFonts w:cs="Arial"/>
                <w:sz w:val="18"/>
                <w:szCs w:val="18"/>
              </w:rPr>
              <w:t>our fine cut tobacco share</w:t>
            </w:r>
            <w:r w:rsidR="00F06044" w:rsidRPr="001A209B">
              <w:rPr>
                <w:rFonts w:cs="Arial"/>
                <w:sz w:val="18"/>
                <w:szCs w:val="18"/>
              </w:rPr>
              <w:t>.</w:t>
            </w:r>
          </w:p>
        </w:tc>
      </w:tr>
      <w:tr w:rsidR="00BF0866" w:rsidRPr="001A209B" w:rsidTr="004D5B7B">
        <w:trPr>
          <w:cantSplit/>
          <w:jc w:val="center"/>
        </w:trPr>
        <w:tc>
          <w:tcPr>
            <w:tcW w:w="806" w:type="pct"/>
            <w:shd w:val="clear" w:color="auto" w:fill="auto"/>
          </w:tcPr>
          <w:p w:rsidR="00BF0866" w:rsidRPr="001A209B" w:rsidRDefault="00041ADA" w:rsidP="00041ADA">
            <w:pPr>
              <w:spacing w:before="20" w:after="20"/>
              <w:rPr>
                <w:rFonts w:cs="Arial"/>
                <w:sz w:val="18"/>
                <w:szCs w:val="18"/>
              </w:rPr>
            </w:pPr>
            <w:r w:rsidRPr="001A209B">
              <w:rPr>
                <w:rFonts w:cs="Arial"/>
                <w:sz w:val="18"/>
                <w:szCs w:val="18"/>
              </w:rPr>
              <w:t>Morocco</w:t>
            </w:r>
          </w:p>
        </w:tc>
        <w:tc>
          <w:tcPr>
            <w:tcW w:w="4194" w:type="pct"/>
            <w:shd w:val="clear" w:color="auto" w:fill="auto"/>
          </w:tcPr>
          <w:p w:rsidR="00BF0866" w:rsidRPr="001A209B" w:rsidRDefault="00582818" w:rsidP="009536D1">
            <w:pPr>
              <w:spacing w:before="20" w:after="20"/>
              <w:jc w:val="both"/>
              <w:rPr>
                <w:rFonts w:cs="Arial"/>
                <w:sz w:val="18"/>
                <w:szCs w:val="18"/>
              </w:rPr>
            </w:pPr>
            <w:r w:rsidRPr="001A209B">
              <w:rPr>
                <w:rFonts w:cs="Arial"/>
                <w:sz w:val="18"/>
                <w:szCs w:val="18"/>
              </w:rPr>
              <w:t>We have been developing our portfolio to strengthen our position in a challenging market. We have launched a number of new products including MQS, a modern variant of our local brand Marquise, and Gauloises and Marquise fine cut tobacco.</w:t>
            </w:r>
          </w:p>
        </w:tc>
      </w:tr>
    </w:tbl>
    <w:p w:rsidR="00785CE1" w:rsidRPr="001A209B" w:rsidRDefault="00785CE1">
      <w:pPr>
        <w:rPr>
          <w:rFonts w:cs="Arial"/>
          <w:sz w:val="18"/>
          <w:szCs w:val="18"/>
        </w:rPr>
      </w:pPr>
      <w:r w:rsidRPr="001A209B">
        <w:rPr>
          <w:rFonts w:cs="Arial"/>
          <w:sz w:val="18"/>
          <w:szCs w:val="18"/>
        </w:rPr>
        <w:br w:type="page"/>
      </w:r>
    </w:p>
    <w:p w:rsidR="00CC4D04" w:rsidRPr="001A209B" w:rsidRDefault="00CC4D04" w:rsidP="00CC4D04">
      <w:pPr>
        <w:pBdr>
          <w:top w:val="single" w:sz="24" w:space="1" w:color="A60D1F"/>
          <w:left w:val="single" w:sz="24" w:space="4" w:color="A60D1F"/>
          <w:bottom w:val="single" w:sz="24" w:space="1" w:color="A60D1F"/>
          <w:right w:val="single" w:sz="24" w:space="4" w:color="A60D1F"/>
        </w:pBdr>
        <w:spacing w:before="20" w:after="20"/>
        <w:jc w:val="center"/>
        <w:rPr>
          <w:rFonts w:cs="Arial"/>
          <w:b/>
          <w:color w:val="A60D1F"/>
          <w:sz w:val="18"/>
          <w:szCs w:val="18"/>
        </w:rPr>
      </w:pPr>
      <w:r w:rsidRPr="001A209B">
        <w:rPr>
          <w:rFonts w:cs="Arial"/>
          <w:b/>
          <w:color w:val="A60D1F"/>
          <w:sz w:val="18"/>
          <w:szCs w:val="18"/>
        </w:rPr>
        <w:t>FINANCIAL REVIEW</w:t>
      </w:r>
    </w:p>
    <w:p w:rsidR="006A4D37" w:rsidRPr="001A209B" w:rsidRDefault="006A4D37" w:rsidP="00853E15">
      <w:pPr>
        <w:shd w:val="clear" w:color="auto" w:fill="FFFFFF"/>
        <w:spacing w:before="20" w:after="20"/>
        <w:jc w:val="both"/>
        <w:rPr>
          <w:rFonts w:cs="Arial"/>
          <w:sz w:val="18"/>
          <w:szCs w:val="18"/>
        </w:rPr>
      </w:pPr>
    </w:p>
    <w:p w:rsidR="00935702" w:rsidRPr="001A209B" w:rsidRDefault="00935702" w:rsidP="00935702">
      <w:pPr>
        <w:shd w:val="clear" w:color="auto" w:fill="FFFFFF"/>
        <w:spacing w:before="20" w:after="20"/>
        <w:jc w:val="both"/>
        <w:rPr>
          <w:rFonts w:cs="Arial"/>
          <w:sz w:val="18"/>
          <w:szCs w:val="18"/>
        </w:rPr>
      </w:pPr>
      <w:r w:rsidRPr="001A209B">
        <w:rPr>
          <w:rFonts w:cs="Arial"/>
          <w:sz w:val="18"/>
          <w:szCs w:val="18"/>
        </w:rPr>
        <w:t>When managing the performance of our business we focus on non-GAAP measures which we refer to as adjusted measures. We believe they provide a useful comparison of performance from one period to the next. These adjusted measures are supplementary to, and should not be regarded as a substitute for, GAAP measures, which we refer to as reported measures. The basis of our adjusted measures is explained in our accounting policies accompanying our financial statements, and reconciliations between reported and adjusted measures are included in the appropriate notes to our financial statements. In discussing our results below, percentage growth figures for our adjusted results are given on a constant currency basis, where the effects of exchange rate movements on the translation of the results of our overseas operations are removed.</w:t>
      </w:r>
    </w:p>
    <w:p w:rsidR="00935702" w:rsidRPr="001A209B" w:rsidRDefault="00935702" w:rsidP="00935702">
      <w:pPr>
        <w:shd w:val="clear" w:color="auto" w:fill="FFFFFF"/>
        <w:spacing w:before="20" w:after="20"/>
        <w:jc w:val="both"/>
        <w:rPr>
          <w:rFonts w:cs="Arial"/>
          <w:sz w:val="18"/>
          <w:szCs w:val="18"/>
        </w:rPr>
      </w:pPr>
    </w:p>
    <w:tbl>
      <w:tblPr>
        <w:tblpPr w:leftFromText="180" w:rightFromText="180" w:vertAnchor="text" w:horzAnchor="margin" w:tblpY="77"/>
        <w:tblW w:w="5047" w:type="pct"/>
        <w:tblCellMar>
          <w:top w:w="28" w:type="dxa"/>
          <w:left w:w="57" w:type="dxa"/>
          <w:bottom w:w="28" w:type="dxa"/>
          <w:right w:w="57" w:type="dxa"/>
        </w:tblCellMar>
        <w:tblLook w:val="0000" w:firstRow="0" w:lastRow="0" w:firstColumn="0" w:lastColumn="0" w:noHBand="0" w:noVBand="0"/>
      </w:tblPr>
      <w:tblGrid>
        <w:gridCol w:w="3917"/>
        <w:gridCol w:w="894"/>
        <w:gridCol w:w="916"/>
        <w:gridCol w:w="894"/>
        <w:gridCol w:w="947"/>
        <w:gridCol w:w="775"/>
        <w:gridCol w:w="907"/>
      </w:tblGrid>
      <w:tr w:rsidR="00935702" w:rsidRPr="001A209B" w:rsidTr="00DC2268">
        <w:trPr>
          <w:trHeight w:val="20"/>
        </w:trPr>
        <w:tc>
          <w:tcPr>
            <w:tcW w:w="5000" w:type="pct"/>
            <w:gridSpan w:val="7"/>
            <w:tcBorders>
              <w:top w:val="single" w:sz="4" w:space="0" w:color="auto"/>
              <w:left w:val="nil"/>
              <w:right w:val="nil"/>
            </w:tcBorders>
            <w:vAlign w:val="center"/>
          </w:tcPr>
          <w:p w:rsidR="00935702" w:rsidRPr="001A209B" w:rsidRDefault="00935702" w:rsidP="00EE2613">
            <w:pPr>
              <w:spacing w:before="20" w:after="20"/>
              <w:rPr>
                <w:rFonts w:cs="Arial"/>
                <w:b/>
                <w:bCs/>
                <w:sz w:val="18"/>
                <w:szCs w:val="18"/>
              </w:rPr>
            </w:pPr>
            <w:r w:rsidRPr="001A209B">
              <w:rPr>
                <w:rFonts w:cs="Arial"/>
                <w:b/>
                <w:bCs/>
                <w:color w:val="000000"/>
                <w:sz w:val="18"/>
                <w:szCs w:val="18"/>
              </w:rPr>
              <w:t>Group Results – Constant Currency Analysis</w:t>
            </w:r>
          </w:p>
        </w:tc>
      </w:tr>
      <w:tr w:rsidR="00DC2268" w:rsidRPr="001A209B" w:rsidTr="00DF39D3">
        <w:trPr>
          <w:trHeight w:val="680"/>
        </w:trPr>
        <w:tc>
          <w:tcPr>
            <w:tcW w:w="2118" w:type="pct"/>
            <w:tcBorders>
              <w:top w:val="nil"/>
              <w:left w:val="nil"/>
              <w:bottom w:val="single" w:sz="4" w:space="0" w:color="auto"/>
              <w:right w:val="nil"/>
            </w:tcBorders>
            <w:vAlign w:val="bottom"/>
          </w:tcPr>
          <w:p w:rsidR="00935702" w:rsidRPr="001A209B" w:rsidRDefault="00935702" w:rsidP="00EE2613">
            <w:pPr>
              <w:suppressAutoHyphens/>
              <w:spacing w:before="20" w:after="20"/>
              <w:rPr>
                <w:rFonts w:cs="Arial"/>
                <w:sz w:val="18"/>
                <w:szCs w:val="18"/>
              </w:rPr>
            </w:pPr>
            <w:r w:rsidRPr="001A209B">
              <w:rPr>
                <w:rFonts w:cs="Arial"/>
                <w:sz w:val="18"/>
                <w:szCs w:val="18"/>
              </w:rPr>
              <w:t>£ million unless otherwise indicated</w:t>
            </w:r>
          </w:p>
        </w:tc>
        <w:tc>
          <w:tcPr>
            <w:tcW w:w="483" w:type="pct"/>
            <w:tcBorders>
              <w:top w:val="nil"/>
              <w:left w:val="nil"/>
              <w:bottom w:val="single" w:sz="4" w:space="0" w:color="auto"/>
              <w:right w:val="nil"/>
            </w:tcBorders>
            <w:vAlign w:val="bottom"/>
          </w:tcPr>
          <w:p w:rsidR="00935702" w:rsidRPr="001A209B" w:rsidRDefault="00935702" w:rsidP="00EE2613">
            <w:pPr>
              <w:spacing w:before="20" w:after="20"/>
              <w:jc w:val="right"/>
              <w:rPr>
                <w:rFonts w:cs="Arial"/>
                <w:sz w:val="18"/>
                <w:szCs w:val="18"/>
              </w:rPr>
            </w:pPr>
            <w:r w:rsidRPr="001A209B">
              <w:rPr>
                <w:rFonts w:cs="Arial"/>
                <w:sz w:val="18"/>
                <w:szCs w:val="18"/>
              </w:rPr>
              <w:t>6 months ended 31</w:t>
            </w:r>
            <w:r w:rsidR="004A4EB0" w:rsidRPr="001A209B">
              <w:rPr>
                <w:rFonts w:cs="Arial"/>
                <w:sz w:val="18"/>
                <w:szCs w:val="18"/>
              </w:rPr>
              <w:t xml:space="preserve"> </w:t>
            </w:r>
            <w:r w:rsidRPr="001A209B">
              <w:rPr>
                <w:rFonts w:cs="Arial"/>
                <w:sz w:val="18"/>
                <w:szCs w:val="18"/>
              </w:rPr>
              <w:t>March 2013</w:t>
            </w:r>
          </w:p>
        </w:tc>
        <w:tc>
          <w:tcPr>
            <w:tcW w:w="495" w:type="pct"/>
            <w:tcBorders>
              <w:top w:val="nil"/>
              <w:left w:val="nil"/>
              <w:bottom w:val="single" w:sz="4" w:space="0" w:color="auto"/>
              <w:right w:val="nil"/>
            </w:tcBorders>
            <w:vAlign w:val="bottom"/>
          </w:tcPr>
          <w:p w:rsidR="00935702" w:rsidRPr="001A209B" w:rsidRDefault="00935702" w:rsidP="00EE2613">
            <w:pPr>
              <w:spacing w:before="20" w:after="20"/>
              <w:jc w:val="right"/>
              <w:rPr>
                <w:rFonts w:cs="Arial"/>
                <w:sz w:val="18"/>
                <w:szCs w:val="18"/>
              </w:rPr>
            </w:pPr>
            <w:r w:rsidRPr="001A209B">
              <w:rPr>
                <w:rFonts w:cs="Arial"/>
                <w:sz w:val="18"/>
                <w:szCs w:val="18"/>
              </w:rPr>
              <w:t>Foreign</w:t>
            </w:r>
          </w:p>
          <w:p w:rsidR="00935702" w:rsidRPr="001A209B" w:rsidRDefault="00935702" w:rsidP="00EE2613">
            <w:pPr>
              <w:spacing w:before="20" w:after="20"/>
              <w:jc w:val="right"/>
              <w:rPr>
                <w:rFonts w:cs="Arial"/>
                <w:sz w:val="18"/>
                <w:szCs w:val="18"/>
              </w:rPr>
            </w:pPr>
            <w:r w:rsidRPr="001A209B">
              <w:rPr>
                <w:rFonts w:cs="Arial"/>
                <w:sz w:val="18"/>
                <w:szCs w:val="18"/>
              </w:rPr>
              <w:t>Exchange</w:t>
            </w:r>
          </w:p>
        </w:tc>
        <w:tc>
          <w:tcPr>
            <w:tcW w:w="483" w:type="pct"/>
            <w:tcBorders>
              <w:top w:val="nil"/>
              <w:left w:val="nil"/>
              <w:bottom w:val="single" w:sz="4" w:space="0" w:color="auto"/>
              <w:right w:val="nil"/>
            </w:tcBorders>
            <w:vAlign w:val="bottom"/>
          </w:tcPr>
          <w:p w:rsidR="00935702" w:rsidRPr="001A209B" w:rsidRDefault="00935702" w:rsidP="00EE2613">
            <w:pPr>
              <w:spacing w:before="20" w:after="20"/>
              <w:jc w:val="right"/>
              <w:rPr>
                <w:rFonts w:cs="Arial"/>
                <w:b/>
                <w:bCs/>
                <w:sz w:val="18"/>
                <w:szCs w:val="18"/>
              </w:rPr>
            </w:pPr>
            <w:r w:rsidRPr="001A209B">
              <w:rPr>
                <w:rFonts w:cs="Arial"/>
                <w:b/>
                <w:bCs/>
                <w:sz w:val="18"/>
                <w:szCs w:val="18"/>
              </w:rPr>
              <w:t>Constant</w:t>
            </w:r>
          </w:p>
          <w:p w:rsidR="00935702" w:rsidRPr="001A209B" w:rsidRDefault="00935702" w:rsidP="00EE2613">
            <w:pPr>
              <w:spacing w:before="20" w:after="20"/>
              <w:jc w:val="right"/>
              <w:rPr>
                <w:rFonts w:cs="Arial"/>
                <w:b/>
                <w:bCs/>
                <w:sz w:val="18"/>
                <w:szCs w:val="18"/>
              </w:rPr>
            </w:pPr>
            <w:r w:rsidRPr="001A209B">
              <w:rPr>
                <w:rFonts w:cs="Arial"/>
                <w:b/>
                <w:bCs/>
                <w:sz w:val="18"/>
                <w:szCs w:val="18"/>
              </w:rPr>
              <w:t>currency</w:t>
            </w:r>
          </w:p>
          <w:p w:rsidR="00935702" w:rsidRPr="001A209B" w:rsidRDefault="00935702" w:rsidP="00EE2613">
            <w:pPr>
              <w:spacing w:before="20" w:after="20"/>
              <w:jc w:val="right"/>
              <w:rPr>
                <w:rFonts w:cs="Arial"/>
                <w:b/>
                <w:bCs/>
                <w:sz w:val="18"/>
                <w:szCs w:val="18"/>
              </w:rPr>
            </w:pPr>
            <w:r w:rsidRPr="001A209B">
              <w:rPr>
                <w:rFonts w:cs="Arial"/>
                <w:b/>
                <w:bCs/>
                <w:sz w:val="18"/>
                <w:szCs w:val="18"/>
              </w:rPr>
              <w:t>growth</w:t>
            </w:r>
          </w:p>
        </w:tc>
        <w:tc>
          <w:tcPr>
            <w:tcW w:w="512" w:type="pct"/>
            <w:tcBorders>
              <w:top w:val="nil"/>
              <w:left w:val="nil"/>
              <w:bottom w:val="single" w:sz="4" w:space="0" w:color="auto"/>
              <w:right w:val="nil"/>
            </w:tcBorders>
            <w:vAlign w:val="bottom"/>
          </w:tcPr>
          <w:p w:rsidR="00935702" w:rsidRPr="001A209B" w:rsidRDefault="00935702" w:rsidP="00EE2613">
            <w:pPr>
              <w:spacing w:before="20" w:after="20"/>
              <w:jc w:val="right"/>
              <w:rPr>
                <w:rFonts w:cs="Arial"/>
                <w:b/>
                <w:bCs/>
                <w:sz w:val="18"/>
                <w:szCs w:val="18"/>
              </w:rPr>
            </w:pPr>
            <w:r w:rsidRPr="001A209B">
              <w:rPr>
                <w:rFonts w:cs="Arial"/>
                <w:b/>
                <w:bCs/>
                <w:sz w:val="18"/>
                <w:szCs w:val="18"/>
              </w:rPr>
              <w:t>6 months ended 31 March 2014</w:t>
            </w:r>
          </w:p>
        </w:tc>
        <w:tc>
          <w:tcPr>
            <w:tcW w:w="419" w:type="pct"/>
            <w:tcBorders>
              <w:top w:val="nil"/>
              <w:left w:val="nil"/>
              <w:bottom w:val="single" w:sz="4" w:space="0" w:color="auto"/>
              <w:right w:val="nil"/>
            </w:tcBorders>
            <w:vAlign w:val="bottom"/>
          </w:tcPr>
          <w:p w:rsidR="00935702" w:rsidRPr="001A209B" w:rsidRDefault="00935702" w:rsidP="00EE2613">
            <w:pPr>
              <w:spacing w:before="20" w:after="20"/>
              <w:jc w:val="right"/>
              <w:rPr>
                <w:rFonts w:cs="Arial"/>
                <w:b/>
                <w:bCs/>
                <w:sz w:val="18"/>
                <w:szCs w:val="18"/>
              </w:rPr>
            </w:pPr>
          </w:p>
          <w:p w:rsidR="00935702" w:rsidRPr="001A209B" w:rsidRDefault="00935702" w:rsidP="00EE2613">
            <w:pPr>
              <w:spacing w:before="20" w:after="20"/>
              <w:jc w:val="right"/>
              <w:rPr>
                <w:rFonts w:cs="Arial"/>
                <w:b/>
                <w:bCs/>
                <w:sz w:val="18"/>
                <w:szCs w:val="18"/>
              </w:rPr>
            </w:pPr>
          </w:p>
          <w:p w:rsidR="00935702" w:rsidRPr="001A209B" w:rsidRDefault="00935702" w:rsidP="00EE2613">
            <w:pPr>
              <w:spacing w:before="20" w:after="20"/>
              <w:jc w:val="right"/>
              <w:rPr>
                <w:rFonts w:cs="Arial"/>
                <w:b/>
                <w:bCs/>
                <w:sz w:val="18"/>
                <w:szCs w:val="18"/>
              </w:rPr>
            </w:pPr>
            <w:r w:rsidRPr="001A209B">
              <w:rPr>
                <w:rFonts w:cs="Arial"/>
                <w:b/>
                <w:bCs/>
                <w:sz w:val="18"/>
                <w:szCs w:val="18"/>
              </w:rPr>
              <w:t>Change</w:t>
            </w:r>
          </w:p>
        </w:tc>
        <w:tc>
          <w:tcPr>
            <w:tcW w:w="489" w:type="pct"/>
            <w:tcBorders>
              <w:top w:val="nil"/>
              <w:left w:val="nil"/>
              <w:bottom w:val="single" w:sz="4" w:space="0" w:color="auto"/>
              <w:right w:val="nil"/>
            </w:tcBorders>
            <w:vAlign w:val="bottom"/>
          </w:tcPr>
          <w:p w:rsidR="00935702" w:rsidRPr="001A209B" w:rsidRDefault="00935702" w:rsidP="00EE2613">
            <w:pPr>
              <w:spacing w:before="20" w:after="20"/>
              <w:jc w:val="right"/>
              <w:rPr>
                <w:rFonts w:cs="Arial"/>
                <w:b/>
                <w:bCs/>
                <w:sz w:val="18"/>
                <w:szCs w:val="18"/>
              </w:rPr>
            </w:pPr>
            <w:r w:rsidRPr="001A209B">
              <w:rPr>
                <w:rFonts w:cs="Arial"/>
                <w:b/>
                <w:bCs/>
                <w:sz w:val="18"/>
                <w:szCs w:val="18"/>
              </w:rPr>
              <w:t>Constant</w:t>
            </w:r>
          </w:p>
          <w:p w:rsidR="00935702" w:rsidRPr="001A209B" w:rsidRDefault="00935702" w:rsidP="00EE2613">
            <w:pPr>
              <w:spacing w:before="20" w:after="20"/>
              <w:jc w:val="right"/>
              <w:rPr>
                <w:rFonts w:cs="Arial"/>
                <w:b/>
                <w:bCs/>
                <w:sz w:val="18"/>
                <w:szCs w:val="18"/>
              </w:rPr>
            </w:pPr>
            <w:r w:rsidRPr="001A209B">
              <w:rPr>
                <w:rFonts w:cs="Arial"/>
                <w:b/>
                <w:bCs/>
                <w:sz w:val="18"/>
                <w:szCs w:val="18"/>
              </w:rPr>
              <w:t>Currency</w:t>
            </w:r>
          </w:p>
          <w:p w:rsidR="00935702" w:rsidRPr="001A209B" w:rsidRDefault="00935702" w:rsidP="00EE2613">
            <w:pPr>
              <w:spacing w:before="20" w:after="20"/>
              <w:jc w:val="right"/>
              <w:rPr>
                <w:rFonts w:cs="Arial"/>
                <w:b/>
                <w:bCs/>
                <w:sz w:val="18"/>
                <w:szCs w:val="18"/>
              </w:rPr>
            </w:pPr>
            <w:r w:rsidRPr="001A209B">
              <w:rPr>
                <w:rFonts w:cs="Arial"/>
                <w:b/>
                <w:bCs/>
                <w:sz w:val="18"/>
                <w:szCs w:val="18"/>
              </w:rPr>
              <w:t>change</w:t>
            </w:r>
            <w:r w:rsidR="00B24376" w:rsidRPr="001A209B">
              <w:rPr>
                <w:rFonts w:cs="Arial"/>
                <w:sz w:val="18"/>
                <w:szCs w:val="18"/>
                <w:vertAlign w:val="superscript"/>
              </w:rPr>
              <w:t>1</w:t>
            </w:r>
          </w:p>
        </w:tc>
      </w:tr>
      <w:tr w:rsidR="00DC2268" w:rsidRPr="001A209B" w:rsidTr="00DF39D3">
        <w:tc>
          <w:tcPr>
            <w:tcW w:w="2118" w:type="pct"/>
            <w:tcBorders>
              <w:top w:val="single" w:sz="4" w:space="0" w:color="auto"/>
              <w:left w:val="nil"/>
              <w:right w:val="nil"/>
            </w:tcBorders>
            <w:shd w:val="clear" w:color="auto" w:fill="F1E7E7"/>
            <w:vAlign w:val="center"/>
          </w:tcPr>
          <w:p w:rsidR="00935702" w:rsidRPr="001A209B" w:rsidRDefault="00935702" w:rsidP="00EE2613">
            <w:pPr>
              <w:spacing w:before="20" w:after="20"/>
              <w:rPr>
                <w:rFonts w:cs="Arial"/>
                <w:sz w:val="18"/>
                <w:szCs w:val="18"/>
              </w:rPr>
            </w:pPr>
            <w:r w:rsidRPr="001A209B">
              <w:rPr>
                <w:rFonts w:cs="Arial"/>
                <w:sz w:val="18"/>
                <w:szCs w:val="18"/>
              </w:rPr>
              <w:t>Tobacco net revenue</w:t>
            </w:r>
          </w:p>
        </w:tc>
        <w:tc>
          <w:tcPr>
            <w:tcW w:w="483" w:type="pct"/>
            <w:tcBorders>
              <w:top w:val="single" w:sz="4" w:space="0" w:color="auto"/>
              <w:left w:val="nil"/>
              <w:right w:val="nil"/>
            </w:tcBorders>
            <w:shd w:val="clear" w:color="auto" w:fill="F1E7E7"/>
            <w:vAlign w:val="center"/>
          </w:tcPr>
          <w:p w:rsidR="00935702" w:rsidRPr="001A209B" w:rsidRDefault="00935702" w:rsidP="00EE2613">
            <w:pPr>
              <w:spacing w:before="20" w:after="20"/>
              <w:jc w:val="right"/>
              <w:rPr>
                <w:rFonts w:cs="Arial"/>
                <w:sz w:val="18"/>
                <w:szCs w:val="18"/>
              </w:rPr>
            </w:pPr>
            <w:r w:rsidRPr="001A209B">
              <w:rPr>
                <w:rFonts w:cs="Arial"/>
                <w:sz w:val="18"/>
                <w:szCs w:val="18"/>
              </w:rPr>
              <w:t>3,284</w:t>
            </w:r>
          </w:p>
        </w:tc>
        <w:tc>
          <w:tcPr>
            <w:tcW w:w="495" w:type="pct"/>
            <w:tcBorders>
              <w:top w:val="single" w:sz="4" w:space="0" w:color="auto"/>
              <w:left w:val="nil"/>
              <w:right w:val="nil"/>
            </w:tcBorders>
            <w:shd w:val="clear" w:color="auto" w:fill="F1E7E7"/>
            <w:vAlign w:val="center"/>
          </w:tcPr>
          <w:p w:rsidR="00935702" w:rsidRPr="001A209B" w:rsidRDefault="00935702" w:rsidP="00EE2613">
            <w:pPr>
              <w:spacing w:before="20" w:after="20"/>
              <w:jc w:val="right"/>
              <w:rPr>
                <w:rFonts w:cs="Arial"/>
                <w:sz w:val="18"/>
                <w:szCs w:val="18"/>
              </w:rPr>
            </w:pPr>
            <w:r w:rsidRPr="001A209B">
              <w:rPr>
                <w:rFonts w:cs="Arial"/>
                <w:sz w:val="18"/>
                <w:szCs w:val="18"/>
              </w:rPr>
              <w:t>(74)</w:t>
            </w:r>
          </w:p>
        </w:tc>
        <w:tc>
          <w:tcPr>
            <w:tcW w:w="483" w:type="pct"/>
            <w:tcBorders>
              <w:top w:val="single" w:sz="4" w:space="0" w:color="auto"/>
              <w:left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(76)</w:t>
            </w:r>
          </w:p>
        </w:tc>
        <w:tc>
          <w:tcPr>
            <w:tcW w:w="512" w:type="pct"/>
            <w:tcBorders>
              <w:top w:val="single" w:sz="4" w:space="0" w:color="auto"/>
              <w:left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3,134</w:t>
            </w:r>
          </w:p>
        </w:tc>
        <w:tc>
          <w:tcPr>
            <w:tcW w:w="419" w:type="pct"/>
            <w:tcBorders>
              <w:top w:val="single" w:sz="4" w:space="0" w:color="auto"/>
              <w:left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-5%</w:t>
            </w:r>
          </w:p>
        </w:tc>
        <w:tc>
          <w:tcPr>
            <w:tcW w:w="489" w:type="pct"/>
            <w:tcBorders>
              <w:top w:val="single" w:sz="4" w:space="0" w:color="auto"/>
              <w:left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-2%</w:t>
            </w:r>
          </w:p>
        </w:tc>
      </w:tr>
      <w:tr w:rsidR="00DC2268" w:rsidRPr="001A209B" w:rsidTr="00DF39D3">
        <w:tc>
          <w:tcPr>
            <w:tcW w:w="2118" w:type="pct"/>
            <w:tcBorders>
              <w:left w:val="nil"/>
              <w:right w:val="nil"/>
            </w:tcBorders>
            <w:vAlign w:val="center"/>
          </w:tcPr>
          <w:p w:rsidR="00935702" w:rsidRPr="001A209B" w:rsidRDefault="00935702" w:rsidP="00EE2613">
            <w:pPr>
              <w:spacing w:before="20" w:after="20"/>
              <w:rPr>
                <w:rFonts w:cs="Arial"/>
                <w:sz w:val="18"/>
                <w:szCs w:val="18"/>
              </w:rPr>
            </w:pPr>
            <w:r w:rsidRPr="001A209B">
              <w:rPr>
                <w:rFonts w:cs="Arial"/>
                <w:sz w:val="18"/>
                <w:szCs w:val="18"/>
              </w:rPr>
              <w:t>Growth Markets net revenue</w:t>
            </w:r>
          </w:p>
        </w:tc>
        <w:tc>
          <w:tcPr>
            <w:tcW w:w="483" w:type="pct"/>
            <w:tcBorders>
              <w:left w:val="nil"/>
              <w:right w:val="nil"/>
            </w:tcBorders>
            <w:vAlign w:val="center"/>
          </w:tcPr>
          <w:p w:rsidR="00935702" w:rsidRPr="001A209B" w:rsidRDefault="00935702" w:rsidP="00EE2613">
            <w:pPr>
              <w:spacing w:before="20" w:after="20"/>
              <w:jc w:val="right"/>
              <w:rPr>
                <w:rFonts w:cs="Arial"/>
                <w:sz w:val="18"/>
                <w:szCs w:val="18"/>
              </w:rPr>
            </w:pPr>
            <w:r w:rsidRPr="001A209B">
              <w:rPr>
                <w:rFonts w:cs="Arial"/>
                <w:sz w:val="18"/>
                <w:szCs w:val="18"/>
              </w:rPr>
              <w:t>988</w:t>
            </w:r>
          </w:p>
        </w:tc>
        <w:tc>
          <w:tcPr>
            <w:tcW w:w="495" w:type="pct"/>
            <w:tcBorders>
              <w:left w:val="nil"/>
              <w:right w:val="nil"/>
            </w:tcBorders>
            <w:vAlign w:val="center"/>
          </w:tcPr>
          <w:p w:rsidR="00935702" w:rsidRPr="001A209B" w:rsidRDefault="00935702" w:rsidP="00EE2613">
            <w:pPr>
              <w:spacing w:before="20" w:after="20"/>
              <w:jc w:val="right"/>
              <w:rPr>
                <w:rFonts w:cs="Arial"/>
                <w:sz w:val="18"/>
                <w:szCs w:val="18"/>
              </w:rPr>
            </w:pPr>
            <w:r w:rsidRPr="001A209B">
              <w:rPr>
                <w:rFonts w:cs="Arial"/>
                <w:sz w:val="18"/>
                <w:szCs w:val="18"/>
              </w:rPr>
              <w:t>(35)</w:t>
            </w:r>
          </w:p>
        </w:tc>
        <w:tc>
          <w:tcPr>
            <w:tcW w:w="483" w:type="pct"/>
            <w:tcBorders>
              <w:left w:val="nil"/>
              <w:right w:val="nil"/>
            </w:tcBorders>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(39)</w:t>
            </w:r>
          </w:p>
        </w:tc>
        <w:tc>
          <w:tcPr>
            <w:tcW w:w="512" w:type="pct"/>
            <w:tcBorders>
              <w:left w:val="nil"/>
              <w:right w:val="nil"/>
            </w:tcBorders>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914</w:t>
            </w:r>
          </w:p>
        </w:tc>
        <w:tc>
          <w:tcPr>
            <w:tcW w:w="419" w:type="pct"/>
            <w:tcBorders>
              <w:left w:val="nil"/>
              <w:right w:val="nil"/>
            </w:tcBorders>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-7%</w:t>
            </w:r>
          </w:p>
        </w:tc>
        <w:tc>
          <w:tcPr>
            <w:tcW w:w="489" w:type="pct"/>
            <w:tcBorders>
              <w:left w:val="nil"/>
              <w:right w:val="nil"/>
            </w:tcBorders>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-4%</w:t>
            </w:r>
          </w:p>
        </w:tc>
      </w:tr>
      <w:tr w:rsidR="00DC2268" w:rsidRPr="001A209B" w:rsidTr="00DF39D3">
        <w:tc>
          <w:tcPr>
            <w:tcW w:w="2118" w:type="pct"/>
            <w:tcBorders>
              <w:left w:val="nil"/>
              <w:right w:val="nil"/>
            </w:tcBorders>
            <w:shd w:val="clear" w:color="auto" w:fill="F1E7E7"/>
            <w:vAlign w:val="center"/>
          </w:tcPr>
          <w:p w:rsidR="00935702" w:rsidRPr="001A209B" w:rsidRDefault="00935702" w:rsidP="00EE2613">
            <w:pPr>
              <w:spacing w:before="20" w:after="20"/>
              <w:rPr>
                <w:rFonts w:cs="Arial"/>
                <w:sz w:val="18"/>
                <w:szCs w:val="18"/>
              </w:rPr>
            </w:pPr>
            <w:r w:rsidRPr="001A209B">
              <w:rPr>
                <w:rFonts w:cs="Arial"/>
                <w:sz w:val="18"/>
                <w:szCs w:val="18"/>
              </w:rPr>
              <w:t>Returns Markets North net revenue</w:t>
            </w:r>
          </w:p>
        </w:tc>
        <w:tc>
          <w:tcPr>
            <w:tcW w:w="483" w:type="pct"/>
            <w:tcBorders>
              <w:left w:val="nil"/>
              <w:right w:val="nil"/>
            </w:tcBorders>
            <w:shd w:val="clear" w:color="auto" w:fill="F1E7E7"/>
            <w:vAlign w:val="center"/>
          </w:tcPr>
          <w:p w:rsidR="00935702" w:rsidRPr="001A209B" w:rsidRDefault="00935702" w:rsidP="00EE2613">
            <w:pPr>
              <w:spacing w:before="20" w:after="20"/>
              <w:jc w:val="right"/>
              <w:rPr>
                <w:rFonts w:cs="Arial"/>
                <w:sz w:val="18"/>
                <w:szCs w:val="18"/>
              </w:rPr>
            </w:pPr>
            <w:r w:rsidRPr="001A209B">
              <w:rPr>
                <w:rFonts w:cs="Arial"/>
                <w:sz w:val="18"/>
                <w:szCs w:val="18"/>
              </w:rPr>
              <w:t>1,406</w:t>
            </w:r>
          </w:p>
        </w:tc>
        <w:tc>
          <w:tcPr>
            <w:tcW w:w="495" w:type="pct"/>
            <w:tcBorders>
              <w:left w:val="nil"/>
              <w:right w:val="nil"/>
            </w:tcBorders>
            <w:shd w:val="clear" w:color="auto" w:fill="F1E7E7"/>
            <w:vAlign w:val="center"/>
          </w:tcPr>
          <w:p w:rsidR="00935702" w:rsidRPr="001A209B" w:rsidRDefault="00935702" w:rsidP="00EE2613">
            <w:pPr>
              <w:spacing w:before="20" w:after="20"/>
              <w:jc w:val="right"/>
              <w:rPr>
                <w:rFonts w:cs="Arial"/>
                <w:sz w:val="18"/>
                <w:szCs w:val="18"/>
              </w:rPr>
            </w:pPr>
            <w:r w:rsidRPr="001A209B">
              <w:rPr>
                <w:rFonts w:cs="Arial"/>
                <w:sz w:val="18"/>
                <w:szCs w:val="18"/>
              </w:rPr>
              <w:t>(36)</w:t>
            </w:r>
          </w:p>
        </w:tc>
        <w:tc>
          <w:tcPr>
            <w:tcW w:w="483" w:type="pct"/>
            <w:tcBorders>
              <w:left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(2)</w:t>
            </w:r>
          </w:p>
        </w:tc>
        <w:tc>
          <w:tcPr>
            <w:tcW w:w="512" w:type="pct"/>
            <w:tcBorders>
              <w:left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1,368</w:t>
            </w:r>
          </w:p>
        </w:tc>
        <w:tc>
          <w:tcPr>
            <w:tcW w:w="419" w:type="pct"/>
            <w:tcBorders>
              <w:left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-3%</w:t>
            </w:r>
          </w:p>
        </w:tc>
        <w:tc>
          <w:tcPr>
            <w:tcW w:w="489" w:type="pct"/>
            <w:tcBorders>
              <w:left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w:t>
            </w:r>
          </w:p>
        </w:tc>
      </w:tr>
      <w:tr w:rsidR="00DC2268" w:rsidRPr="001A209B" w:rsidTr="00DF39D3">
        <w:tc>
          <w:tcPr>
            <w:tcW w:w="2118" w:type="pct"/>
            <w:tcBorders>
              <w:left w:val="nil"/>
              <w:right w:val="nil"/>
            </w:tcBorders>
            <w:vAlign w:val="center"/>
          </w:tcPr>
          <w:p w:rsidR="00935702" w:rsidRPr="001A209B" w:rsidRDefault="00935702" w:rsidP="00EE2613">
            <w:pPr>
              <w:spacing w:before="20" w:after="20"/>
              <w:rPr>
                <w:rFonts w:cs="Arial"/>
                <w:sz w:val="18"/>
                <w:szCs w:val="18"/>
              </w:rPr>
            </w:pPr>
            <w:r w:rsidRPr="001A209B">
              <w:rPr>
                <w:rFonts w:cs="Arial"/>
                <w:sz w:val="18"/>
                <w:szCs w:val="18"/>
              </w:rPr>
              <w:t>Returns Markets South net revenue</w:t>
            </w:r>
          </w:p>
        </w:tc>
        <w:tc>
          <w:tcPr>
            <w:tcW w:w="483" w:type="pct"/>
            <w:tcBorders>
              <w:left w:val="nil"/>
              <w:right w:val="nil"/>
            </w:tcBorders>
            <w:vAlign w:val="center"/>
          </w:tcPr>
          <w:p w:rsidR="00935702" w:rsidRPr="001A209B" w:rsidRDefault="00935702" w:rsidP="00EE2613">
            <w:pPr>
              <w:spacing w:before="20" w:after="20"/>
              <w:jc w:val="right"/>
              <w:rPr>
                <w:rFonts w:cs="Arial"/>
                <w:sz w:val="18"/>
                <w:szCs w:val="18"/>
              </w:rPr>
            </w:pPr>
            <w:r w:rsidRPr="001A209B">
              <w:rPr>
                <w:rFonts w:cs="Arial"/>
                <w:sz w:val="18"/>
                <w:szCs w:val="18"/>
              </w:rPr>
              <w:t>890</w:t>
            </w:r>
          </w:p>
        </w:tc>
        <w:tc>
          <w:tcPr>
            <w:tcW w:w="495" w:type="pct"/>
            <w:tcBorders>
              <w:left w:val="nil"/>
              <w:right w:val="nil"/>
            </w:tcBorders>
            <w:vAlign w:val="center"/>
          </w:tcPr>
          <w:p w:rsidR="00935702" w:rsidRPr="001A209B" w:rsidRDefault="00935702" w:rsidP="00EE2613">
            <w:pPr>
              <w:spacing w:before="20" w:after="20"/>
              <w:jc w:val="right"/>
              <w:rPr>
                <w:rFonts w:cs="Arial"/>
                <w:sz w:val="18"/>
                <w:szCs w:val="18"/>
              </w:rPr>
            </w:pPr>
            <w:r w:rsidRPr="001A209B">
              <w:rPr>
                <w:rFonts w:cs="Arial"/>
                <w:sz w:val="18"/>
                <w:szCs w:val="18"/>
              </w:rPr>
              <w:t>(3)</w:t>
            </w:r>
          </w:p>
        </w:tc>
        <w:tc>
          <w:tcPr>
            <w:tcW w:w="483" w:type="pct"/>
            <w:tcBorders>
              <w:left w:val="nil"/>
              <w:right w:val="nil"/>
            </w:tcBorders>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(35)</w:t>
            </w:r>
          </w:p>
        </w:tc>
        <w:tc>
          <w:tcPr>
            <w:tcW w:w="512" w:type="pct"/>
            <w:tcBorders>
              <w:left w:val="nil"/>
              <w:right w:val="nil"/>
            </w:tcBorders>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852</w:t>
            </w:r>
          </w:p>
        </w:tc>
        <w:tc>
          <w:tcPr>
            <w:tcW w:w="419" w:type="pct"/>
            <w:tcBorders>
              <w:left w:val="nil"/>
              <w:right w:val="nil"/>
            </w:tcBorders>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-4%</w:t>
            </w:r>
          </w:p>
        </w:tc>
        <w:tc>
          <w:tcPr>
            <w:tcW w:w="489" w:type="pct"/>
            <w:tcBorders>
              <w:left w:val="nil"/>
              <w:right w:val="nil"/>
            </w:tcBorders>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-4%</w:t>
            </w:r>
          </w:p>
        </w:tc>
      </w:tr>
      <w:tr w:rsidR="00DC2268" w:rsidRPr="001A209B" w:rsidTr="00DF39D3">
        <w:tc>
          <w:tcPr>
            <w:tcW w:w="2118" w:type="pct"/>
            <w:tcBorders>
              <w:left w:val="nil"/>
              <w:bottom w:val="nil"/>
              <w:right w:val="nil"/>
            </w:tcBorders>
            <w:shd w:val="clear" w:color="auto" w:fill="F1E7E7"/>
            <w:vAlign w:val="center"/>
          </w:tcPr>
          <w:p w:rsidR="00935702" w:rsidRPr="001A209B" w:rsidRDefault="00935702" w:rsidP="00EE2613">
            <w:pPr>
              <w:spacing w:before="20" w:after="20"/>
              <w:rPr>
                <w:rFonts w:cs="Arial"/>
                <w:sz w:val="18"/>
                <w:szCs w:val="18"/>
              </w:rPr>
            </w:pPr>
            <w:r w:rsidRPr="001A209B">
              <w:rPr>
                <w:rFonts w:cs="Arial"/>
                <w:sz w:val="18"/>
                <w:szCs w:val="18"/>
              </w:rPr>
              <w:t>Tobacco adjusted operating profit</w:t>
            </w:r>
          </w:p>
        </w:tc>
        <w:tc>
          <w:tcPr>
            <w:tcW w:w="483" w:type="pct"/>
            <w:tcBorders>
              <w:left w:val="nil"/>
              <w:bottom w:val="nil"/>
              <w:right w:val="nil"/>
            </w:tcBorders>
            <w:shd w:val="clear" w:color="auto" w:fill="F1E7E7"/>
            <w:vAlign w:val="center"/>
          </w:tcPr>
          <w:p w:rsidR="00935702" w:rsidRPr="001A209B" w:rsidRDefault="00935702" w:rsidP="00EE2613">
            <w:pPr>
              <w:spacing w:before="20" w:after="20"/>
              <w:jc w:val="right"/>
              <w:rPr>
                <w:rFonts w:cs="Arial"/>
                <w:sz w:val="18"/>
                <w:szCs w:val="18"/>
              </w:rPr>
            </w:pPr>
            <w:r w:rsidRPr="001A209B">
              <w:rPr>
                <w:rFonts w:cs="Arial"/>
                <w:sz w:val="18"/>
                <w:szCs w:val="18"/>
              </w:rPr>
              <w:t>1,359</w:t>
            </w:r>
          </w:p>
        </w:tc>
        <w:tc>
          <w:tcPr>
            <w:tcW w:w="495" w:type="pct"/>
            <w:tcBorders>
              <w:left w:val="nil"/>
              <w:bottom w:val="nil"/>
              <w:right w:val="nil"/>
            </w:tcBorders>
            <w:shd w:val="clear" w:color="auto" w:fill="F1E7E7"/>
            <w:vAlign w:val="center"/>
          </w:tcPr>
          <w:p w:rsidR="00935702" w:rsidRPr="001A209B" w:rsidRDefault="00935702" w:rsidP="00EE2613">
            <w:pPr>
              <w:spacing w:before="20" w:after="20"/>
              <w:jc w:val="right"/>
              <w:rPr>
                <w:rFonts w:cs="Arial"/>
                <w:sz w:val="18"/>
                <w:szCs w:val="18"/>
              </w:rPr>
            </w:pPr>
            <w:r w:rsidRPr="001A209B">
              <w:rPr>
                <w:rFonts w:cs="Arial"/>
                <w:sz w:val="18"/>
                <w:szCs w:val="18"/>
              </w:rPr>
              <w:t>(42)</w:t>
            </w:r>
          </w:p>
        </w:tc>
        <w:tc>
          <w:tcPr>
            <w:tcW w:w="483" w:type="pct"/>
            <w:tcBorders>
              <w:left w:val="nil"/>
              <w:bottom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(21)</w:t>
            </w:r>
          </w:p>
        </w:tc>
        <w:tc>
          <w:tcPr>
            <w:tcW w:w="512" w:type="pct"/>
            <w:tcBorders>
              <w:left w:val="nil"/>
              <w:bottom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1,296</w:t>
            </w:r>
          </w:p>
        </w:tc>
        <w:tc>
          <w:tcPr>
            <w:tcW w:w="419" w:type="pct"/>
            <w:tcBorders>
              <w:left w:val="nil"/>
              <w:bottom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-5%</w:t>
            </w:r>
          </w:p>
        </w:tc>
        <w:tc>
          <w:tcPr>
            <w:tcW w:w="489" w:type="pct"/>
            <w:tcBorders>
              <w:left w:val="nil"/>
              <w:bottom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-2%</w:t>
            </w:r>
          </w:p>
        </w:tc>
      </w:tr>
      <w:tr w:rsidR="00DC2268" w:rsidRPr="001A209B" w:rsidTr="00DF39D3">
        <w:tc>
          <w:tcPr>
            <w:tcW w:w="2118" w:type="pct"/>
            <w:tcBorders>
              <w:left w:val="nil"/>
              <w:bottom w:val="nil"/>
              <w:right w:val="nil"/>
            </w:tcBorders>
            <w:vAlign w:val="center"/>
          </w:tcPr>
          <w:p w:rsidR="00935702" w:rsidRPr="001A209B" w:rsidRDefault="00935702" w:rsidP="00EE2613">
            <w:pPr>
              <w:spacing w:before="20" w:after="20"/>
              <w:rPr>
                <w:rFonts w:cs="Arial"/>
                <w:sz w:val="18"/>
                <w:szCs w:val="18"/>
              </w:rPr>
            </w:pPr>
            <w:r w:rsidRPr="001A209B">
              <w:rPr>
                <w:rFonts w:cs="Arial"/>
                <w:sz w:val="18"/>
                <w:szCs w:val="18"/>
              </w:rPr>
              <w:t>Growth Markets adjusted operating profit</w:t>
            </w:r>
          </w:p>
        </w:tc>
        <w:tc>
          <w:tcPr>
            <w:tcW w:w="483" w:type="pct"/>
            <w:tcBorders>
              <w:left w:val="nil"/>
              <w:bottom w:val="nil"/>
              <w:right w:val="nil"/>
            </w:tcBorders>
            <w:vAlign w:val="center"/>
          </w:tcPr>
          <w:p w:rsidR="00935702" w:rsidRPr="001A209B" w:rsidRDefault="00935702" w:rsidP="00EE2613">
            <w:pPr>
              <w:spacing w:before="20" w:after="20"/>
              <w:jc w:val="right"/>
              <w:rPr>
                <w:rFonts w:cs="Arial"/>
                <w:sz w:val="18"/>
                <w:szCs w:val="18"/>
              </w:rPr>
            </w:pPr>
            <w:r w:rsidRPr="001A209B">
              <w:rPr>
                <w:rFonts w:cs="Arial"/>
                <w:sz w:val="18"/>
                <w:szCs w:val="18"/>
              </w:rPr>
              <w:t>247</w:t>
            </w:r>
          </w:p>
        </w:tc>
        <w:tc>
          <w:tcPr>
            <w:tcW w:w="495" w:type="pct"/>
            <w:tcBorders>
              <w:left w:val="nil"/>
              <w:bottom w:val="nil"/>
              <w:right w:val="nil"/>
            </w:tcBorders>
            <w:vAlign w:val="center"/>
          </w:tcPr>
          <w:p w:rsidR="00935702" w:rsidRPr="001A209B" w:rsidRDefault="00935702" w:rsidP="00EE2613">
            <w:pPr>
              <w:spacing w:before="20" w:after="20"/>
              <w:jc w:val="right"/>
              <w:rPr>
                <w:rFonts w:cs="Arial"/>
                <w:sz w:val="18"/>
                <w:szCs w:val="18"/>
              </w:rPr>
            </w:pPr>
            <w:r w:rsidRPr="001A209B">
              <w:rPr>
                <w:rFonts w:cs="Arial"/>
                <w:sz w:val="18"/>
                <w:szCs w:val="18"/>
              </w:rPr>
              <w:t>(14)</w:t>
            </w:r>
          </w:p>
        </w:tc>
        <w:tc>
          <w:tcPr>
            <w:tcW w:w="483" w:type="pct"/>
            <w:tcBorders>
              <w:left w:val="nil"/>
              <w:bottom w:val="nil"/>
              <w:right w:val="nil"/>
            </w:tcBorders>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(26)</w:t>
            </w:r>
          </w:p>
        </w:tc>
        <w:tc>
          <w:tcPr>
            <w:tcW w:w="512" w:type="pct"/>
            <w:tcBorders>
              <w:left w:val="nil"/>
              <w:bottom w:val="nil"/>
              <w:right w:val="nil"/>
            </w:tcBorders>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207</w:t>
            </w:r>
          </w:p>
        </w:tc>
        <w:tc>
          <w:tcPr>
            <w:tcW w:w="419" w:type="pct"/>
            <w:tcBorders>
              <w:left w:val="nil"/>
              <w:bottom w:val="nil"/>
              <w:right w:val="nil"/>
            </w:tcBorders>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-16%</w:t>
            </w:r>
          </w:p>
        </w:tc>
        <w:tc>
          <w:tcPr>
            <w:tcW w:w="489" w:type="pct"/>
            <w:tcBorders>
              <w:left w:val="nil"/>
              <w:bottom w:val="nil"/>
              <w:right w:val="nil"/>
            </w:tcBorders>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-11%</w:t>
            </w:r>
          </w:p>
        </w:tc>
      </w:tr>
      <w:tr w:rsidR="00DC2268" w:rsidRPr="001A209B" w:rsidTr="00DF39D3">
        <w:tc>
          <w:tcPr>
            <w:tcW w:w="2118" w:type="pct"/>
            <w:tcBorders>
              <w:left w:val="nil"/>
              <w:bottom w:val="nil"/>
              <w:right w:val="nil"/>
            </w:tcBorders>
            <w:shd w:val="clear" w:color="auto" w:fill="F1E7E7"/>
            <w:vAlign w:val="center"/>
          </w:tcPr>
          <w:p w:rsidR="00935702" w:rsidRPr="001A209B" w:rsidRDefault="00935702" w:rsidP="00EE2613">
            <w:pPr>
              <w:spacing w:before="20" w:after="20"/>
              <w:rPr>
                <w:rFonts w:cs="Arial"/>
                <w:sz w:val="18"/>
                <w:szCs w:val="18"/>
              </w:rPr>
            </w:pPr>
            <w:r w:rsidRPr="001A209B">
              <w:rPr>
                <w:rFonts w:cs="Arial"/>
                <w:sz w:val="18"/>
                <w:szCs w:val="18"/>
              </w:rPr>
              <w:t>Returns Markets North adjusted operating profit</w:t>
            </w:r>
          </w:p>
        </w:tc>
        <w:tc>
          <w:tcPr>
            <w:tcW w:w="483" w:type="pct"/>
            <w:tcBorders>
              <w:left w:val="nil"/>
              <w:bottom w:val="nil"/>
              <w:right w:val="nil"/>
            </w:tcBorders>
            <w:shd w:val="clear" w:color="auto" w:fill="F1E7E7"/>
            <w:vAlign w:val="center"/>
          </w:tcPr>
          <w:p w:rsidR="00935702" w:rsidRPr="001A209B" w:rsidRDefault="00935702" w:rsidP="00EE2613">
            <w:pPr>
              <w:spacing w:before="20" w:after="20"/>
              <w:jc w:val="right"/>
              <w:rPr>
                <w:rFonts w:cs="Arial"/>
                <w:sz w:val="18"/>
                <w:szCs w:val="18"/>
              </w:rPr>
            </w:pPr>
            <w:r w:rsidRPr="001A209B">
              <w:rPr>
                <w:rFonts w:cs="Arial"/>
                <w:sz w:val="18"/>
                <w:szCs w:val="18"/>
              </w:rPr>
              <w:t>731</w:t>
            </w:r>
          </w:p>
        </w:tc>
        <w:tc>
          <w:tcPr>
            <w:tcW w:w="495" w:type="pct"/>
            <w:tcBorders>
              <w:left w:val="nil"/>
              <w:bottom w:val="nil"/>
              <w:right w:val="nil"/>
            </w:tcBorders>
            <w:shd w:val="clear" w:color="auto" w:fill="F1E7E7"/>
            <w:vAlign w:val="center"/>
          </w:tcPr>
          <w:p w:rsidR="00935702" w:rsidRPr="001A209B" w:rsidRDefault="00935702" w:rsidP="00EE2613">
            <w:pPr>
              <w:spacing w:before="20" w:after="20"/>
              <w:jc w:val="right"/>
              <w:rPr>
                <w:rFonts w:cs="Arial"/>
                <w:sz w:val="18"/>
                <w:szCs w:val="18"/>
              </w:rPr>
            </w:pPr>
            <w:r w:rsidRPr="001A209B">
              <w:rPr>
                <w:rFonts w:cs="Arial"/>
                <w:sz w:val="18"/>
                <w:szCs w:val="18"/>
              </w:rPr>
              <w:t>(24)</w:t>
            </w:r>
          </w:p>
        </w:tc>
        <w:tc>
          <w:tcPr>
            <w:tcW w:w="483" w:type="pct"/>
            <w:tcBorders>
              <w:left w:val="nil"/>
              <w:bottom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21</w:t>
            </w:r>
          </w:p>
        </w:tc>
        <w:tc>
          <w:tcPr>
            <w:tcW w:w="512" w:type="pct"/>
            <w:tcBorders>
              <w:left w:val="nil"/>
              <w:bottom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728</w:t>
            </w:r>
          </w:p>
        </w:tc>
        <w:tc>
          <w:tcPr>
            <w:tcW w:w="419" w:type="pct"/>
            <w:tcBorders>
              <w:left w:val="nil"/>
              <w:bottom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w:t>
            </w:r>
          </w:p>
        </w:tc>
        <w:tc>
          <w:tcPr>
            <w:tcW w:w="489" w:type="pct"/>
            <w:tcBorders>
              <w:left w:val="nil"/>
              <w:bottom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+3%</w:t>
            </w:r>
          </w:p>
        </w:tc>
      </w:tr>
      <w:tr w:rsidR="00DC2268" w:rsidRPr="001A209B" w:rsidTr="00DF39D3">
        <w:tc>
          <w:tcPr>
            <w:tcW w:w="2118" w:type="pct"/>
            <w:tcBorders>
              <w:left w:val="nil"/>
              <w:bottom w:val="nil"/>
              <w:right w:val="nil"/>
            </w:tcBorders>
            <w:vAlign w:val="center"/>
          </w:tcPr>
          <w:p w:rsidR="00935702" w:rsidRPr="001A209B" w:rsidRDefault="00935702" w:rsidP="00EE2613">
            <w:pPr>
              <w:spacing w:before="20" w:after="20"/>
              <w:ind w:right="-117"/>
              <w:rPr>
                <w:rFonts w:cs="Arial"/>
                <w:sz w:val="18"/>
                <w:szCs w:val="18"/>
              </w:rPr>
            </w:pPr>
            <w:r w:rsidRPr="001A209B">
              <w:rPr>
                <w:rFonts w:cs="Arial"/>
                <w:sz w:val="18"/>
                <w:szCs w:val="18"/>
              </w:rPr>
              <w:t>Returns Markets South adjusted operating profit</w:t>
            </w:r>
          </w:p>
        </w:tc>
        <w:tc>
          <w:tcPr>
            <w:tcW w:w="483" w:type="pct"/>
            <w:tcBorders>
              <w:left w:val="nil"/>
              <w:bottom w:val="nil"/>
              <w:right w:val="nil"/>
            </w:tcBorders>
            <w:vAlign w:val="center"/>
          </w:tcPr>
          <w:p w:rsidR="00935702" w:rsidRPr="001A209B" w:rsidRDefault="00935702" w:rsidP="00EE2613">
            <w:pPr>
              <w:spacing w:before="20" w:after="20"/>
              <w:jc w:val="right"/>
              <w:rPr>
                <w:rFonts w:cs="Arial"/>
                <w:sz w:val="18"/>
                <w:szCs w:val="18"/>
              </w:rPr>
            </w:pPr>
            <w:r w:rsidRPr="001A209B">
              <w:rPr>
                <w:rFonts w:cs="Arial"/>
                <w:sz w:val="18"/>
                <w:szCs w:val="18"/>
              </w:rPr>
              <w:t>381</w:t>
            </w:r>
          </w:p>
        </w:tc>
        <w:tc>
          <w:tcPr>
            <w:tcW w:w="495" w:type="pct"/>
            <w:tcBorders>
              <w:left w:val="nil"/>
              <w:bottom w:val="nil"/>
              <w:right w:val="nil"/>
            </w:tcBorders>
            <w:vAlign w:val="center"/>
          </w:tcPr>
          <w:p w:rsidR="00935702" w:rsidRPr="001A209B" w:rsidRDefault="00935702" w:rsidP="00EE2613">
            <w:pPr>
              <w:spacing w:before="20" w:after="20"/>
              <w:jc w:val="right"/>
              <w:rPr>
                <w:rFonts w:cs="Arial"/>
                <w:sz w:val="18"/>
                <w:szCs w:val="18"/>
              </w:rPr>
            </w:pPr>
            <w:r w:rsidRPr="001A209B">
              <w:rPr>
                <w:rFonts w:cs="Arial"/>
                <w:sz w:val="18"/>
                <w:szCs w:val="18"/>
              </w:rPr>
              <w:t>(4)</w:t>
            </w:r>
          </w:p>
        </w:tc>
        <w:tc>
          <w:tcPr>
            <w:tcW w:w="483" w:type="pct"/>
            <w:tcBorders>
              <w:left w:val="nil"/>
              <w:bottom w:val="nil"/>
              <w:right w:val="nil"/>
            </w:tcBorders>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(16)</w:t>
            </w:r>
          </w:p>
        </w:tc>
        <w:tc>
          <w:tcPr>
            <w:tcW w:w="512" w:type="pct"/>
            <w:tcBorders>
              <w:left w:val="nil"/>
              <w:bottom w:val="nil"/>
              <w:right w:val="nil"/>
            </w:tcBorders>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361</w:t>
            </w:r>
          </w:p>
        </w:tc>
        <w:tc>
          <w:tcPr>
            <w:tcW w:w="419" w:type="pct"/>
            <w:tcBorders>
              <w:left w:val="nil"/>
              <w:bottom w:val="nil"/>
              <w:right w:val="nil"/>
            </w:tcBorders>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-5%</w:t>
            </w:r>
          </w:p>
        </w:tc>
        <w:tc>
          <w:tcPr>
            <w:tcW w:w="489" w:type="pct"/>
            <w:tcBorders>
              <w:left w:val="nil"/>
              <w:bottom w:val="nil"/>
              <w:right w:val="nil"/>
            </w:tcBorders>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-4%</w:t>
            </w:r>
          </w:p>
        </w:tc>
      </w:tr>
      <w:tr w:rsidR="00DC2268" w:rsidRPr="001A209B" w:rsidTr="00DF39D3">
        <w:tc>
          <w:tcPr>
            <w:tcW w:w="2118" w:type="pct"/>
            <w:tcBorders>
              <w:left w:val="nil"/>
              <w:bottom w:val="nil"/>
              <w:right w:val="nil"/>
            </w:tcBorders>
            <w:shd w:val="clear" w:color="auto" w:fill="F1E7E7"/>
            <w:vAlign w:val="center"/>
          </w:tcPr>
          <w:p w:rsidR="00935702" w:rsidRPr="001A209B" w:rsidRDefault="00935702" w:rsidP="00EE2613">
            <w:pPr>
              <w:spacing w:before="20" w:after="20"/>
              <w:rPr>
                <w:rFonts w:cs="Arial"/>
                <w:sz w:val="18"/>
                <w:szCs w:val="18"/>
              </w:rPr>
            </w:pPr>
            <w:r w:rsidRPr="001A209B">
              <w:rPr>
                <w:rFonts w:cs="Arial"/>
                <w:sz w:val="18"/>
                <w:szCs w:val="18"/>
              </w:rPr>
              <w:t>Logistics distribution fees</w:t>
            </w:r>
          </w:p>
        </w:tc>
        <w:tc>
          <w:tcPr>
            <w:tcW w:w="483" w:type="pct"/>
            <w:tcBorders>
              <w:left w:val="nil"/>
              <w:bottom w:val="nil"/>
              <w:right w:val="nil"/>
            </w:tcBorders>
            <w:shd w:val="clear" w:color="auto" w:fill="F1E7E7"/>
            <w:vAlign w:val="center"/>
          </w:tcPr>
          <w:p w:rsidR="00935702" w:rsidRPr="001A209B" w:rsidRDefault="00935702" w:rsidP="00EE2613">
            <w:pPr>
              <w:spacing w:before="20" w:after="20"/>
              <w:jc w:val="right"/>
              <w:rPr>
                <w:rFonts w:cs="Arial"/>
                <w:sz w:val="18"/>
                <w:szCs w:val="18"/>
              </w:rPr>
            </w:pPr>
            <w:r w:rsidRPr="001A209B">
              <w:rPr>
                <w:rFonts w:cs="Arial"/>
                <w:sz w:val="18"/>
                <w:szCs w:val="18"/>
              </w:rPr>
              <w:t>413</w:t>
            </w:r>
          </w:p>
        </w:tc>
        <w:tc>
          <w:tcPr>
            <w:tcW w:w="495" w:type="pct"/>
            <w:tcBorders>
              <w:left w:val="nil"/>
              <w:bottom w:val="nil"/>
              <w:right w:val="nil"/>
            </w:tcBorders>
            <w:shd w:val="clear" w:color="auto" w:fill="F1E7E7"/>
            <w:vAlign w:val="center"/>
          </w:tcPr>
          <w:p w:rsidR="00935702" w:rsidRPr="001A209B" w:rsidRDefault="00EB0B36" w:rsidP="00EE2613">
            <w:pPr>
              <w:spacing w:before="20" w:after="20"/>
              <w:jc w:val="right"/>
              <w:rPr>
                <w:rFonts w:cs="Arial"/>
                <w:sz w:val="18"/>
                <w:szCs w:val="18"/>
              </w:rPr>
            </w:pPr>
            <w:r w:rsidRPr="001A209B">
              <w:rPr>
                <w:rFonts w:cs="Arial"/>
                <w:sz w:val="18"/>
                <w:szCs w:val="18"/>
              </w:rPr>
              <w:t>3</w:t>
            </w:r>
            <w:r w:rsidR="00935702" w:rsidRPr="001A209B">
              <w:rPr>
                <w:rFonts w:cs="Arial"/>
                <w:sz w:val="18"/>
                <w:szCs w:val="18"/>
              </w:rPr>
              <w:t xml:space="preserve">           </w:t>
            </w:r>
          </w:p>
        </w:tc>
        <w:tc>
          <w:tcPr>
            <w:tcW w:w="483" w:type="pct"/>
            <w:tcBorders>
              <w:left w:val="nil"/>
              <w:bottom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14</w:t>
            </w:r>
          </w:p>
        </w:tc>
        <w:tc>
          <w:tcPr>
            <w:tcW w:w="512" w:type="pct"/>
            <w:tcBorders>
              <w:left w:val="nil"/>
              <w:bottom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430</w:t>
            </w:r>
          </w:p>
        </w:tc>
        <w:tc>
          <w:tcPr>
            <w:tcW w:w="419" w:type="pct"/>
            <w:tcBorders>
              <w:left w:val="nil"/>
              <w:bottom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+4%</w:t>
            </w:r>
          </w:p>
        </w:tc>
        <w:tc>
          <w:tcPr>
            <w:tcW w:w="489" w:type="pct"/>
            <w:tcBorders>
              <w:left w:val="nil"/>
              <w:bottom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+3%</w:t>
            </w:r>
          </w:p>
        </w:tc>
      </w:tr>
      <w:tr w:rsidR="00DC2268" w:rsidRPr="001A209B" w:rsidTr="00DF39D3">
        <w:tc>
          <w:tcPr>
            <w:tcW w:w="2118" w:type="pct"/>
            <w:tcBorders>
              <w:top w:val="nil"/>
              <w:left w:val="nil"/>
              <w:right w:val="nil"/>
            </w:tcBorders>
            <w:vAlign w:val="center"/>
          </w:tcPr>
          <w:p w:rsidR="00935702" w:rsidRPr="001A209B" w:rsidRDefault="00935702" w:rsidP="00EE2613">
            <w:pPr>
              <w:spacing w:before="20" w:after="20"/>
              <w:rPr>
                <w:rFonts w:cs="Arial"/>
                <w:sz w:val="18"/>
                <w:szCs w:val="18"/>
              </w:rPr>
            </w:pPr>
            <w:r w:rsidRPr="001A209B">
              <w:rPr>
                <w:rFonts w:cs="Arial"/>
                <w:sz w:val="18"/>
                <w:szCs w:val="18"/>
              </w:rPr>
              <w:t>Logistics adjusted operating profit</w:t>
            </w:r>
          </w:p>
        </w:tc>
        <w:tc>
          <w:tcPr>
            <w:tcW w:w="483" w:type="pct"/>
            <w:tcBorders>
              <w:top w:val="nil"/>
              <w:left w:val="nil"/>
              <w:right w:val="nil"/>
            </w:tcBorders>
            <w:vAlign w:val="center"/>
          </w:tcPr>
          <w:p w:rsidR="00935702" w:rsidRPr="001A209B" w:rsidRDefault="00935702" w:rsidP="00EE2613">
            <w:pPr>
              <w:spacing w:before="20" w:after="20"/>
              <w:jc w:val="right"/>
              <w:rPr>
                <w:rFonts w:cs="Arial"/>
                <w:sz w:val="18"/>
                <w:szCs w:val="18"/>
              </w:rPr>
            </w:pPr>
            <w:r w:rsidRPr="001A209B">
              <w:rPr>
                <w:rFonts w:cs="Arial"/>
                <w:sz w:val="18"/>
                <w:szCs w:val="18"/>
              </w:rPr>
              <w:t>74</w:t>
            </w:r>
          </w:p>
        </w:tc>
        <w:tc>
          <w:tcPr>
            <w:tcW w:w="495" w:type="pct"/>
            <w:tcBorders>
              <w:top w:val="nil"/>
              <w:left w:val="nil"/>
              <w:right w:val="nil"/>
            </w:tcBorders>
            <w:vAlign w:val="center"/>
          </w:tcPr>
          <w:p w:rsidR="00935702" w:rsidRPr="001A209B" w:rsidRDefault="00935702" w:rsidP="00EE2613">
            <w:pPr>
              <w:spacing w:before="20" w:after="20"/>
              <w:jc w:val="right"/>
              <w:rPr>
                <w:rFonts w:cs="Arial"/>
                <w:sz w:val="18"/>
                <w:szCs w:val="18"/>
              </w:rPr>
            </w:pPr>
            <w:r w:rsidRPr="001A209B">
              <w:rPr>
                <w:rFonts w:cs="Arial"/>
                <w:sz w:val="18"/>
                <w:szCs w:val="18"/>
              </w:rPr>
              <w:t>-</w:t>
            </w:r>
          </w:p>
        </w:tc>
        <w:tc>
          <w:tcPr>
            <w:tcW w:w="483" w:type="pct"/>
            <w:tcBorders>
              <w:top w:val="nil"/>
              <w:left w:val="nil"/>
              <w:right w:val="nil"/>
            </w:tcBorders>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(1)</w:t>
            </w:r>
          </w:p>
        </w:tc>
        <w:tc>
          <w:tcPr>
            <w:tcW w:w="512" w:type="pct"/>
            <w:tcBorders>
              <w:top w:val="nil"/>
              <w:left w:val="nil"/>
              <w:right w:val="nil"/>
            </w:tcBorders>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73</w:t>
            </w:r>
          </w:p>
        </w:tc>
        <w:tc>
          <w:tcPr>
            <w:tcW w:w="419" w:type="pct"/>
            <w:tcBorders>
              <w:top w:val="nil"/>
              <w:left w:val="nil"/>
              <w:right w:val="nil"/>
            </w:tcBorders>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-1%</w:t>
            </w:r>
          </w:p>
        </w:tc>
        <w:tc>
          <w:tcPr>
            <w:tcW w:w="489" w:type="pct"/>
            <w:tcBorders>
              <w:top w:val="nil"/>
              <w:left w:val="nil"/>
              <w:right w:val="nil"/>
            </w:tcBorders>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-1%</w:t>
            </w:r>
          </w:p>
        </w:tc>
      </w:tr>
      <w:tr w:rsidR="00DC2268" w:rsidRPr="001A209B" w:rsidTr="00DF39D3">
        <w:tc>
          <w:tcPr>
            <w:tcW w:w="2118" w:type="pct"/>
            <w:tcBorders>
              <w:left w:val="nil"/>
              <w:right w:val="nil"/>
            </w:tcBorders>
            <w:shd w:val="clear" w:color="auto" w:fill="F1E7E7"/>
            <w:vAlign w:val="center"/>
          </w:tcPr>
          <w:p w:rsidR="00935702" w:rsidRPr="001A209B" w:rsidRDefault="00935702" w:rsidP="00EE2613">
            <w:pPr>
              <w:spacing w:before="20" w:after="20"/>
              <w:rPr>
                <w:rFonts w:cs="Arial"/>
                <w:sz w:val="18"/>
                <w:szCs w:val="18"/>
              </w:rPr>
            </w:pPr>
            <w:r w:rsidRPr="001A209B">
              <w:rPr>
                <w:rFonts w:cs="Arial"/>
                <w:sz w:val="18"/>
                <w:szCs w:val="18"/>
              </w:rPr>
              <w:t>Adjusted operating profit</w:t>
            </w:r>
          </w:p>
        </w:tc>
        <w:tc>
          <w:tcPr>
            <w:tcW w:w="483" w:type="pct"/>
            <w:tcBorders>
              <w:left w:val="nil"/>
              <w:right w:val="nil"/>
            </w:tcBorders>
            <w:shd w:val="clear" w:color="auto" w:fill="F1E7E7"/>
            <w:vAlign w:val="center"/>
          </w:tcPr>
          <w:p w:rsidR="00935702" w:rsidRPr="001A209B" w:rsidRDefault="00935702" w:rsidP="00EE2613">
            <w:pPr>
              <w:spacing w:before="20" w:after="20"/>
              <w:jc w:val="right"/>
              <w:rPr>
                <w:rFonts w:cs="Arial"/>
                <w:sz w:val="18"/>
                <w:szCs w:val="18"/>
              </w:rPr>
            </w:pPr>
            <w:r w:rsidRPr="001A209B">
              <w:rPr>
                <w:rFonts w:cs="Arial"/>
                <w:sz w:val="18"/>
                <w:szCs w:val="18"/>
              </w:rPr>
              <w:t>1,425</w:t>
            </w:r>
          </w:p>
        </w:tc>
        <w:tc>
          <w:tcPr>
            <w:tcW w:w="495" w:type="pct"/>
            <w:tcBorders>
              <w:left w:val="nil"/>
              <w:right w:val="nil"/>
            </w:tcBorders>
            <w:shd w:val="clear" w:color="auto" w:fill="F1E7E7"/>
            <w:vAlign w:val="center"/>
          </w:tcPr>
          <w:p w:rsidR="00935702" w:rsidRPr="001A209B" w:rsidRDefault="00935702" w:rsidP="00EE2613">
            <w:pPr>
              <w:spacing w:before="20" w:after="20"/>
              <w:jc w:val="right"/>
              <w:rPr>
                <w:rFonts w:cs="Arial"/>
                <w:sz w:val="18"/>
                <w:szCs w:val="18"/>
              </w:rPr>
            </w:pPr>
            <w:r w:rsidRPr="001A209B">
              <w:rPr>
                <w:rFonts w:cs="Arial"/>
                <w:sz w:val="18"/>
                <w:szCs w:val="18"/>
              </w:rPr>
              <w:t>(42)</w:t>
            </w:r>
          </w:p>
        </w:tc>
        <w:tc>
          <w:tcPr>
            <w:tcW w:w="483" w:type="pct"/>
            <w:tcBorders>
              <w:left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(16)</w:t>
            </w:r>
          </w:p>
        </w:tc>
        <w:tc>
          <w:tcPr>
            <w:tcW w:w="512" w:type="pct"/>
            <w:tcBorders>
              <w:left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1,367</w:t>
            </w:r>
          </w:p>
        </w:tc>
        <w:tc>
          <w:tcPr>
            <w:tcW w:w="419" w:type="pct"/>
            <w:tcBorders>
              <w:left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-4%</w:t>
            </w:r>
          </w:p>
        </w:tc>
        <w:tc>
          <w:tcPr>
            <w:tcW w:w="489" w:type="pct"/>
            <w:tcBorders>
              <w:left w:val="nil"/>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-1%</w:t>
            </w:r>
          </w:p>
        </w:tc>
      </w:tr>
      <w:tr w:rsidR="00DC2268" w:rsidRPr="001A209B" w:rsidTr="00DF39D3">
        <w:tc>
          <w:tcPr>
            <w:tcW w:w="2118" w:type="pct"/>
            <w:tcBorders>
              <w:left w:val="nil"/>
              <w:right w:val="nil"/>
            </w:tcBorders>
            <w:vAlign w:val="center"/>
          </w:tcPr>
          <w:p w:rsidR="00935702" w:rsidRPr="001A209B" w:rsidRDefault="00935702" w:rsidP="00EE2613">
            <w:pPr>
              <w:spacing w:before="20" w:after="20"/>
              <w:rPr>
                <w:rFonts w:cs="Arial"/>
                <w:sz w:val="18"/>
                <w:szCs w:val="18"/>
              </w:rPr>
            </w:pPr>
            <w:r w:rsidRPr="001A209B">
              <w:rPr>
                <w:rFonts w:cs="Arial"/>
                <w:sz w:val="18"/>
                <w:szCs w:val="18"/>
              </w:rPr>
              <w:t>Adjusted net finance costs</w:t>
            </w:r>
          </w:p>
        </w:tc>
        <w:tc>
          <w:tcPr>
            <w:tcW w:w="483" w:type="pct"/>
            <w:tcBorders>
              <w:left w:val="nil"/>
              <w:right w:val="nil"/>
            </w:tcBorders>
            <w:vAlign w:val="center"/>
          </w:tcPr>
          <w:p w:rsidR="00935702" w:rsidRPr="001A209B" w:rsidRDefault="00935702" w:rsidP="00EE2613">
            <w:pPr>
              <w:spacing w:before="20" w:after="20"/>
              <w:jc w:val="right"/>
              <w:rPr>
                <w:rFonts w:cs="Arial"/>
                <w:sz w:val="18"/>
                <w:szCs w:val="18"/>
              </w:rPr>
            </w:pPr>
            <w:r w:rsidRPr="001A209B">
              <w:rPr>
                <w:rFonts w:cs="Arial"/>
                <w:sz w:val="18"/>
                <w:szCs w:val="18"/>
              </w:rPr>
              <w:t>(263)</w:t>
            </w:r>
          </w:p>
        </w:tc>
        <w:tc>
          <w:tcPr>
            <w:tcW w:w="495" w:type="pct"/>
            <w:tcBorders>
              <w:left w:val="nil"/>
              <w:right w:val="nil"/>
            </w:tcBorders>
            <w:vAlign w:val="center"/>
          </w:tcPr>
          <w:p w:rsidR="00935702" w:rsidRPr="001A209B" w:rsidRDefault="00935702" w:rsidP="00EE2613">
            <w:pPr>
              <w:spacing w:before="20" w:after="20"/>
              <w:jc w:val="right"/>
              <w:rPr>
                <w:rFonts w:cs="Arial"/>
                <w:sz w:val="18"/>
                <w:szCs w:val="18"/>
              </w:rPr>
            </w:pPr>
            <w:r w:rsidRPr="001A209B">
              <w:rPr>
                <w:rFonts w:cs="Arial"/>
                <w:sz w:val="18"/>
                <w:szCs w:val="18"/>
              </w:rPr>
              <w:t>-</w:t>
            </w:r>
          </w:p>
        </w:tc>
        <w:tc>
          <w:tcPr>
            <w:tcW w:w="483" w:type="pct"/>
            <w:tcBorders>
              <w:left w:val="nil"/>
              <w:right w:val="nil"/>
            </w:tcBorders>
            <w:vAlign w:val="center"/>
          </w:tcPr>
          <w:p w:rsidR="00935702" w:rsidRPr="001A209B" w:rsidRDefault="00EB0B36" w:rsidP="00EE2613">
            <w:pPr>
              <w:spacing w:before="20" w:after="20"/>
              <w:jc w:val="right"/>
              <w:rPr>
                <w:rFonts w:cs="Arial"/>
                <w:b/>
                <w:bCs/>
                <w:sz w:val="18"/>
                <w:szCs w:val="18"/>
              </w:rPr>
            </w:pPr>
            <w:r w:rsidRPr="001A209B">
              <w:rPr>
                <w:rFonts w:cs="Arial"/>
                <w:b/>
                <w:bCs/>
                <w:sz w:val="18"/>
                <w:szCs w:val="18"/>
              </w:rPr>
              <w:t>8</w:t>
            </w:r>
          </w:p>
        </w:tc>
        <w:tc>
          <w:tcPr>
            <w:tcW w:w="512" w:type="pct"/>
            <w:tcBorders>
              <w:left w:val="nil"/>
              <w:right w:val="nil"/>
            </w:tcBorders>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(255)</w:t>
            </w:r>
          </w:p>
        </w:tc>
        <w:tc>
          <w:tcPr>
            <w:tcW w:w="419" w:type="pct"/>
            <w:tcBorders>
              <w:left w:val="nil"/>
              <w:right w:val="nil"/>
            </w:tcBorders>
            <w:vAlign w:val="center"/>
          </w:tcPr>
          <w:p w:rsidR="00935702" w:rsidRPr="001A209B" w:rsidRDefault="00EB0B36" w:rsidP="00EE2613">
            <w:pPr>
              <w:spacing w:before="20" w:after="20"/>
              <w:jc w:val="right"/>
              <w:rPr>
                <w:rFonts w:cs="Arial"/>
                <w:b/>
                <w:bCs/>
                <w:sz w:val="18"/>
                <w:szCs w:val="18"/>
              </w:rPr>
            </w:pPr>
            <w:r w:rsidRPr="001A209B">
              <w:rPr>
                <w:rFonts w:cs="Arial"/>
                <w:b/>
                <w:bCs/>
                <w:sz w:val="18"/>
                <w:szCs w:val="18"/>
              </w:rPr>
              <w:t>+3</w:t>
            </w:r>
            <w:r w:rsidR="00935702" w:rsidRPr="001A209B">
              <w:rPr>
                <w:rFonts w:cs="Arial"/>
                <w:b/>
                <w:bCs/>
                <w:sz w:val="18"/>
                <w:szCs w:val="18"/>
              </w:rPr>
              <w:t>%</w:t>
            </w:r>
          </w:p>
        </w:tc>
        <w:tc>
          <w:tcPr>
            <w:tcW w:w="489" w:type="pct"/>
            <w:tcBorders>
              <w:left w:val="nil"/>
              <w:right w:val="nil"/>
            </w:tcBorders>
            <w:vAlign w:val="center"/>
          </w:tcPr>
          <w:p w:rsidR="00935702" w:rsidRPr="001A209B" w:rsidRDefault="00EB0B36" w:rsidP="00EE2613">
            <w:pPr>
              <w:spacing w:before="20" w:after="20"/>
              <w:jc w:val="right"/>
              <w:rPr>
                <w:rFonts w:cs="Arial"/>
                <w:b/>
                <w:bCs/>
                <w:sz w:val="18"/>
                <w:szCs w:val="18"/>
              </w:rPr>
            </w:pPr>
            <w:r w:rsidRPr="001A209B">
              <w:rPr>
                <w:rFonts w:cs="Arial"/>
                <w:b/>
                <w:bCs/>
                <w:sz w:val="18"/>
                <w:szCs w:val="18"/>
              </w:rPr>
              <w:t>+3</w:t>
            </w:r>
            <w:r w:rsidR="00935702" w:rsidRPr="001A209B">
              <w:rPr>
                <w:rFonts w:cs="Arial"/>
                <w:b/>
                <w:bCs/>
                <w:sz w:val="18"/>
                <w:szCs w:val="18"/>
              </w:rPr>
              <w:t>%</w:t>
            </w:r>
          </w:p>
        </w:tc>
      </w:tr>
      <w:tr w:rsidR="00DC2268" w:rsidRPr="001A209B" w:rsidTr="00DF39D3">
        <w:tc>
          <w:tcPr>
            <w:tcW w:w="2118" w:type="pct"/>
            <w:tcBorders>
              <w:left w:val="nil"/>
              <w:bottom w:val="single" w:sz="4" w:space="0" w:color="auto"/>
              <w:right w:val="nil"/>
            </w:tcBorders>
            <w:shd w:val="clear" w:color="auto" w:fill="F1E7E7"/>
            <w:vAlign w:val="center"/>
          </w:tcPr>
          <w:p w:rsidR="00935702" w:rsidRPr="001A209B" w:rsidRDefault="00935702" w:rsidP="00EE2613">
            <w:pPr>
              <w:spacing w:before="20" w:after="20"/>
              <w:rPr>
                <w:rFonts w:cs="Arial"/>
                <w:sz w:val="18"/>
                <w:szCs w:val="18"/>
              </w:rPr>
            </w:pPr>
            <w:r w:rsidRPr="001A209B">
              <w:rPr>
                <w:rFonts w:cs="Arial"/>
                <w:sz w:val="18"/>
                <w:szCs w:val="18"/>
              </w:rPr>
              <w:t>Adjusted EPS</w:t>
            </w:r>
          </w:p>
        </w:tc>
        <w:tc>
          <w:tcPr>
            <w:tcW w:w="483" w:type="pct"/>
            <w:tcBorders>
              <w:left w:val="nil"/>
              <w:bottom w:val="single" w:sz="4" w:space="0" w:color="auto"/>
              <w:right w:val="nil"/>
            </w:tcBorders>
            <w:shd w:val="clear" w:color="auto" w:fill="F1E7E7"/>
            <w:vAlign w:val="center"/>
          </w:tcPr>
          <w:p w:rsidR="00935702" w:rsidRPr="001A209B" w:rsidRDefault="00935702" w:rsidP="00EE2613">
            <w:pPr>
              <w:spacing w:before="20" w:after="20"/>
              <w:jc w:val="right"/>
              <w:rPr>
                <w:rFonts w:cs="Arial"/>
                <w:sz w:val="18"/>
                <w:szCs w:val="18"/>
              </w:rPr>
            </w:pPr>
            <w:r w:rsidRPr="001A209B">
              <w:rPr>
                <w:rFonts w:cs="Arial"/>
                <w:sz w:val="18"/>
                <w:szCs w:val="18"/>
              </w:rPr>
              <w:t>90.2p</w:t>
            </w:r>
          </w:p>
        </w:tc>
        <w:tc>
          <w:tcPr>
            <w:tcW w:w="495" w:type="pct"/>
            <w:tcBorders>
              <w:left w:val="nil"/>
              <w:bottom w:val="single" w:sz="4" w:space="0" w:color="auto"/>
              <w:right w:val="nil"/>
            </w:tcBorders>
            <w:shd w:val="clear" w:color="auto" w:fill="F1E7E7"/>
            <w:vAlign w:val="center"/>
          </w:tcPr>
          <w:p w:rsidR="00935702" w:rsidRPr="001A209B" w:rsidRDefault="00935702" w:rsidP="00EE2613">
            <w:pPr>
              <w:spacing w:before="20" w:after="20"/>
              <w:jc w:val="right"/>
              <w:rPr>
                <w:rFonts w:cs="Arial"/>
                <w:sz w:val="18"/>
                <w:szCs w:val="18"/>
              </w:rPr>
            </w:pPr>
            <w:r w:rsidRPr="001A209B">
              <w:rPr>
                <w:rFonts w:cs="Arial"/>
                <w:sz w:val="18"/>
                <w:szCs w:val="18"/>
              </w:rPr>
              <w:t>(3.2)p</w:t>
            </w:r>
          </w:p>
        </w:tc>
        <w:tc>
          <w:tcPr>
            <w:tcW w:w="483" w:type="pct"/>
            <w:tcBorders>
              <w:left w:val="nil"/>
              <w:bottom w:val="single" w:sz="4" w:space="0" w:color="auto"/>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2.6p</w:t>
            </w:r>
          </w:p>
        </w:tc>
        <w:tc>
          <w:tcPr>
            <w:tcW w:w="512" w:type="pct"/>
            <w:tcBorders>
              <w:left w:val="nil"/>
              <w:bottom w:val="single" w:sz="4" w:space="0" w:color="auto"/>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89.6p</w:t>
            </w:r>
          </w:p>
        </w:tc>
        <w:tc>
          <w:tcPr>
            <w:tcW w:w="419" w:type="pct"/>
            <w:tcBorders>
              <w:left w:val="nil"/>
              <w:bottom w:val="single" w:sz="4" w:space="0" w:color="auto"/>
              <w:right w:val="nil"/>
            </w:tcBorders>
            <w:shd w:val="clear" w:color="auto" w:fill="F1E7E7"/>
            <w:vAlign w:val="center"/>
          </w:tcPr>
          <w:p w:rsidR="00935702" w:rsidRPr="001A209B" w:rsidRDefault="00EB0B36" w:rsidP="00EE2613">
            <w:pPr>
              <w:spacing w:before="20" w:after="20"/>
              <w:jc w:val="right"/>
              <w:rPr>
                <w:rFonts w:cs="Arial"/>
                <w:b/>
                <w:bCs/>
                <w:sz w:val="18"/>
                <w:szCs w:val="18"/>
              </w:rPr>
            </w:pPr>
            <w:r w:rsidRPr="001A209B">
              <w:rPr>
                <w:rFonts w:cs="Arial"/>
                <w:b/>
                <w:bCs/>
                <w:sz w:val="18"/>
                <w:szCs w:val="18"/>
              </w:rPr>
              <w:t>-1%</w:t>
            </w:r>
          </w:p>
        </w:tc>
        <w:tc>
          <w:tcPr>
            <w:tcW w:w="489" w:type="pct"/>
            <w:tcBorders>
              <w:left w:val="nil"/>
              <w:bottom w:val="single" w:sz="4" w:space="0" w:color="auto"/>
              <w:right w:val="nil"/>
            </w:tcBorders>
            <w:shd w:val="clear" w:color="auto" w:fill="F1E7E7"/>
            <w:vAlign w:val="center"/>
          </w:tcPr>
          <w:p w:rsidR="00935702" w:rsidRPr="001A209B" w:rsidRDefault="00935702" w:rsidP="00EE2613">
            <w:pPr>
              <w:spacing w:before="20" w:after="20"/>
              <w:jc w:val="right"/>
              <w:rPr>
                <w:rFonts w:cs="Arial"/>
                <w:b/>
                <w:bCs/>
                <w:sz w:val="18"/>
                <w:szCs w:val="18"/>
              </w:rPr>
            </w:pPr>
            <w:r w:rsidRPr="001A209B">
              <w:rPr>
                <w:rFonts w:cs="Arial"/>
                <w:b/>
                <w:bCs/>
                <w:sz w:val="18"/>
                <w:szCs w:val="18"/>
              </w:rPr>
              <w:t>+3%</w:t>
            </w:r>
          </w:p>
        </w:tc>
      </w:tr>
    </w:tbl>
    <w:p w:rsidR="00591065" w:rsidRPr="001A209B" w:rsidRDefault="00DF39D3" w:rsidP="00935702">
      <w:pPr>
        <w:shd w:val="clear" w:color="auto" w:fill="FFFFFF"/>
        <w:spacing w:before="20" w:after="20"/>
        <w:jc w:val="both"/>
        <w:rPr>
          <w:rFonts w:cs="Arial"/>
          <w:bCs/>
          <w:i/>
          <w:sz w:val="16"/>
          <w:szCs w:val="16"/>
        </w:rPr>
      </w:pPr>
      <w:r w:rsidRPr="001A209B">
        <w:rPr>
          <w:rFonts w:cs="Arial"/>
          <w:i/>
          <w:sz w:val="18"/>
          <w:szCs w:val="18"/>
          <w:vertAlign w:val="superscript"/>
        </w:rPr>
        <w:t xml:space="preserve">1 </w:t>
      </w:r>
      <w:r w:rsidR="007A266C" w:rsidRPr="001A209B">
        <w:rPr>
          <w:rFonts w:cs="Arial"/>
          <w:bCs/>
          <w:i/>
          <w:sz w:val="16"/>
          <w:szCs w:val="16"/>
        </w:rPr>
        <w:t>See page 11</w:t>
      </w:r>
      <w:r w:rsidRPr="001A209B">
        <w:rPr>
          <w:rFonts w:cs="Arial"/>
          <w:bCs/>
          <w:i/>
          <w:sz w:val="16"/>
          <w:szCs w:val="16"/>
        </w:rPr>
        <w:t xml:space="preserve"> for basis of presentation.</w:t>
      </w:r>
    </w:p>
    <w:p w:rsidR="00DF39D3" w:rsidRPr="001A209B" w:rsidRDefault="00DF39D3" w:rsidP="00935702">
      <w:pPr>
        <w:shd w:val="clear" w:color="auto" w:fill="FFFFFF"/>
        <w:spacing w:before="20" w:after="20"/>
        <w:jc w:val="both"/>
        <w:rPr>
          <w:rFonts w:cs="Arial"/>
          <w:sz w:val="18"/>
          <w:szCs w:val="18"/>
        </w:rPr>
      </w:pPr>
    </w:p>
    <w:p w:rsidR="001A209B" w:rsidRDefault="001A209B" w:rsidP="00935702">
      <w:pPr>
        <w:shd w:val="clear" w:color="auto" w:fill="FFFFFF"/>
        <w:spacing w:before="20" w:after="20"/>
        <w:jc w:val="both"/>
        <w:rPr>
          <w:rFonts w:cs="Arial"/>
          <w:sz w:val="18"/>
          <w:szCs w:val="18"/>
        </w:rPr>
      </w:pPr>
      <w:r w:rsidRPr="001A209B">
        <w:rPr>
          <w:rFonts w:cs="Arial"/>
          <w:sz w:val="18"/>
          <w:szCs w:val="18"/>
        </w:rPr>
        <w:t xml:space="preserve">We are optimising our cost base and implementing a stock optimisation programme, aligned with our strategy.  The stock programme impacted our revenue and profit performance in the period. </w:t>
      </w:r>
    </w:p>
    <w:p w:rsidR="001A209B" w:rsidRDefault="001A209B" w:rsidP="00935702">
      <w:pPr>
        <w:shd w:val="clear" w:color="auto" w:fill="FFFFFF"/>
        <w:spacing w:before="20" w:after="20"/>
        <w:jc w:val="both"/>
        <w:rPr>
          <w:rFonts w:cs="Arial"/>
          <w:sz w:val="18"/>
          <w:szCs w:val="18"/>
        </w:rPr>
      </w:pPr>
    </w:p>
    <w:p w:rsidR="00935702" w:rsidRPr="001A209B" w:rsidRDefault="00935702" w:rsidP="00935702">
      <w:pPr>
        <w:shd w:val="clear" w:color="auto" w:fill="FFFFFF"/>
        <w:spacing w:before="20" w:after="20"/>
        <w:jc w:val="both"/>
        <w:rPr>
          <w:rFonts w:cs="Arial"/>
          <w:sz w:val="18"/>
          <w:szCs w:val="18"/>
        </w:rPr>
      </w:pPr>
      <w:r w:rsidRPr="001A209B">
        <w:rPr>
          <w:rFonts w:cs="Arial"/>
          <w:sz w:val="18"/>
          <w:szCs w:val="18"/>
        </w:rPr>
        <w:t>Tobacco net revenue was down by 2 per cent, as volume declines of 8 per cent more than offset price and mix gains. The proportion of net revenue due to Growth and Specialist brands increased, improving the quality of our revenue and strengthening our sustainability. Logistics distribution fees were 3 per cent higher, a good performance in a challenging environment.</w:t>
      </w:r>
    </w:p>
    <w:p w:rsidR="00935702" w:rsidRPr="001A209B" w:rsidRDefault="00935702" w:rsidP="00935702">
      <w:pPr>
        <w:shd w:val="clear" w:color="auto" w:fill="FFFFFF"/>
        <w:spacing w:before="20" w:after="20"/>
        <w:jc w:val="both"/>
        <w:rPr>
          <w:rFonts w:cs="Arial"/>
          <w:sz w:val="18"/>
          <w:szCs w:val="18"/>
        </w:rPr>
      </w:pPr>
    </w:p>
    <w:p w:rsidR="00935702" w:rsidRPr="001A209B" w:rsidRDefault="00935702" w:rsidP="00935702">
      <w:pPr>
        <w:shd w:val="clear" w:color="auto" w:fill="FFFFFF"/>
        <w:spacing w:before="20" w:after="20"/>
        <w:jc w:val="both"/>
        <w:rPr>
          <w:rFonts w:cs="Arial"/>
          <w:sz w:val="18"/>
          <w:szCs w:val="18"/>
        </w:rPr>
      </w:pPr>
      <w:r w:rsidRPr="001A209B">
        <w:rPr>
          <w:rFonts w:cs="Arial"/>
          <w:sz w:val="18"/>
          <w:szCs w:val="18"/>
        </w:rPr>
        <w:t xml:space="preserve">Adjusted operating profit declined by 1 per cent. Difficult economic conditions and illicit trade impacted results in Returns Market South, and market weakness continued in Russia following regulatory and excise changes, but these were </w:t>
      </w:r>
      <w:r w:rsidR="003E0570" w:rsidRPr="001A209B">
        <w:rPr>
          <w:rFonts w:cs="Arial"/>
          <w:sz w:val="18"/>
          <w:szCs w:val="18"/>
        </w:rPr>
        <w:t xml:space="preserve">partly offset by results in </w:t>
      </w:r>
      <w:r w:rsidRPr="001A209B">
        <w:rPr>
          <w:rFonts w:cs="Arial"/>
          <w:sz w:val="18"/>
          <w:szCs w:val="18"/>
        </w:rPr>
        <w:t>Germany and Australia in Returns North. Tobacco adjusted operating profit was down 2 per cent while Logistics adjusted operating profit declined by 1 per cent.</w:t>
      </w:r>
    </w:p>
    <w:p w:rsidR="00935702" w:rsidRPr="001A209B" w:rsidRDefault="00935702" w:rsidP="00935702">
      <w:pPr>
        <w:shd w:val="clear" w:color="auto" w:fill="FFFFFF"/>
        <w:spacing w:before="20" w:after="20"/>
        <w:jc w:val="both"/>
        <w:rPr>
          <w:rFonts w:cs="Arial"/>
          <w:sz w:val="18"/>
          <w:szCs w:val="18"/>
        </w:rPr>
      </w:pPr>
    </w:p>
    <w:p w:rsidR="00935702" w:rsidRPr="001A209B" w:rsidRDefault="00935702" w:rsidP="00935702">
      <w:pPr>
        <w:shd w:val="clear" w:color="auto" w:fill="FFFFFF"/>
        <w:spacing w:before="20" w:after="20"/>
        <w:jc w:val="both"/>
        <w:rPr>
          <w:rFonts w:cs="Arial"/>
          <w:sz w:val="18"/>
          <w:szCs w:val="18"/>
        </w:rPr>
      </w:pPr>
      <w:r w:rsidRPr="001A209B">
        <w:rPr>
          <w:rFonts w:cs="Arial"/>
          <w:sz w:val="18"/>
          <w:szCs w:val="18"/>
        </w:rPr>
        <w:t xml:space="preserve">Adjusted net finance costs were </w:t>
      </w:r>
      <w:r w:rsidR="00B256CD" w:rsidRPr="001A209B">
        <w:rPr>
          <w:rFonts w:cs="Arial"/>
          <w:sz w:val="18"/>
          <w:szCs w:val="18"/>
        </w:rPr>
        <w:t>a little</w:t>
      </w:r>
      <w:r w:rsidRPr="001A209B">
        <w:rPr>
          <w:rFonts w:cs="Arial"/>
          <w:sz w:val="18"/>
          <w:szCs w:val="18"/>
        </w:rPr>
        <w:t xml:space="preserve"> lower at £255 million (2013: £263 million)</w:t>
      </w:r>
      <w:r w:rsidR="00B256CD" w:rsidRPr="001A209B">
        <w:rPr>
          <w:rFonts w:cs="Arial"/>
          <w:sz w:val="18"/>
          <w:szCs w:val="18"/>
        </w:rPr>
        <w:t>,</w:t>
      </w:r>
      <w:r w:rsidRPr="001A209B">
        <w:rPr>
          <w:rFonts w:cs="Arial"/>
          <w:sz w:val="18"/>
          <w:szCs w:val="18"/>
        </w:rPr>
        <w:t xml:space="preserve"> as average debt remained stable</w:t>
      </w:r>
      <w:r w:rsidR="00B256CD" w:rsidRPr="001A209B">
        <w:rPr>
          <w:rFonts w:cs="Arial"/>
          <w:sz w:val="18"/>
          <w:szCs w:val="18"/>
        </w:rPr>
        <w:t xml:space="preserve"> while our cost of debt declined slightly</w:t>
      </w:r>
      <w:r w:rsidRPr="001A209B">
        <w:rPr>
          <w:rFonts w:cs="Arial"/>
          <w:sz w:val="18"/>
          <w:szCs w:val="18"/>
        </w:rPr>
        <w:t>. Reported net finance costs were £351 million (2013: £371 million), reflecting net fair value and exchange losses on financial instruments of £75 million (2013: £87 million) and post-employment benefits net financing costs of £21 million (2013: £21 million).</w:t>
      </w:r>
    </w:p>
    <w:p w:rsidR="00935702" w:rsidRPr="001A209B" w:rsidRDefault="00935702" w:rsidP="00935702">
      <w:pPr>
        <w:shd w:val="clear" w:color="auto" w:fill="FFFFFF"/>
        <w:spacing w:before="20" w:after="20"/>
        <w:jc w:val="both"/>
        <w:rPr>
          <w:rFonts w:cs="Arial"/>
          <w:sz w:val="18"/>
          <w:szCs w:val="18"/>
        </w:rPr>
      </w:pPr>
    </w:p>
    <w:p w:rsidR="00935702" w:rsidRPr="001A209B" w:rsidRDefault="00935702" w:rsidP="00935702">
      <w:pPr>
        <w:shd w:val="clear" w:color="auto" w:fill="FFFFFF"/>
        <w:spacing w:before="20" w:after="20"/>
        <w:jc w:val="both"/>
        <w:rPr>
          <w:rFonts w:cs="Arial"/>
          <w:sz w:val="18"/>
          <w:szCs w:val="18"/>
        </w:rPr>
      </w:pPr>
      <w:r w:rsidRPr="001A209B">
        <w:rPr>
          <w:rFonts w:cs="Arial"/>
          <w:sz w:val="18"/>
          <w:szCs w:val="18"/>
        </w:rPr>
        <w:t xml:space="preserve">After tax at an effective rate of 22 per cent (2013: 23 per cent), adjusted earnings per share grew by 3 per cent to </w:t>
      </w:r>
      <w:r w:rsidR="00B24376" w:rsidRPr="001A209B">
        <w:rPr>
          <w:rFonts w:cs="Arial"/>
          <w:sz w:val="18"/>
          <w:szCs w:val="18"/>
        </w:rPr>
        <w:t>89.6</w:t>
      </w:r>
      <w:r w:rsidRPr="001A209B">
        <w:rPr>
          <w:rFonts w:cs="Arial"/>
          <w:sz w:val="18"/>
          <w:szCs w:val="18"/>
        </w:rPr>
        <w:t xml:space="preserve"> pence.</w:t>
      </w:r>
    </w:p>
    <w:p w:rsidR="00935702" w:rsidRPr="001A209B" w:rsidRDefault="00935702" w:rsidP="00935702">
      <w:pPr>
        <w:shd w:val="clear" w:color="auto" w:fill="FFFFFF"/>
        <w:spacing w:before="20" w:after="20"/>
        <w:jc w:val="both"/>
        <w:rPr>
          <w:rFonts w:cs="Arial"/>
          <w:sz w:val="18"/>
          <w:szCs w:val="18"/>
        </w:rPr>
      </w:pPr>
    </w:p>
    <w:p w:rsidR="001A209B" w:rsidRDefault="00935702" w:rsidP="0047622F">
      <w:pPr>
        <w:shd w:val="clear" w:color="auto" w:fill="FFFFFF"/>
        <w:spacing w:before="20" w:after="20"/>
        <w:jc w:val="both"/>
        <w:rPr>
          <w:rFonts w:cs="Arial"/>
          <w:b/>
          <w:sz w:val="18"/>
          <w:szCs w:val="18"/>
        </w:rPr>
      </w:pPr>
      <w:r w:rsidRPr="001A209B">
        <w:rPr>
          <w:rFonts w:cs="Arial"/>
          <w:sz w:val="18"/>
          <w:szCs w:val="18"/>
        </w:rPr>
        <w:t>Reported earnings per share were 38.1 pence (2013: 62.4 pence) reflecting non-cash amortisation of £326 million (2013: £184 million) which has increased following revisions to the estimated period of time over which we will amo</w:t>
      </w:r>
      <w:r w:rsidR="00FB31F0" w:rsidRPr="001A209B">
        <w:rPr>
          <w:rFonts w:cs="Arial"/>
          <w:sz w:val="18"/>
          <w:szCs w:val="18"/>
        </w:rPr>
        <w:t>rtise certain intangible assets,</w:t>
      </w:r>
      <w:r w:rsidRPr="001A209B">
        <w:rPr>
          <w:rFonts w:cs="Arial"/>
          <w:sz w:val="18"/>
          <w:szCs w:val="18"/>
        </w:rPr>
        <w:t xml:space="preserve"> </w:t>
      </w:r>
      <w:r w:rsidR="00FB31F0" w:rsidRPr="001A209B">
        <w:rPr>
          <w:rFonts w:cs="Arial"/>
          <w:sz w:val="18"/>
          <w:szCs w:val="18"/>
        </w:rPr>
        <w:t>higher deferred tax charges for intangible assets</w:t>
      </w:r>
      <w:r w:rsidR="0086169F" w:rsidRPr="001A209B">
        <w:rPr>
          <w:rFonts w:cs="Arial"/>
          <w:sz w:val="18"/>
          <w:szCs w:val="18"/>
        </w:rPr>
        <w:t xml:space="preserve"> primarily due to a re-measurement of existing balances following a change in the relevant French tax rate</w:t>
      </w:r>
      <w:r w:rsidR="00FB31F0" w:rsidRPr="001A209B">
        <w:rPr>
          <w:rFonts w:cs="Arial"/>
          <w:sz w:val="18"/>
          <w:szCs w:val="18"/>
        </w:rPr>
        <w:t>,</w:t>
      </w:r>
      <w:r w:rsidR="00B24376" w:rsidRPr="001A209B">
        <w:rPr>
          <w:rFonts w:cs="Arial"/>
          <w:sz w:val="18"/>
          <w:szCs w:val="18"/>
        </w:rPr>
        <w:t xml:space="preserve"> </w:t>
      </w:r>
      <w:r w:rsidRPr="001A209B">
        <w:rPr>
          <w:rFonts w:cs="Arial"/>
          <w:sz w:val="18"/>
          <w:szCs w:val="18"/>
        </w:rPr>
        <w:t xml:space="preserve">and restructuring costs of £42 million (2013: £40 million), mainly in respect of our continuing cost optimisation programme. We remain on track to deliver incremental savings of around £60 million in 2014. </w:t>
      </w:r>
      <w:r w:rsidR="001A209B">
        <w:rPr>
          <w:rFonts w:cs="Arial"/>
          <w:b/>
          <w:sz w:val="18"/>
          <w:szCs w:val="18"/>
        </w:rPr>
        <w:br w:type="page"/>
      </w:r>
    </w:p>
    <w:p w:rsidR="00935702" w:rsidRPr="001A209B" w:rsidRDefault="00935702" w:rsidP="00935702">
      <w:pPr>
        <w:shd w:val="clear" w:color="auto" w:fill="FFFFFF"/>
        <w:spacing w:before="20" w:after="20"/>
        <w:jc w:val="both"/>
        <w:rPr>
          <w:rFonts w:cs="Arial"/>
          <w:b/>
          <w:sz w:val="18"/>
          <w:szCs w:val="18"/>
        </w:rPr>
      </w:pPr>
      <w:r w:rsidRPr="001A209B">
        <w:rPr>
          <w:rFonts w:cs="Arial"/>
          <w:b/>
          <w:sz w:val="18"/>
          <w:szCs w:val="18"/>
        </w:rPr>
        <w:t>Cash Flows and Financing</w:t>
      </w:r>
    </w:p>
    <w:p w:rsidR="00935702" w:rsidRPr="001A209B" w:rsidRDefault="00935702" w:rsidP="00935702">
      <w:pPr>
        <w:shd w:val="clear" w:color="auto" w:fill="FFFFFF"/>
        <w:spacing w:before="20" w:after="20"/>
        <w:jc w:val="both"/>
        <w:rPr>
          <w:rFonts w:cs="Arial"/>
          <w:sz w:val="18"/>
          <w:szCs w:val="18"/>
        </w:rPr>
      </w:pPr>
      <w:r w:rsidRPr="001A209B">
        <w:rPr>
          <w:rFonts w:cs="Arial"/>
          <w:sz w:val="18"/>
          <w:szCs w:val="18"/>
        </w:rPr>
        <w:t xml:space="preserve">Our reported net debt was £11.4 billion, slightly higher than a year ago, and up from £9.5 billion at 30 September 2013 mainly due to seasonal movements in working capital. </w:t>
      </w:r>
    </w:p>
    <w:p w:rsidR="00935702" w:rsidRPr="001A209B" w:rsidRDefault="00935702" w:rsidP="00935702">
      <w:pPr>
        <w:shd w:val="clear" w:color="auto" w:fill="FFFFFF"/>
        <w:spacing w:before="20" w:after="20"/>
        <w:jc w:val="both"/>
        <w:rPr>
          <w:rFonts w:cs="Arial"/>
          <w:sz w:val="18"/>
          <w:szCs w:val="18"/>
        </w:rPr>
      </w:pPr>
    </w:p>
    <w:p w:rsidR="00935702" w:rsidRPr="001A209B" w:rsidRDefault="00935702" w:rsidP="00935702">
      <w:pPr>
        <w:shd w:val="clear" w:color="auto" w:fill="FFFFFF"/>
        <w:spacing w:before="20" w:after="20"/>
        <w:jc w:val="both"/>
        <w:rPr>
          <w:rFonts w:cs="Arial"/>
          <w:sz w:val="18"/>
          <w:szCs w:val="18"/>
        </w:rPr>
      </w:pPr>
      <w:r w:rsidRPr="001A209B">
        <w:rPr>
          <w:rFonts w:cs="Arial"/>
          <w:sz w:val="18"/>
          <w:szCs w:val="18"/>
        </w:rPr>
        <w:t>Eliminating accrued interest, the fair value of derivatives providing commercial cash flow hedges and finance lease liabilities, our adjusted net debt was £11.1 billion (2013: £11.0 billion).</w:t>
      </w:r>
    </w:p>
    <w:p w:rsidR="00935702" w:rsidRPr="001A209B" w:rsidRDefault="00935702" w:rsidP="00935702">
      <w:pPr>
        <w:shd w:val="clear" w:color="auto" w:fill="FFFFFF"/>
        <w:spacing w:before="20" w:after="20"/>
        <w:jc w:val="both"/>
        <w:rPr>
          <w:rFonts w:cs="Arial"/>
          <w:sz w:val="18"/>
          <w:szCs w:val="18"/>
        </w:rPr>
      </w:pPr>
    </w:p>
    <w:p w:rsidR="00935702" w:rsidRPr="001A209B" w:rsidRDefault="00F25A88" w:rsidP="00935702">
      <w:pPr>
        <w:shd w:val="clear" w:color="auto" w:fill="FFFFFF"/>
        <w:spacing w:before="20" w:after="20"/>
        <w:jc w:val="both"/>
        <w:rPr>
          <w:rFonts w:cs="Arial"/>
          <w:sz w:val="18"/>
          <w:szCs w:val="18"/>
        </w:rPr>
      </w:pPr>
      <w:r w:rsidRPr="001A209B">
        <w:rPr>
          <w:rFonts w:cs="Arial"/>
          <w:sz w:val="18"/>
          <w:szCs w:val="18"/>
        </w:rPr>
        <w:t xml:space="preserve">Our cash conversion improved from 63 per cent in the year to 31 March 2013 to 78 per cent in the year to 31 March 2014, mainly due to the relative timing of </w:t>
      </w:r>
      <w:r w:rsidR="003E19E5" w:rsidRPr="001A209B">
        <w:rPr>
          <w:rFonts w:cs="Arial"/>
          <w:sz w:val="18"/>
          <w:szCs w:val="18"/>
        </w:rPr>
        <w:t>cash flows</w:t>
      </w:r>
      <w:r w:rsidRPr="001A209B">
        <w:rPr>
          <w:rFonts w:cs="Arial"/>
          <w:sz w:val="18"/>
          <w:szCs w:val="18"/>
        </w:rPr>
        <w:t xml:space="preserve"> in our Logistics business.  We continue to focus on cash generation and effective management of our working capital.</w:t>
      </w:r>
    </w:p>
    <w:p w:rsidR="00F25A88" w:rsidRPr="001A209B" w:rsidRDefault="00F25A88" w:rsidP="00935702">
      <w:pPr>
        <w:shd w:val="clear" w:color="auto" w:fill="FFFFFF"/>
        <w:spacing w:before="20" w:after="20"/>
        <w:jc w:val="both"/>
        <w:rPr>
          <w:rFonts w:cs="Arial"/>
          <w:sz w:val="18"/>
          <w:szCs w:val="18"/>
        </w:rPr>
      </w:pPr>
    </w:p>
    <w:p w:rsidR="00935702" w:rsidRPr="001A209B" w:rsidRDefault="00935702" w:rsidP="00935702">
      <w:pPr>
        <w:shd w:val="clear" w:color="auto" w:fill="FFFFFF"/>
        <w:spacing w:before="20" w:after="20"/>
        <w:jc w:val="both"/>
        <w:rPr>
          <w:rFonts w:cs="Arial"/>
          <w:sz w:val="18"/>
          <w:szCs w:val="18"/>
        </w:rPr>
      </w:pPr>
      <w:r w:rsidRPr="001A209B">
        <w:rPr>
          <w:rFonts w:cs="Arial"/>
          <w:sz w:val="18"/>
          <w:szCs w:val="18"/>
        </w:rPr>
        <w:t>During the first half we repaid bonds totalling €1.7 billion in October and November, and in February we issued three new bonds totalling £1.8 billion with maturities ranging from seven to eighteen years.</w:t>
      </w:r>
    </w:p>
    <w:p w:rsidR="00935702" w:rsidRPr="001A209B" w:rsidRDefault="00935702" w:rsidP="00935702">
      <w:pPr>
        <w:shd w:val="clear" w:color="auto" w:fill="FFFFFF"/>
        <w:spacing w:before="20" w:after="20"/>
        <w:jc w:val="both"/>
        <w:rPr>
          <w:rFonts w:cs="Arial"/>
          <w:sz w:val="18"/>
          <w:szCs w:val="18"/>
        </w:rPr>
      </w:pPr>
    </w:p>
    <w:p w:rsidR="00935702" w:rsidRPr="001A209B" w:rsidRDefault="00935702" w:rsidP="00935702">
      <w:pPr>
        <w:shd w:val="clear" w:color="auto" w:fill="FFFFFF"/>
        <w:spacing w:before="20" w:after="20"/>
        <w:jc w:val="both"/>
        <w:rPr>
          <w:rFonts w:cs="Arial"/>
          <w:sz w:val="18"/>
          <w:szCs w:val="18"/>
        </w:rPr>
      </w:pPr>
      <w:r w:rsidRPr="001A209B">
        <w:rPr>
          <w:rFonts w:cs="Arial"/>
          <w:sz w:val="18"/>
          <w:szCs w:val="18"/>
        </w:rPr>
        <w:t>The denomination of our c</w:t>
      </w:r>
      <w:r w:rsidR="002808B3" w:rsidRPr="001A209B">
        <w:rPr>
          <w:rFonts w:cs="Arial"/>
          <w:sz w:val="18"/>
          <w:szCs w:val="18"/>
        </w:rPr>
        <w:t>losing adjusted net debt was</w:t>
      </w:r>
      <w:r w:rsidR="002E3F10" w:rsidRPr="001A209B">
        <w:rPr>
          <w:rFonts w:cs="Arial"/>
          <w:sz w:val="18"/>
          <w:szCs w:val="18"/>
        </w:rPr>
        <w:t xml:space="preserve"> split approximately</w:t>
      </w:r>
      <w:r w:rsidR="002808B3" w:rsidRPr="001A209B">
        <w:rPr>
          <w:rFonts w:cs="Arial"/>
          <w:sz w:val="18"/>
          <w:szCs w:val="18"/>
        </w:rPr>
        <w:t xml:space="preserve"> </w:t>
      </w:r>
      <w:r w:rsidR="002E3F10" w:rsidRPr="001A209B">
        <w:rPr>
          <w:rFonts w:cs="Arial"/>
          <w:sz w:val="18"/>
          <w:szCs w:val="18"/>
        </w:rPr>
        <w:t>6</w:t>
      </w:r>
      <w:r w:rsidR="00890D72" w:rsidRPr="001A209B">
        <w:rPr>
          <w:rFonts w:cs="Arial"/>
          <w:sz w:val="18"/>
          <w:szCs w:val="18"/>
        </w:rPr>
        <w:t xml:space="preserve">5 per cent euro, </w:t>
      </w:r>
      <w:r w:rsidR="002E3F10" w:rsidRPr="001A209B">
        <w:rPr>
          <w:rFonts w:cs="Arial"/>
          <w:sz w:val="18"/>
          <w:szCs w:val="18"/>
        </w:rPr>
        <w:t>3</w:t>
      </w:r>
      <w:r w:rsidR="00890D72" w:rsidRPr="001A209B">
        <w:rPr>
          <w:rFonts w:cs="Arial"/>
          <w:sz w:val="18"/>
          <w:szCs w:val="18"/>
        </w:rPr>
        <w:t>0</w:t>
      </w:r>
      <w:r w:rsidR="00EB0B36" w:rsidRPr="001A209B">
        <w:rPr>
          <w:rFonts w:cs="Arial"/>
          <w:sz w:val="18"/>
          <w:szCs w:val="18"/>
        </w:rPr>
        <w:t xml:space="preserve"> per cent </w:t>
      </w:r>
      <w:r w:rsidR="00890D72" w:rsidRPr="001A209B">
        <w:rPr>
          <w:rFonts w:cs="Arial"/>
          <w:sz w:val="18"/>
          <w:szCs w:val="18"/>
        </w:rPr>
        <w:t>sterling</w:t>
      </w:r>
      <w:r w:rsidR="00EB0B36" w:rsidRPr="001A209B">
        <w:rPr>
          <w:rFonts w:cs="Arial"/>
          <w:sz w:val="18"/>
          <w:szCs w:val="18"/>
        </w:rPr>
        <w:t xml:space="preserve"> and </w:t>
      </w:r>
      <w:r w:rsidR="00890D72" w:rsidRPr="001A209B">
        <w:rPr>
          <w:rFonts w:cs="Arial"/>
          <w:sz w:val="18"/>
          <w:szCs w:val="18"/>
        </w:rPr>
        <w:t>5</w:t>
      </w:r>
      <w:r w:rsidR="002808B3" w:rsidRPr="001A209B">
        <w:rPr>
          <w:rFonts w:cs="Arial"/>
          <w:sz w:val="18"/>
          <w:szCs w:val="18"/>
        </w:rPr>
        <w:t xml:space="preserve"> per cent </w:t>
      </w:r>
      <w:r w:rsidR="00890D72" w:rsidRPr="001A209B">
        <w:rPr>
          <w:rFonts w:cs="Arial"/>
          <w:sz w:val="18"/>
          <w:szCs w:val="18"/>
        </w:rPr>
        <w:t>US dollar</w:t>
      </w:r>
      <w:r w:rsidRPr="001A209B">
        <w:rPr>
          <w:rFonts w:cs="Arial"/>
          <w:sz w:val="18"/>
          <w:szCs w:val="18"/>
        </w:rPr>
        <w:t xml:space="preserve">. As at 31 March 2014 we had committed financing facilities in place of around £15 billion. Some 21 per cent was bank facilities and 9 per cent was commercial paper, with the balance raised through capital markets. Our all in cost of debt was </w:t>
      </w:r>
      <w:r w:rsidR="001339E2" w:rsidRPr="001A209B">
        <w:rPr>
          <w:rFonts w:cs="Arial"/>
          <w:sz w:val="18"/>
          <w:szCs w:val="18"/>
        </w:rPr>
        <w:t>4.7 per cent</w:t>
      </w:r>
      <w:r w:rsidRPr="001A209B">
        <w:rPr>
          <w:rFonts w:cs="Arial"/>
          <w:sz w:val="18"/>
          <w:szCs w:val="18"/>
        </w:rPr>
        <w:t xml:space="preserve"> (2013: 5.0 per cent) and our interest cover was 5.4 times (2013: 5.4 times). We remain fully compliant with all our banking covenants and remain committed to retaining our investment grade ratings. </w:t>
      </w:r>
    </w:p>
    <w:p w:rsidR="00935702" w:rsidRPr="001A209B" w:rsidRDefault="00935702" w:rsidP="00935702">
      <w:pPr>
        <w:shd w:val="clear" w:color="auto" w:fill="FFFFFF"/>
        <w:spacing w:before="20" w:after="20"/>
        <w:jc w:val="both"/>
        <w:rPr>
          <w:rFonts w:cs="Arial"/>
          <w:sz w:val="18"/>
          <w:szCs w:val="18"/>
        </w:rPr>
      </w:pPr>
    </w:p>
    <w:p w:rsidR="00935702" w:rsidRPr="001A209B" w:rsidRDefault="00935702" w:rsidP="00935702">
      <w:pPr>
        <w:shd w:val="clear" w:color="auto" w:fill="FFFFFF"/>
        <w:spacing w:before="20" w:after="20"/>
        <w:jc w:val="both"/>
        <w:rPr>
          <w:rFonts w:cs="Arial"/>
          <w:b/>
          <w:sz w:val="18"/>
          <w:szCs w:val="18"/>
        </w:rPr>
      </w:pPr>
      <w:r w:rsidRPr="001A209B">
        <w:rPr>
          <w:rFonts w:cs="Arial"/>
          <w:b/>
          <w:sz w:val="18"/>
          <w:szCs w:val="18"/>
        </w:rPr>
        <w:t>Share Buyback Programme and Dividends</w:t>
      </w:r>
    </w:p>
    <w:p w:rsidR="00935702" w:rsidRPr="001A209B" w:rsidRDefault="00935702" w:rsidP="00935702">
      <w:pPr>
        <w:shd w:val="clear" w:color="auto" w:fill="FFFFFF"/>
        <w:spacing w:before="20" w:after="20"/>
        <w:jc w:val="both"/>
        <w:rPr>
          <w:rFonts w:cs="Arial"/>
          <w:sz w:val="18"/>
          <w:szCs w:val="18"/>
        </w:rPr>
      </w:pPr>
      <w:r w:rsidRPr="001A209B">
        <w:rPr>
          <w:rFonts w:cs="Arial"/>
          <w:sz w:val="18"/>
          <w:szCs w:val="18"/>
        </w:rPr>
        <w:t>We continued our share buyback programme, spending £237 million acquiring 10.1 million shares which are held as treasury shares. We intend to maintain the buyback programme at around £500 million per annum.</w:t>
      </w:r>
    </w:p>
    <w:p w:rsidR="00935702" w:rsidRPr="001A209B" w:rsidRDefault="00935702" w:rsidP="00935702">
      <w:pPr>
        <w:shd w:val="clear" w:color="auto" w:fill="FFFFFF"/>
        <w:spacing w:before="20" w:after="20"/>
        <w:jc w:val="both"/>
        <w:rPr>
          <w:rFonts w:cs="Arial"/>
          <w:sz w:val="18"/>
          <w:szCs w:val="18"/>
        </w:rPr>
      </w:pPr>
    </w:p>
    <w:p w:rsidR="00935702" w:rsidRPr="001A209B" w:rsidRDefault="00935702" w:rsidP="00935702">
      <w:pPr>
        <w:shd w:val="clear" w:color="auto" w:fill="FFFFFF"/>
        <w:spacing w:before="20" w:after="20"/>
        <w:jc w:val="both"/>
        <w:rPr>
          <w:rFonts w:cs="Arial"/>
          <w:sz w:val="18"/>
          <w:szCs w:val="18"/>
        </w:rPr>
      </w:pPr>
      <w:r w:rsidRPr="001A209B">
        <w:rPr>
          <w:rFonts w:cs="Arial"/>
          <w:sz w:val="18"/>
          <w:szCs w:val="18"/>
        </w:rPr>
        <w:t>The Board has declared an interim dividend of 38.8 pence per share, up 10 per cent on a year ago in line with our published dividend policy.</w:t>
      </w:r>
    </w:p>
    <w:p w:rsidR="00935702" w:rsidRPr="001A209B" w:rsidRDefault="00935702" w:rsidP="00935702">
      <w:pPr>
        <w:shd w:val="clear" w:color="auto" w:fill="FFFFFF"/>
        <w:spacing w:before="20" w:after="20"/>
        <w:jc w:val="both"/>
        <w:rPr>
          <w:rFonts w:cs="Arial"/>
          <w:sz w:val="18"/>
          <w:szCs w:val="18"/>
        </w:rPr>
      </w:pPr>
    </w:p>
    <w:p w:rsidR="00935702" w:rsidRPr="001A209B" w:rsidRDefault="00935702" w:rsidP="00935702">
      <w:pPr>
        <w:shd w:val="clear" w:color="auto" w:fill="FFFFFF"/>
        <w:spacing w:before="20" w:after="20"/>
        <w:jc w:val="both"/>
        <w:rPr>
          <w:rFonts w:cs="Arial"/>
          <w:sz w:val="18"/>
          <w:szCs w:val="18"/>
        </w:rPr>
      </w:pPr>
      <w:r w:rsidRPr="001A209B">
        <w:rPr>
          <w:rFonts w:cs="Arial"/>
          <w:sz w:val="18"/>
          <w:szCs w:val="18"/>
        </w:rPr>
        <w:t>The interim dividend will be paid on</w:t>
      </w:r>
      <w:r w:rsidR="00EB0B36" w:rsidRPr="001A209B">
        <w:rPr>
          <w:rFonts w:cs="Arial"/>
          <w:sz w:val="18"/>
          <w:szCs w:val="18"/>
        </w:rPr>
        <w:t xml:space="preserve"> 19 August 2014, </w:t>
      </w:r>
      <w:r w:rsidRPr="001A209B">
        <w:rPr>
          <w:rFonts w:cs="Arial"/>
          <w:sz w:val="18"/>
          <w:szCs w:val="18"/>
        </w:rPr>
        <w:t>with an ex-dividend date of</w:t>
      </w:r>
      <w:r w:rsidR="00EB0B36" w:rsidRPr="001A209B">
        <w:rPr>
          <w:rFonts w:cs="Arial"/>
          <w:sz w:val="18"/>
          <w:szCs w:val="18"/>
        </w:rPr>
        <w:t xml:space="preserve"> 16 July 2014.</w:t>
      </w:r>
    </w:p>
    <w:p w:rsidR="00E33437" w:rsidRPr="001A209B" w:rsidRDefault="00E33437" w:rsidP="00935702">
      <w:pPr>
        <w:shd w:val="clear" w:color="auto" w:fill="FFFFFF"/>
        <w:spacing w:before="20" w:after="20"/>
        <w:jc w:val="both"/>
        <w:rPr>
          <w:rFonts w:cs="Arial"/>
          <w:sz w:val="18"/>
          <w:szCs w:val="18"/>
        </w:rPr>
      </w:pPr>
    </w:p>
    <w:p w:rsidR="00E33437" w:rsidRPr="001A209B" w:rsidRDefault="00E33437" w:rsidP="00E33437">
      <w:pPr>
        <w:spacing w:before="20" w:after="20"/>
        <w:jc w:val="both"/>
        <w:rPr>
          <w:rFonts w:cs="Arial"/>
          <w:sz w:val="18"/>
          <w:szCs w:val="18"/>
        </w:rPr>
      </w:pPr>
      <w:r w:rsidRPr="001A209B">
        <w:rPr>
          <w:rFonts w:cs="Arial"/>
          <w:sz w:val="18"/>
          <w:szCs w:val="18"/>
        </w:rPr>
        <w:t xml:space="preserve">With effect from our 2015 financial year we </w:t>
      </w:r>
      <w:r w:rsidR="00CD7021" w:rsidRPr="001A209B">
        <w:rPr>
          <w:rFonts w:cs="Arial"/>
          <w:sz w:val="18"/>
          <w:szCs w:val="18"/>
        </w:rPr>
        <w:t xml:space="preserve">will </w:t>
      </w:r>
      <w:r w:rsidRPr="001A209B">
        <w:rPr>
          <w:rFonts w:cs="Arial"/>
          <w:sz w:val="18"/>
          <w:szCs w:val="18"/>
        </w:rPr>
        <w:t xml:space="preserve">pay a quarterly dividend in order to give shareholders a more regular cash return. </w:t>
      </w:r>
      <w:r w:rsidR="00CD7021" w:rsidRPr="001A209B">
        <w:rPr>
          <w:rFonts w:cs="Arial"/>
          <w:sz w:val="18"/>
          <w:szCs w:val="18"/>
        </w:rPr>
        <w:t>The first two quarterly dividends</w:t>
      </w:r>
      <w:r w:rsidRPr="001A209B">
        <w:rPr>
          <w:rFonts w:cs="Arial"/>
          <w:sz w:val="18"/>
          <w:szCs w:val="18"/>
        </w:rPr>
        <w:t xml:space="preserve"> will be announced with our half year results in May </w:t>
      </w:r>
      <w:r w:rsidR="004B4431" w:rsidRPr="001A209B">
        <w:rPr>
          <w:rFonts w:cs="Arial"/>
          <w:sz w:val="18"/>
          <w:szCs w:val="18"/>
        </w:rPr>
        <w:t xml:space="preserve">2015 </w:t>
      </w:r>
      <w:r w:rsidRPr="001A209B">
        <w:rPr>
          <w:rFonts w:cs="Arial"/>
          <w:sz w:val="18"/>
          <w:szCs w:val="18"/>
        </w:rPr>
        <w:t xml:space="preserve">and paid in June and September.  The third and fourth </w:t>
      </w:r>
      <w:r w:rsidR="00CD7021" w:rsidRPr="001A209B">
        <w:rPr>
          <w:rFonts w:cs="Arial"/>
          <w:sz w:val="18"/>
          <w:szCs w:val="18"/>
        </w:rPr>
        <w:t xml:space="preserve">quarter </w:t>
      </w:r>
      <w:r w:rsidRPr="001A209B">
        <w:rPr>
          <w:rFonts w:cs="Arial"/>
          <w:sz w:val="18"/>
          <w:szCs w:val="18"/>
        </w:rPr>
        <w:t xml:space="preserve">dividends will be announced with the full year results in November </w:t>
      </w:r>
      <w:r w:rsidR="004B4431" w:rsidRPr="001A209B">
        <w:rPr>
          <w:rFonts w:cs="Arial"/>
          <w:sz w:val="18"/>
          <w:szCs w:val="18"/>
        </w:rPr>
        <w:t xml:space="preserve">2015 </w:t>
      </w:r>
      <w:r w:rsidRPr="001A209B">
        <w:rPr>
          <w:rFonts w:cs="Arial"/>
          <w:sz w:val="18"/>
          <w:szCs w:val="18"/>
        </w:rPr>
        <w:t>and paid in December and, subject to AGM approval, in March</w:t>
      </w:r>
      <w:r w:rsidR="004B4431" w:rsidRPr="001A209B">
        <w:rPr>
          <w:rFonts w:cs="Arial"/>
          <w:sz w:val="18"/>
          <w:szCs w:val="18"/>
        </w:rPr>
        <w:t xml:space="preserve"> 2016</w:t>
      </w:r>
      <w:r w:rsidRPr="001A209B">
        <w:rPr>
          <w:rFonts w:cs="Arial"/>
          <w:sz w:val="18"/>
          <w:szCs w:val="18"/>
        </w:rPr>
        <w:t xml:space="preserve">.  </w:t>
      </w:r>
    </w:p>
    <w:p w:rsidR="00935702" w:rsidRPr="001A209B" w:rsidRDefault="00935702" w:rsidP="00935702">
      <w:pPr>
        <w:shd w:val="clear" w:color="auto" w:fill="FFFFFF"/>
        <w:spacing w:before="20" w:after="20"/>
        <w:jc w:val="both"/>
        <w:rPr>
          <w:rFonts w:cs="Arial"/>
          <w:sz w:val="18"/>
          <w:szCs w:val="18"/>
        </w:rPr>
      </w:pPr>
    </w:p>
    <w:p w:rsidR="00935702" w:rsidRPr="001A209B" w:rsidRDefault="00935702" w:rsidP="00935702">
      <w:pPr>
        <w:shd w:val="clear" w:color="auto" w:fill="FFFFFF"/>
        <w:spacing w:before="20" w:after="20"/>
        <w:jc w:val="both"/>
        <w:rPr>
          <w:rFonts w:cs="Arial"/>
          <w:b/>
          <w:sz w:val="18"/>
          <w:szCs w:val="18"/>
        </w:rPr>
      </w:pPr>
      <w:r w:rsidRPr="001A209B">
        <w:rPr>
          <w:rFonts w:cs="Arial"/>
          <w:b/>
          <w:sz w:val="18"/>
          <w:szCs w:val="18"/>
        </w:rPr>
        <w:t>Liquidity and Going Concern</w:t>
      </w:r>
    </w:p>
    <w:p w:rsidR="00935702" w:rsidRPr="001A209B" w:rsidRDefault="00935702" w:rsidP="00935702">
      <w:pPr>
        <w:shd w:val="clear" w:color="auto" w:fill="FFFFFF"/>
        <w:spacing w:before="20" w:after="20"/>
        <w:jc w:val="both"/>
        <w:rPr>
          <w:rFonts w:cs="Arial"/>
          <w:sz w:val="18"/>
          <w:szCs w:val="18"/>
        </w:rPr>
      </w:pPr>
      <w:r w:rsidRPr="001A209B">
        <w:rPr>
          <w:rFonts w:cs="Arial"/>
          <w:sz w:val="18"/>
          <w:szCs w:val="18"/>
        </w:rPr>
        <w:t>The Group’s policy is to ensure that we always have sufficient capital markets funding and committed bank facilities in place to meet foreseeable peak borrowing requirements.</w:t>
      </w:r>
    </w:p>
    <w:p w:rsidR="00935702" w:rsidRPr="001A209B" w:rsidRDefault="00935702" w:rsidP="00935702">
      <w:pPr>
        <w:shd w:val="clear" w:color="auto" w:fill="FFFFFF"/>
        <w:spacing w:before="20" w:after="20"/>
        <w:jc w:val="both"/>
        <w:rPr>
          <w:rFonts w:cs="Arial"/>
          <w:sz w:val="18"/>
          <w:szCs w:val="18"/>
        </w:rPr>
      </w:pPr>
    </w:p>
    <w:p w:rsidR="00935702" w:rsidRPr="001A209B" w:rsidRDefault="00935702" w:rsidP="00935702">
      <w:pPr>
        <w:shd w:val="clear" w:color="auto" w:fill="FFFFFF"/>
        <w:spacing w:before="20" w:after="20"/>
        <w:jc w:val="both"/>
        <w:rPr>
          <w:rFonts w:cs="Arial"/>
          <w:sz w:val="18"/>
          <w:szCs w:val="18"/>
        </w:rPr>
      </w:pPr>
      <w:r w:rsidRPr="001A209B">
        <w:rPr>
          <w:rFonts w:cs="Arial"/>
          <w:sz w:val="18"/>
          <w:szCs w:val="18"/>
        </w:rPr>
        <w:t>In reviewing the Group’s committed funding and liquidity positions, the Board considered various sensitivity analyses when assessing the forecast funding and headroom requirements of the Group in the context of the maturity profile of the Group’s facilities. The Group plans its financing in a structured and proactive manner and remains confident that sources of financing will be available when required.</w:t>
      </w:r>
    </w:p>
    <w:p w:rsidR="00935702" w:rsidRPr="001A209B" w:rsidRDefault="00935702" w:rsidP="00935702">
      <w:pPr>
        <w:shd w:val="clear" w:color="auto" w:fill="FFFFFF"/>
        <w:spacing w:before="20" w:after="20"/>
        <w:jc w:val="both"/>
        <w:rPr>
          <w:rFonts w:cs="Arial"/>
          <w:sz w:val="18"/>
          <w:szCs w:val="18"/>
        </w:rPr>
      </w:pPr>
    </w:p>
    <w:p w:rsidR="00935702" w:rsidRPr="001A209B" w:rsidRDefault="00935702" w:rsidP="00935702">
      <w:pPr>
        <w:shd w:val="clear" w:color="auto" w:fill="FFFFFF"/>
        <w:spacing w:before="20" w:after="20"/>
        <w:jc w:val="both"/>
        <w:rPr>
          <w:rFonts w:cs="Arial"/>
          <w:sz w:val="18"/>
          <w:szCs w:val="18"/>
        </w:rPr>
      </w:pPr>
      <w:r w:rsidRPr="001A209B">
        <w:rPr>
          <w:rFonts w:cs="Arial"/>
          <w:sz w:val="18"/>
          <w:szCs w:val="18"/>
        </w:rPr>
        <w:t>Based on its review, the Board is of the opinion that the Group as a whole and Imperial Tobacco Group PLC have adequate resources to meet their operational needs for the foreseeable future and conclude that it is appropriate to prepare the financial statements on a going concern basis.</w:t>
      </w:r>
    </w:p>
    <w:p w:rsidR="00A65296" w:rsidRPr="001A209B" w:rsidRDefault="00A65296" w:rsidP="00935702">
      <w:pPr>
        <w:shd w:val="clear" w:color="auto" w:fill="FFFFFF"/>
        <w:spacing w:before="20" w:after="20"/>
        <w:jc w:val="both"/>
        <w:rPr>
          <w:rFonts w:cs="Arial"/>
          <w:sz w:val="18"/>
          <w:szCs w:val="18"/>
        </w:rPr>
      </w:pPr>
    </w:p>
    <w:p w:rsidR="00A65296" w:rsidRPr="001A209B" w:rsidRDefault="00A65296" w:rsidP="00A65296">
      <w:pPr>
        <w:shd w:val="clear" w:color="auto" w:fill="FFFFFF"/>
        <w:spacing w:before="20" w:after="20"/>
        <w:jc w:val="both"/>
        <w:rPr>
          <w:rFonts w:cs="Arial"/>
          <w:b/>
          <w:sz w:val="18"/>
          <w:szCs w:val="18"/>
        </w:rPr>
      </w:pPr>
      <w:r w:rsidRPr="001A209B">
        <w:rPr>
          <w:rFonts w:cs="Arial"/>
          <w:b/>
          <w:sz w:val="18"/>
          <w:szCs w:val="18"/>
        </w:rPr>
        <w:t>Principal Risks and Uncertainties</w:t>
      </w:r>
    </w:p>
    <w:p w:rsidR="00A65296" w:rsidRPr="001A209B" w:rsidRDefault="00A65296" w:rsidP="00A65296">
      <w:pPr>
        <w:shd w:val="clear" w:color="auto" w:fill="FFFFFF"/>
        <w:spacing w:before="20" w:after="20"/>
        <w:jc w:val="both"/>
        <w:rPr>
          <w:rFonts w:cs="Arial"/>
          <w:sz w:val="18"/>
          <w:szCs w:val="18"/>
        </w:rPr>
      </w:pPr>
      <w:r w:rsidRPr="001A209B">
        <w:rPr>
          <w:rFonts w:cs="Arial"/>
          <w:sz w:val="18"/>
          <w:szCs w:val="18"/>
        </w:rPr>
        <w:t>The principal risks and uncertainties to which the Group is exposed and our approach to managing those risks are unchanged from those identified on pages 37 to 41 of our 2013 Annual Report and Accounts and cover the following areas:</w:t>
      </w:r>
    </w:p>
    <w:p w:rsidR="00A65296" w:rsidRPr="001A209B" w:rsidRDefault="00A65296" w:rsidP="00A65296">
      <w:pPr>
        <w:shd w:val="clear" w:color="auto" w:fill="FFFFFF"/>
        <w:spacing w:before="20" w:after="20"/>
        <w:jc w:val="both"/>
        <w:rPr>
          <w:rFonts w:cs="Arial"/>
          <w:sz w:val="18"/>
          <w:szCs w:val="18"/>
        </w:rPr>
      </w:pPr>
    </w:p>
    <w:p w:rsidR="00A65296" w:rsidRPr="001A209B" w:rsidRDefault="00A65296" w:rsidP="00A65296">
      <w:pPr>
        <w:shd w:val="clear" w:color="auto" w:fill="FFFFFF"/>
        <w:spacing w:before="20" w:after="20"/>
        <w:jc w:val="both"/>
        <w:rPr>
          <w:rFonts w:cs="Arial"/>
          <w:sz w:val="18"/>
          <w:szCs w:val="18"/>
        </w:rPr>
      </w:pPr>
      <w:r w:rsidRPr="001A209B">
        <w:rPr>
          <w:rFonts w:cs="Arial"/>
          <w:sz w:val="18"/>
          <w:szCs w:val="18"/>
        </w:rPr>
        <w:t>•</w:t>
      </w:r>
      <w:r w:rsidRPr="001A209B">
        <w:rPr>
          <w:rFonts w:cs="Arial"/>
          <w:sz w:val="18"/>
          <w:szCs w:val="18"/>
        </w:rPr>
        <w:tab/>
        <w:t>reduction in size of the legitimate tobacco market;</w:t>
      </w:r>
    </w:p>
    <w:p w:rsidR="00A65296" w:rsidRPr="001A209B" w:rsidRDefault="00A65296" w:rsidP="00A65296">
      <w:pPr>
        <w:shd w:val="clear" w:color="auto" w:fill="FFFFFF"/>
        <w:spacing w:before="20" w:after="20"/>
        <w:jc w:val="both"/>
        <w:rPr>
          <w:rFonts w:cs="Arial"/>
          <w:sz w:val="18"/>
          <w:szCs w:val="18"/>
        </w:rPr>
      </w:pPr>
      <w:r w:rsidRPr="001A209B">
        <w:rPr>
          <w:rFonts w:cs="Arial"/>
          <w:sz w:val="18"/>
          <w:szCs w:val="18"/>
        </w:rPr>
        <w:t>•</w:t>
      </w:r>
      <w:r w:rsidRPr="001A209B">
        <w:rPr>
          <w:rFonts w:cs="Arial"/>
          <w:sz w:val="18"/>
          <w:szCs w:val="18"/>
        </w:rPr>
        <w:tab/>
        <w:t>market place;</w:t>
      </w:r>
    </w:p>
    <w:p w:rsidR="00A65296" w:rsidRPr="001A209B" w:rsidRDefault="00A65296" w:rsidP="00A65296">
      <w:pPr>
        <w:shd w:val="clear" w:color="auto" w:fill="FFFFFF"/>
        <w:spacing w:before="20" w:after="20"/>
        <w:jc w:val="both"/>
        <w:rPr>
          <w:rFonts w:cs="Arial"/>
          <w:sz w:val="18"/>
          <w:szCs w:val="18"/>
        </w:rPr>
      </w:pPr>
      <w:r w:rsidRPr="001A209B">
        <w:rPr>
          <w:rFonts w:cs="Arial"/>
          <w:sz w:val="18"/>
          <w:szCs w:val="18"/>
        </w:rPr>
        <w:t>•</w:t>
      </w:r>
      <w:r w:rsidRPr="001A209B">
        <w:rPr>
          <w:rFonts w:cs="Arial"/>
          <w:sz w:val="18"/>
          <w:szCs w:val="18"/>
        </w:rPr>
        <w:tab/>
        <w:t>financing;</w:t>
      </w:r>
    </w:p>
    <w:p w:rsidR="00A65296" w:rsidRPr="001A209B" w:rsidRDefault="00A65296" w:rsidP="00A65296">
      <w:pPr>
        <w:shd w:val="clear" w:color="auto" w:fill="FFFFFF"/>
        <w:spacing w:before="20" w:after="20"/>
        <w:jc w:val="both"/>
        <w:rPr>
          <w:rFonts w:cs="Arial"/>
          <w:sz w:val="18"/>
          <w:szCs w:val="18"/>
        </w:rPr>
      </w:pPr>
      <w:r w:rsidRPr="001A209B">
        <w:rPr>
          <w:rFonts w:cs="Arial"/>
          <w:sz w:val="18"/>
          <w:szCs w:val="18"/>
        </w:rPr>
        <w:t>•</w:t>
      </w:r>
      <w:r w:rsidRPr="001A209B">
        <w:rPr>
          <w:rFonts w:cs="Arial"/>
          <w:sz w:val="18"/>
          <w:szCs w:val="18"/>
        </w:rPr>
        <w:tab/>
        <w:t>legal and regulatory compliance; and</w:t>
      </w:r>
    </w:p>
    <w:p w:rsidR="00A65296" w:rsidRPr="001A209B" w:rsidRDefault="00A65296" w:rsidP="00A65296">
      <w:pPr>
        <w:shd w:val="clear" w:color="auto" w:fill="FFFFFF"/>
        <w:spacing w:before="20" w:after="20"/>
        <w:jc w:val="both"/>
        <w:rPr>
          <w:rFonts w:cs="Arial"/>
          <w:sz w:val="18"/>
          <w:szCs w:val="18"/>
        </w:rPr>
      </w:pPr>
      <w:r w:rsidRPr="001A209B">
        <w:rPr>
          <w:rFonts w:cs="Arial"/>
          <w:sz w:val="18"/>
          <w:szCs w:val="18"/>
        </w:rPr>
        <w:t>•</w:t>
      </w:r>
      <w:r w:rsidRPr="001A209B">
        <w:rPr>
          <w:rFonts w:cs="Arial"/>
          <w:sz w:val="18"/>
          <w:szCs w:val="18"/>
        </w:rPr>
        <w:tab/>
        <w:t>delivery of material initiatives.</w:t>
      </w:r>
    </w:p>
    <w:p w:rsidR="00A65296" w:rsidRPr="001A209B" w:rsidRDefault="00A65296" w:rsidP="00A65296">
      <w:pPr>
        <w:shd w:val="clear" w:color="auto" w:fill="FFFFFF"/>
        <w:spacing w:before="20" w:after="20"/>
        <w:jc w:val="both"/>
        <w:rPr>
          <w:rFonts w:cs="Arial"/>
          <w:sz w:val="18"/>
          <w:szCs w:val="18"/>
        </w:rPr>
      </w:pPr>
    </w:p>
    <w:p w:rsidR="00A65296" w:rsidRPr="001A209B" w:rsidRDefault="00A65296" w:rsidP="00A65296">
      <w:pPr>
        <w:shd w:val="clear" w:color="auto" w:fill="FFFFFF"/>
        <w:spacing w:before="20" w:after="20"/>
        <w:jc w:val="both"/>
        <w:rPr>
          <w:rFonts w:cs="Arial"/>
          <w:sz w:val="18"/>
          <w:szCs w:val="18"/>
        </w:rPr>
      </w:pPr>
      <w:r w:rsidRPr="001A209B">
        <w:rPr>
          <w:rFonts w:cs="Arial"/>
          <w:sz w:val="18"/>
          <w:szCs w:val="18"/>
        </w:rPr>
        <w:t>It is the Board’s view that the principal risks and uncertainties surrounding the Group in the second half of the financial year remain those set out in the 2013 Annual Report and Accounts.</w:t>
      </w:r>
    </w:p>
    <w:p w:rsidR="00EE2613" w:rsidRPr="001A209B" w:rsidRDefault="00EE2613" w:rsidP="00935702">
      <w:pPr>
        <w:shd w:val="clear" w:color="auto" w:fill="FFFFFF"/>
        <w:spacing w:before="20" w:after="20"/>
        <w:jc w:val="both"/>
        <w:rPr>
          <w:rFonts w:cs="Arial"/>
          <w:sz w:val="18"/>
          <w:szCs w:val="18"/>
        </w:rPr>
      </w:pPr>
    </w:p>
    <w:p w:rsidR="00A65296" w:rsidRPr="001A209B" w:rsidRDefault="00A65296" w:rsidP="00EE2613">
      <w:pPr>
        <w:jc w:val="both"/>
        <w:rPr>
          <w:rFonts w:cs="Arial"/>
          <w:b/>
          <w:sz w:val="18"/>
          <w:szCs w:val="18"/>
        </w:rPr>
      </w:pPr>
      <w:r w:rsidRPr="001A209B">
        <w:rPr>
          <w:rFonts w:cs="Arial"/>
          <w:b/>
          <w:sz w:val="18"/>
          <w:szCs w:val="18"/>
        </w:rPr>
        <w:br w:type="page"/>
      </w:r>
    </w:p>
    <w:p w:rsidR="00EE2613" w:rsidRPr="001A209B" w:rsidRDefault="00EE2613" w:rsidP="00EE2613">
      <w:pPr>
        <w:jc w:val="both"/>
        <w:rPr>
          <w:rFonts w:cs="Arial"/>
          <w:b/>
          <w:sz w:val="18"/>
          <w:szCs w:val="18"/>
        </w:rPr>
      </w:pPr>
      <w:r w:rsidRPr="001A209B">
        <w:rPr>
          <w:rFonts w:cs="Arial"/>
          <w:b/>
          <w:sz w:val="18"/>
          <w:szCs w:val="18"/>
        </w:rPr>
        <w:t>Statement of Director’s Responsibilities</w:t>
      </w:r>
    </w:p>
    <w:p w:rsidR="00EE2613" w:rsidRPr="001A209B" w:rsidRDefault="00EE2613" w:rsidP="00EE2613">
      <w:pPr>
        <w:jc w:val="both"/>
        <w:rPr>
          <w:rFonts w:cs="Arial"/>
          <w:sz w:val="18"/>
          <w:szCs w:val="18"/>
        </w:rPr>
      </w:pPr>
      <w:r w:rsidRPr="001A209B">
        <w:rPr>
          <w:rFonts w:cs="Arial"/>
          <w:sz w:val="18"/>
          <w:szCs w:val="18"/>
        </w:rPr>
        <w:t xml:space="preserve">The </w:t>
      </w:r>
      <w:r w:rsidR="009536D1" w:rsidRPr="001A209B">
        <w:rPr>
          <w:rFonts w:cs="Arial"/>
          <w:sz w:val="18"/>
          <w:szCs w:val="18"/>
        </w:rPr>
        <w:t>D</w:t>
      </w:r>
      <w:r w:rsidRPr="001A209B">
        <w:rPr>
          <w:rFonts w:cs="Arial"/>
          <w:sz w:val="18"/>
          <w:szCs w:val="18"/>
        </w:rPr>
        <w:t>irectors confirm that this condensed consolidated interim financial information has been prepared in accordance with IAS 34 as adopted by the European Union and that the interim management report includes a fair review of the information required by DTR 4.2.7 and DTR 4.2.8, namely: an indication of important events that have occurred during the first six months of the financial year and their impact on the condensed set of financial statements, and a description of the principal risks and uncertainties for the remaining six months of the financial year; and material related party transactions in the first six months of the current financial year and any material changes in the related-party transactions described in the last annual report.</w:t>
      </w:r>
    </w:p>
    <w:p w:rsidR="00EE2613" w:rsidRPr="001A209B" w:rsidRDefault="00EE2613" w:rsidP="00EE2613">
      <w:pPr>
        <w:jc w:val="both"/>
        <w:rPr>
          <w:rFonts w:cs="Arial"/>
          <w:sz w:val="18"/>
          <w:szCs w:val="18"/>
        </w:rPr>
      </w:pPr>
    </w:p>
    <w:p w:rsidR="00EE2613" w:rsidRPr="001A209B" w:rsidRDefault="00EE2613" w:rsidP="00EE2613">
      <w:pPr>
        <w:jc w:val="both"/>
        <w:rPr>
          <w:rFonts w:cs="Arial"/>
          <w:sz w:val="18"/>
          <w:szCs w:val="18"/>
        </w:rPr>
      </w:pPr>
      <w:r w:rsidRPr="001A209B">
        <w:rPr>
          <w:rFonts w:cs="Arial"/>
          <w:sz w:val="18"/>
          <w:szCs w:val="18"/>
        </w:rPr>
        <w:t xml:space="preserve">A list of current directors is maintained on the Imperial Tobacco Group website: www.imperial-tobacco.com.  </w:t>
      </w:r>
    </w:p>
    <w:p w:rsidR="00EE2613" w:rsidRPr="001A209B" w:rsidRDefault="00EE2613" w:rsidP="00EE2613">
      <w:pPr>
        <w:jc w:val="both"/>
        <w:rPr>
          <w:rFonts w:cs="Arial"/>
          <w:sz w:val="18"/>
          <w:szCs w:val="18"/>
        </w:rPr>
      </w:pPr>
    </w:p>
    <w:p w:rsidR="00EE2613" w:rsidRPr="001A209B" w:rsidRDefault="00EE2613" w:rsidP="00EE2613">
      <w:pPr>
        <w:jc w:val="both"/>
        <w:rPr>
          <w:rFonts w:cs="Arial"/>
          <w:sz w:val="18"/>
          <w:szCs w:val="18"/>
        </w:rPr>
      </w:pPr>
      <w:r w:rsidRPr="001A209B">
        <w:rPr>
          <w:rFonts w:cs="Arial"/>
          <w:sz w:val="18"/>
          <w:szCs w:val="18"/>
        </w:rPr>
        <w:t>The Directors are responsible for the maintenance and integrity of the Company’s website. Legislation in the United Kingdom governing the preparation and dissemination of financial statements may differ from legislation in other jurisdictions.</w:t>
      </w:r>
    </w:p>
    <w:p w:rsidR="00EE2613" w:rsidRPr="001A209B" w:rsidRDefault="00EE2613" w:rsidP="00EE2613">
      <w:pPr>
        <w:jc w:val="both"/>
        <w:rPr>
          <w:rFonts w:cs="Arial"/>
          <w:sz w:val="18"/>
          <w:szCs w:val="18"/>
        </w:rPr>
      </w:pPr>
    </w:p>
    <w:p w:rsidR="00EE2613" w:rsidRPr="001A209B" w:rsidRDefault="00EE2613" w:rsidP="00EE2613">
      <w:pPr>
        <w:jc w:val="both"/>
        <w:rPr>
          <w:rFonts w:cs="Arial"/>
          <w:sz w:val="18"/>
          <w:szCs w:val="18"/>
        </w:rPr>
      </w:pPr>
      <w:r w:rsidRPr="001A209B">
        <w:rPr>
          <w:rFonts w:cs="Arial"/>
          <w:sz w:val="18"/>
          <w:szCs w:val="18"/>
        </w:rPr>
        <w:t>By order of the Board</w:t>
      </w:r>
    </w:p>
    <w:p w:rsidR="00EE2613" w:rsidRPr="001A209B" w:rsidRDefault="00EE2613" w:rsidP="00EE2613">
      <w:pPr>
        <w:jc w:val="both"/>
        <w:rPr>
          <w:rFonts w:cs="Arial"/>
          <w:b/>
          <w:bCs/>
          <w:sz w:val="18"/>
          <w:szCs w:val="18"/>
        </w:rPr>
      </w:pPr>
    </w:p>
    <w:tbl>
      <w:tblPr>
        <w:tblW w:w="0" w:type="auto"/>
        <w:tblLayout w:type="fixed"/>
        <w:tblLook w:val="0000" w:firstRow="0" w:lastRow="0" w:firstColumn="0" w:lastColumn="0" w:noHBand="0" w:noVBand="0"/>
      </w:tblPr>
      <w:tblGrid>
        <w:gridCol w:w="3708"/>
        <w:gridCol w:w="4428"/>
      </w:tblGrid>
      <w:tr w:rsidR="00EE2613" w:rsidRPr="001A209B" w:rsidTr="00DF108C">
        <w:tc>
          <w:tcPr>
            <w:tcW w:w="3708" w:type="dxa"/>
            <w:tcBorders>
              <w:top w:val="nil"/>
              <w:left w:val="nil"/>
              <w:bottom w:val="nil"/>
              <w:right w:val="nil"/>
            </w:tcBorders>
          </w:tcPr>
          <w:p w:rsidR="00EE2613" w:rsidRPr="001A209B" w:rsidRDefault="00EE2613" w:rsidP="00DF108C">
            <w:pPr>
              <w:jc w:val="both"/>
              <w:rPr>
                <w:rFonts w:cs="Arial"/>
                <w:bCs/>
                <w:sz w:val="18"/>
                <w:szCs w:val="18"/>
              </w:rPr>
            </w:pPr>
          </w:p>
          <w:p w:rsidR="00EE2613" w:rsidRPr="001A209B" w:rsidRDefault="00EE2613" w:rsidP="00DF108C">
            <w:pPr>
              <w:jc w:val="both"/>
              <w:rPr>
                <w:rFonts w:cs="Arial"/>
                <w:bCs/>
                <w:sz w:val="18"/>
                <w:szCs w:val="18"/>
              </w:rPr>
            </w:pPr>
          </w:p>
          <w:p w:rsidR="00EE2613" w:rsidRPr="001A209B" w:rsidRDefault="00EE2613" w:rsidP="00DF108C">
            <w:pPr>
              <w:jc w:val="both"/>
              <w:rPr>
                <w:rFonts w:cs="Arial"/>
                <w:bCs/>
                <w:sz w:val="18"/>
                <w:szCs w:val="18"/>
              </w:rPr>
            </w:pPr>
          </w:p>
          <w:p w:rsidR="00EE2613" w:rsidRPr="001A209B" w:rsidRDefault="00EE2613" w:rsidP="00DF108C">
            <w:pPr>
              <w:jc w:val="both"/>
              <w:rPr>
                <w:rFonts w:cs="Arial"/>
                <w:bCs/>
                <w:sz w:val="18"/>
                <w:szCs w:val="18"/>
              </w:rPr>
            </w:pPr>
          </w:p>
          <w:p w:rsidR="00EE2613" w:rsidRPr="001A209B" w:rsidRDefault="00EE2613" w:rsidP="00DF108C">
            <w:pPr>
              <w:jc w:val="both"/>
              <w:rPr>
                <w:rFonts w:cs="Arial"/>
                <w:bCs/>
                <w:sz w:val="18"/>
                <w:szCs w:val="18"/>
              </w:rPr>
            </w:pPr>
          </w:p>
          <w:p w:rsidR="00EE2613" w:rsidRPr="001A209B" w:rsidRDefault="00EE2613" w:rsidP="00DF108C">
            <w:pPr>
              <w:jc w:val="both"/>
              <w:rPr>
                <w:rFonts w:cs="Arial"/>
                <w:bCs/>
                <w:sz w:val="18"/>
                <w:szCs w:val="18"/>
              </w:rPr>
            </w:pPr>
            <w:r w:rsidRPr="001A209B">
              <w:rPr>
                <w:rFonts w:cs="Arial"/>
                <w:bCs/>
                <w:sz w:val="18"/>
                <w:szCs w:val="18"/>
              </w:rPr>
              <w:t>Alison Cooper</w:t>
            </w:r>
          </w:p>
        </w:tc>
        <w:tc>
          <w:tcPr>
            <w:tcW w:w="4428" w:type="dxa"/>
            <w:tcBorders>
              <w:top w:val="nil"/>
              <w:left w:val="nil"/>
              <w:bottom w:val="nil"/>
              <w:right w:val="nil"/>
            </w:tcBorders>
          </w:tcPr>
          <w:p w:rsidR="00EE2613" w:rsidRPr="001A209B" w:rsidRDefault="00EE2613" w:rsidP="00DF108C">
            <w:pPr>
              <w:jc w:val="both"/>
              <w:rPr>
                <w:rFonts w:cs="Arial"/>
                <w:bCs/>
                <w:sz w:val="18"/>
                <w:szCs w:val="18"/>
              </w:rPr>
            </w:pPr>
          </w:p>
          <w:p w:rsidR="00EE2613" w:rsidRPr="001A209B" w:rsidRDefault="00EE2613" w:rsidP="00DF108C">
            <w:pPr>
              <w:jc w:val="both"/>
              <w:rPr>
                <w:rFonts w:cs="Arial"/>
                <w:bCs/>
                <w:sz w:val="18"/>
                <w:szCs w:val="18"/>
              </w:rPr>
            </w:pPr>
          </w:p>
          <w:p w:rsidR="00EE2613" w:rsidRPr="001A209B" w:rsidRDefault="00EE2613" w:rsidP="00DF108C">
            <w:pPr>
              <w:jc w:val="both"/>
              <w:rPr>
                <w:rFonts w:cs="Arial"/>
                <w:bCs/>
                <w:sz w:val="18"/>
                <w:szCs w:val="18"/>
              </w:rPr>
            </w:pPr>
          </w:p>
          <w:p w:rsidR="00EE2613" w:rsidRPr="001A209B" w:rsidRDefault="00EE2613" w:rsidP="00DF108C">
            <w:pPr>
              <w:jc w:val="both"/>
              <w:rPr>
                <w:rFonts w:cs="Arial"/>
                <w:bCs/>
                <w:sz w:val="18"/>
                <w:szCs w:val="18"/>
              </w:rPr>
            </w:pPr>
          </w:p>
          <w:p w:rsidR="00EE2613" w:rsidRPr="001A209B" w:rsidRDefault="00EE2613" w:rsidP="00DF108C">
            <w:pPr>
              <w:jc w:val="both"/>
              <w:rPr>
                <w:rFonts w:cs="Arial"/>
                <w:bCs/>
                <w:sz w:val="18"/>
                <w:szCs w:val="18"/>
              </w:rPr>
            </w:pPr>
          </w:p>
          <w:p w:rsidR="00EE2613" w:rsidRPr="001A209B" w:rsidRDefault="00EE2613" w:rsidP="00DF108C">
            <w:pPr>
              <w:jc w:val="both"/>
              <w:rPr>
                <w:rFonts w:cs="Arial"/>
                <w:bCs/>
                <w:sz w:val="18"/>
                <w:szCs w:val="18"/>
              </w:rPr>
            </w:pPr>
            <w:r w:rsidRPr="001A209B">
              <w:rPr>
                <w:rFonts w:cs="Arial"/>
                <w:bCs/>
                <w:sz w:val="18"/>
                <w:szCs w:val="18"/>
              </w:rPr>
              <w:t>Oliver Tant</w:t>
            </w:r>
          </w:p>
        </w:tc>
      </w:tr>
      <w:tr w:rsidR="00EE2613" w:rsidRPr="001A209B" w:rsidTr="00DF108C">
        <w:tc>
          <w:tcPr>
            <w:tcW w:w="3708" w:type="dxa"/>
            <w:tcBorders>
              <w:top w:val="nil"/>
              <w:left w:val="nil"/>
              <w:bottom w:val="nil"/>
              <w:right w:val="nil"/>
            </w:tcBorders>
          </w:tcPr>
          <w:p w:rsidR="00EE2613" w:rsidRPr="001A209B" w:rsidRDefault="00EE2613" w:rsidP="00DF108C">
            <w:pPr>
              <w:jc w:val="both"/>
              <w:rPr>
                <w:rFonts w:cs="Arial"/>
                <w:bCs/>
                <w:sz w:val="18"/>
                <w:szCs w:val="18"/>
              </w:rPr>
            </w:pPr>
            <w:r w:rsidRPr="001A209B">
              <w:rPr>
                <w:rFonts w:cs="Arial"/>
                <w:sz w:val="18"/>
                <w:szCs w:val="18"/>
              </w:rPr>
              <w:t>Chief Executive</w:t>
            </w:r>
          </w:p>
        </w:tc>
        <w:tc>
          <w:tcPr>
            <w:tcW w:w="4428" w:type="dxa"/>
            <w:tcBorders>
              <w:top w:val="nil"/>
              <w:left w:val="nil"/>
              <w:bottom w:val="nil"/>
              <w:right w:val="nil"/>
            </w:tcBorders>
          </w:tcPr>
          <w:p w:rsidR="00EE2613" w:rsidRPr="001A209B" w:rsidRDefault="00EE2613" w:rsidP="00DF108C">
            <w:pPr>
              <w:jc w:val="both"/>
              <w:rPr>
                <w:rFonts w:cs="Arial"/>
                <w:bCs/>
                <w:sz w:val="18"/>
                <w:szCs w:val="18"/>
              </w:rPr>
            </w:pPr>
            <w:r w:rsidRPr="001A209B">
              <w:rPr>
                <w:rFonts w:cs="Arial"/>
                <w:sz w:val="18"/>
                <w:szCs w:val="18"/>
              </w:rPr>
              <w:t>Chief Financial Officer</w:t>
            </w:r>
          </w:p>
        </w:tc>
      </w:tr>
    </w:tbl>
    <w:p w:rsidR="00EE2613" w:rsidRPr="001A209B" w:rsidRDefault="00EE2613" w:rsidP="00EE2613">
      <w:pPr>
        <w:jc w:val="both"/>
        <w:rPr>
          <w:rFonts w:cs="Arial"/>
          <w:sz w:val="18"/>
          <w:szCs w:val="18"/>
        </w:rPr>
      </w:pPr>
      <w:r w:rsidRPr="001A209B">
        <w:rPr>
          <w:rFonts w:cs="Arial"/>
          <w:sz w:val="18"/>
          <w:szCs w:val="18"/>
        </w:rPr>
        <w:tab/>
      </w:r>
      <w:r w:rsidRPr="001A209B">
        <w:rPr>
          <w:rFonts w:cs="Arial"/>
          <w:sz w:val="18"/>
          <w:szCs w:val="18"/>
        </w:rPr>
        <w:tab/>
      </w:r>
      <w:r w:rsidRPr="001A209B">
        <w:rPr>
          <w:rFonts w:cs="Arial"/>
          <w:sz w:val="18"/>
          <w:szCs w:val="18"/>
        </w:rPr>
        <w:tab/>
      </w:r>
    </w:p>
    <w:p w:rsidR="00EE2613" w:rsidRPr="001A209B" w:rsidRDefault="00EE2613" w:rsidP="00EE2613">
      <w:pPr>
        <w:spacing w:before="20" w:after="20"/>
        <w:jc w:val="both"/>
        <w:rPr>
          <w:rFonts w:cs="Arial"/>
          <w:sz w:val="18"/>
          <w:szCs w:val="18"/>
        </w:rPr>
      </w:pPr>
    </w:p>
    <w:p w:rsidR="004F6998" w:rsidRPr="001A209B" w:rsidRDefault="004F6998" w:rsidP="004F6998">
      <w:pPr>
        <w:rPr>
          <w:rFonts w:cs="Arial"/>
          <w:bCs/>
          <w:sz w:val="18"/>
          <w:szCs w:val="18"/>
        </w:rPr>
      </w:pPr>
    </w:p>
    <w:p w:rsidR="006B1212" w:rsidRPr="001A209B" w:rsidRDefault="006A4D37" w:rsidP="006B1212">
      <w:pPr>
        <w:pBdr>
          <w:top w:val="single" w:sz="24" w:space="1" w:color="A60D1F"/>
          <w:left w:val="single" w:sz="24" w:space="4" w:color="A60D1F"/>
          <w:bottom w:val="single" w:sz="24" w:space="1" w:color="A60D1F"/>
          <w:right w:val="single" w:sz="24" w:space="4" w:color="A60D1F"/>
        </w:pBdr>
        <w:spacing w:before="20" w:after="20"/>
        <w:jc w:val="center"/>
        <w:rPr>
          <w:rFonts w:cs="Arial"/>
          <w:b/>
          <w:color w:val="A60D1F"/>
          <w:sz w:val="18"/>
          <w:szCs w:val="18"/>
        </w:rPr>
      </w:pPr>
      <w:r w:rsidRPr="001A209B">
        <w:rPr>
          <w:rFonts w:cs="Arial"/>
          <w:b/>
          <w:color w:val="A60D1F"/>
          <w:sz w:val="18"/>
          <w:szCs w:val="18"/>
        </w:rPr>
        <w:br w:type="page"/>
      </w:r>
      <w:r w:rsidR="006B1212" w:rsidRPr="001A209B">
        <w:rPr>
          <w:rFonts w:cs="Arial"/>
          <w:b/>
          <w:color w:val="A60D1F"/>
          <w:sz w:val="18"/>
          <w:szCs w:val="18"/>
        </w:rPr>
        <w:t>OTHER INFORMATION</w:t>
      </w:r>
    </w:p>
    <w:p w:rsidR="006B1212" w:rsidRPr="001A209B" w:rsidRDefault="006B1212" w:rsidP="006B1212">
      <w:pPr>
        <w:shd w:val="clear" w:color="auto" w:fill="FFFFFF"/>
        <w:spacing w:before="20" w:after="20"/>
        <w:jc w:val="both"/>
        <w:rPr>
          <w:rFonts w:cs="Arial"/>
          <w:sz w:val="18"/>
          <w:szCs w:val="18"/>
        </w:rPr>
      </w:pPr>
    </w:p>
    <w:p w:rsidR="006A4D37" w:rsidRPr="001A209B" w:rsidRDefault="006A4D37" w:rsidP="006A4D37">
      <w:pPr>
        <w:spacing w:before="20" w:after="20"/>
        <w:jc w:val="both"/>
        <w:rPr>
          <w:rFonts w:cs="Arial"/>
          <w:bCs/>
          <w:iCs/>
          <w:sz w:val="18"/>
          <w:szCs w:val="18"/>
        </w:rPr>
      </w:pPr>
      <w:bookmarkStart w:id="1" w:name="OLE_LINK3"/>
      <w:bookmarkStart w:id="2" w:name="OLE_LINK4"/>
      <w:r w:rsidRPr="001A209B">
        <w:rPr>
          <w:rFonts w:cs="Arial"/>
          <w:b/>
          <w:bCs/>
          <w:iCs/>
          <w:sz w:val="18"/>
          <w:szCs w:val="18"/>
        </w:rPr>
        <w:t>Basis of Pre</w:t>
      </w:r>
      <w:r w:rsidR="00DF108C" w:rsidRPr="001A209B">
        <w:rPr>
          <w:rFonts w:cs="Arial"/>
          <w:b/>
          <w:bCs/>
          <w:iCs/>
          <w:sz w:val="18"/>
          <w:szCs w:val="18"/>
        </w:rPr>
        <w:t>sentation</w:t>
      </w:r>
    </w:p>
    <w:p w:rsidR="00DF108C" w:rsidRPr="001A209B" w:rsidRDefault="00DF108C" w:rsidP="006A4D37">
      <w:pPr>
        <w:spacing w:before="20" w:after="20"/>
        <w:jc w:val="both"/>
        <w:rPr>
          <w:rFonts w:cs="Arial"/>
          <w:sz w:val="18"/>
          <w:szCs w:val="18"/>
        </w:rPr>
      </w:pPr>
      <w:r w:rsidRPr="001A209B">
        <w:rPr>
          <w:rFonts w:cs="Arial"/>
          <w:bCs/>
          <w:iCs/>
          <w:sz w:val="18"/>
          <w:szCs w:val="18"/>
        </w:rPr>
        <w:t xml:space="preserve">To aid understanding of our results, we use ‘adjusted’ (non-GAAP) measures in accordance with our usual practice. </w:t>
      </w:r>
      <w:r w:rsidRPr="001A209B">
        <w:rPr>
          <w:rFonts w:cs="Arial"/>
          <w:sz w:val="18"/>
          <w:szCs w:val="18"/>
        </w:rPr>
        <w:t>Definitions are included in our accounting policies within the notes to the financial statements.  Reconciliations between adjusted and reported (GAAP) measures are also included in the relevant notes.</w:t>
      </w:r>
    </w:p>
    <w:p w:rsidR="00DF108C" w:rsidRPr="001A209B" w:rsidRDefault="00DF108C" w:rsidP="006A4D37">
      <w:pPr>
        <w:spacing w:before="20" w:after="20"/>
        <w:jc w:val="both"/>
        <w:rPr>
          <w:rFonts w:cs="Arial"/>
          <w:sz w:val="18"/>
          <w:szCs w:val="18"/>
        </w:rPr>
      </w:pPr>
      <w:r w:rsidRPr="001A209B">
        <w:rPr>
          <w:rFonts w:cs="Arial"/>
          <w:sz w:val="18"/>
          <w:szCs w:val="18"/>
        </w:rPr>
        <w:t>Stick Equivalent (SE) volumes reflect our combined cigarette, fine cut tobacco, cigar and snus volumes.</w:t>
      </w:r>
    </w:p>
    <w:p w:rsidR="00DF108C" w:rsidRPr="001A209B" w:rsidRDefault="00305E8B" w:rsidP="006A4D37">
      <w:pPr>
        <w:spacing w:before="20" w:after="20"/>
        <w:jc w:val="both"/>
        <w:rPr>
          <w:rFonts w:cs="Arial"/>
          <w:sz w:val="18"/>
          <w:szCs w:val="18"/>
        </w:rPr>
      </w:pPr>
      <w:r w:rsidRPr="001A209B">
        <w:rPr>
          <w:rFonts w:cs="Arial"/>
          <w:sz w:val="18"/>
          <w:szCs w:val="18"/>
        </w:rPr>
        <w:t>C</w:t>
      </w:r>
      <w:r w:rsidR="00DF108C" w:rsidRPr="001A209B">
        <w:rPr>
          <w:rFonts w:cs="Arial"/>
          <w:sz w:val="18"/>
          <w:szCs w:val="18"/>
        </w:rPr>
        <w:t>hange at constant currency removes the effect of exchange rate movements on the translation of the results of our overseas operations.  References in this document to percentage growth and increases or decreases in our adjusted results are on a constant currency basis unless stated otherwise.</w:t>
      </w:r>
    </w:p>
    <w:p w:rsidR="00DF108C" w:rsidRPr="001A209B" w:rsidRDefault="00DF108C" w:rsidP="00DF108C">
      <w:pPr>
        <w:spacing w:before="20" w:after="20"/>
        <w:rPr>
          <w:rFonts w:cs="Arial"/>
          <w:sz w:val="18"/>
          <w:szCs w:val="18"/>
        </w:rPr>
      </w:pPr>
      <w:r w:rsidRPr="001A209B">
        <w:rPr>
          <w:rFonts w:cs="Arial"/>
          <w:sz w:val="18"/>
          <w:szCs w:val="18"/>
        </w:rPr>
        <w:t>Underlying change additionally removes the impact of the stock optimisation programme.</w:t>
      </w:r>
    </w:p>
    <w:p w:rsidR="00DF108C" w:rsidRPr="001A209B" w:rsidRDefault="00DF108C" w:rsidP="006A4D37">
      <w:pPr>
        <w:spacing w:before="20" w:after="20"/>
        <w:jc w:val="both"/>
        <w:rPr>
          <w:rFonts w:cs="Arial"/>
          <w:sz w:val="18"/>
          <w:szCs w:val="18"/>
        </w:rPr>
      </w:pPr>
    </w:p>
    <w:p w:rsidR="006A4D37" w:rsidRPr="001A209B" w:rsidRDefault="006A4D37" w:rsidP="006A4D37">
      <w:pPr>
        <w:spacing w:before="20" w:after="20"/>
        <w:jc w:val="both"/>
        <w:rPr>
          <w:rFonts w:cs="Arial"/>
          <w:sz w:val="18"/>
          <w:szCs w:val="18"/>
        </w:rPr>
      </w:pPr>
      <w:r w:rsidRPr="001A209B">
        <w:rPr>
          <w:rFonts w:cs="Arial"/>
          <w:b/>
          <w:bCs/>
          <w:iCs/>
          <w:sz w:val="18"/>
          <w:szCs w:val="18"/>
        </w:rPr>
        <w:t xml:space="preserve">Cautionary Statement </w:t>
      </w:r>
    </w:p>
    <w:p w:rsidR="006A4D37" w:rsidRPr="001A209B" w:rsidRDefault="006A4D37" w:rsidP="006A4D37">
      <w:pPr>
        <w:spacing w:before="20" w:after="20"/>
        <w:jc w:val="both"/>
        <w:rPr>
          <w:rFonts w:eastAsia="Calibri" w:cs="Arial"/>
          <w:sz w:val="18"/>
          <w:szCs w:val="18"/>
          <w:lang w:eastAsia="en-US"/>
        </w:rPr>
      </w:pPr>
      <w:r w:rsidRPr="001A209B">
        <w:rPr>
          <w:rFonts w:eastAsia="Calibri" w:cs="Arial"/>
          <w:sz w:val="18"/>
          <w:szCs w:val="18"/>
          <w:lang w:eastAsia="en-US"/>
        </w:rPr>
        <w:t>Certain statements in this announcement constitute or may constitute forward-looking statements. Any statement in this announcement that is not a statement of historical fact including, without limitation, those regarding the Company’s future expectations, operations, financial performance, financial condition and business is or may be a forward-looking statement. Such forward-looking statements are subject to risks and uncertainties that may cause actual results to differ materially from those projected or implied in any forward-looking statement. These risks and uncertainties include, among other factors, changing economic, financial, business or other market conditions. These and other factors could adversely affect the outcome and financial effects of the plans and events described in this announcement. As a result, you are cautioned not to place any reliance on such forward-looking statements. The forward-looking statements reflect knowledge and information available at the date of this announcement and the Company undertakes no obligation to update its view of such risks and uncertainties or to update the forward-looking statements contained herein. Nothing in this announcement should be construed as a profit forecast or profit estimate and no statement in this announcement should be interpreted to mean that the future earnings per share of the Company for current or future financial years will necessarily match or exceed the historical or published earnings per share of the Company. This announcement has been prepared for, and only for the members of the Company, as a body, and no other persons.  The Company, its directors, employees, agents or advisers do not accept or assume responsibility to any other person to whom this announcement is shown or into whose hands it may come and any such responsibility or liability is expressly disclaimed.</w:t>
      </w:r>
    </w:p>
    <w:bookmarkEnd w:id="1"/>
    <w:bookmarkEnd w:id="2"/>
    <w:p w:rsidR="006A4D37" w:rsidRPr="001A209B" w:rsidRDefault="006A4D37" w:rsidP="006A4D37">
      <w:pPr>
        <w:spacing w:before="20" w:after="20"/>
        <w:jc w:val="both"/>
        <w:rPr>
          <w:rFonts w:cs="Arial"/>
          <w:sz w:val="18"/>
          <w:szCs w:val="18"/>
        </w:rPr>
      </w:pPr>
    </w:p>
    <w:tbl>
      <w:tblPr>
        <w:tblW w:w="9162" w:type="dxa"/>
        <w:jc w:val="center"/>
        <w:tblBorders>
          <w:top w:val="single" w:sz="4" w:space="0" w:color="auto"/>
          <w:bottom w:val="single" w:sz="4" w:space="0" w:color="auto"/>
        </w:tblBorders>
        <w:tblLook w:val="04A0" w:firstRow="1" w:lastRow="0" w:firstColumn="1" w:lastColumn="0" w:noHBand="0" w:noVBand="1"/>
      </w:tblPr>
      <w:tblGrid>
        <w:gridCol w:w="2062"/>
        <w:gridCol w:w="2701"/>
        <w:gridCol w:w="2291"/>
        <w:gridCol w:w="2108"/>
      </w:tblGrid>
      <w:tr w:rsidR="006A4D37" w:rsidRPr="001A209B" w:rsidTr="006A4D37">
        <w:trPr>
          <w:jc w:val="center"/>
        </w:trPr>
        <w:tc>
          <w:tcPr>
            <w:tcW w:w="2062" w:type="dxa"/>
            <w:shd w:val="clear" w:color="auto" w:fill="auto"/>
            <w:vAlign w:val="center"/>
          </w:tcPr>
          <w:p w:rsidR="006A4D37" w:rsidRPr="001A209B" w:rsidRDefault="006A4D37" w:rsidP="006A4D37">
            <w:pPr>
              <w:spacing w:before="20" w:after="20"/>
              <w:jc w:val="both"/>
              <w:rPr>
                <w:rFonts w:cs="Arial"/>
                <w:b/>
                <w:sz w:val="18"/>
                <w:szCs w:val="18"/>
              </w:rPr>
            </w:pPr>
            <w:r w:rsidRPr="001A209B">
              <w:rPr>
                <w:rFonts w:cs="Arial"/>
                <w:b/>
                <w:sz w:val="18"/>
                <w:szCs w:val="18"/>
              </w:rPr>
              <w:t>Investor Contacts</w:t>
            </w:r>
          </w:p>
        </w:tc>
        <w:tc>
          <w:tcPr>
            <w:tcW w:w="2701" w:type="dxa"/>
            <w:shd w:val="clear" w:color="auto" w:fill="auto"/>
            <w:vAlign w:val="center"/>
          </w:tcPr>
          <w:p w:rsidR="006A4D37" w:rsidRPr="001A209B" w:rsidRDefault="006A4D37" w:rsidP="006A4D37">
            <w:pPr>
              <w:spacing w:before="20" w:after="20"/>
              <w:jc w:val="both"/>
              <w:rPr>
                <w:rFonts w:cs="Arial"/>
                <w:sz w:val="18"/>
                <w:szCs w:val="18"/>
              </w:rPr>
            </w:pPr>
          </w:p>
        </w:tc>
        <w:tc>
          <w:tcPr>
            <w:tcW w:w="2291" w:type="dxa"/>
            <w:shd w:val="clear" w:color="auto" w:fill="auto"/>
            <w:vAlign w:val="center"/>
          </w:tcPr>
          <w:p w:rsidR="006A4D37" w:rsidRPr="001A209B" w:rsidRDefault="006A4D37" w:rsidP="006A4D37">
            <w:pPr>
              <w:tabs>
                <w:tab w:val="left" w:pos="1833"/>
              </w:tabs>
              <w:spacing w:before="20" w:after="20"/>
              <w:jc w:val="both"/>
              <w:rPr>
                <w:rFonts w:cs="Arial"/>
                <w:b/>
                <w:sz w:val="18"/>
                <w:szCs w:val="18"/>
              </w:rPr>
            </w:pPr>
            <w:r w:rsidRPr="001A209B">
              <w:rPr>
                <w:rFonts w:cs="Arial"/>
                <w:b/>
                <w:sz w:val="18"/>
                <w:szCs w:val="18"/>
              </w:rPr>
              <w:t>Media Contacts</w:t>
            </w:r>
            <w:r w:rsidRPr="001A209B">
              <w:rPr>
                <w:rFonts w:cs="Arial"/>
                <w:b/>
                <w:sz w:val="18"/>
                <w:szCs w:val="18"/>
              </w:rPr>
              <w:tab/>
            </w:r>
          </w:p>
        </w:tc>
        <w:tc>
          <w:tcPr>
            <w:tcW w:w="2108" w:type="dxa"/>
            <w:shd w:val="clear" w:color="auto" w:fill="auto"/>
            <w:vAlign w:val="center"/>
          </w:tcPr>
          <w:p w:rsidR="006A4D37" w:rsidRPr="001A209B" w:rsidRDefault="006A4D37" w:rsidP="006A4D37">
            <w:pPr>
              <w:spacing w:before="20" w:after="20"/>
              <w:jc w:val="both"/>
              <w:rPr>
                <w:rFonts w:cs="Arial"/>
                <w:sz w:val="18"/>
                <w:szCs w:val="18"/>
              </w:rPr>
            </w:pPr>
          </w:p>
        </w:tc>
      </w:tr>
      <w:tr w:rsidR="006A4D37" w:rsidRPr="001A209B" w:rsidTr="006A4D37">
        <w:trPr>
          <w:jc w:val="center"/>
        </w:trPr>
        <w:tc>
          <w:tcPr>
            <w:tcW w:w="2062" w:type="dxa"/>
            <w:shd w:val="clear" w:color="auto" w:fill="auto"/>
            <w:vAlign w:val="center"/>
          </w:tcPr>
          <w:p w:rsidR="006A4D37" w:rsidRPr="001A209B" w:rsidRDefault="006A4D37" w:rsidP="006A4D37">
            <w:pPr>
              <w:spacing w:before="20" w:after="20"/>
              <w:jc w:val="both"/>
              <w:rPr>
                <w:rFonts w:cs="Arial"/>
                <w:sz w:val="18"/>
                <w:szCs w:val="18"/>
              </w:rPr>
            </w:pPr>
            <w:r w:rsidRPr="001A209B">
              <w:rPr>
                <w:rFonts w:cs="Arial"/>
                <w:sz w:val="18"/>
                <w:szCs w:val="18"/>
              </w:rPr>
              <w:t>Tom Corran</w:t>
            </w:r>
          </w:p>
        </w:tc>
        <w:tc>
          <w:tcPr>
            <w:tcW w:w="2701" w:type="dxa"/>
            <w:shd w:val="clear" w:color="auto" w:fill="auto"/>
            <w:vAlign w:val="center"/>
          </w:tcPr>
          <w:p w:rsidR="006A4D37" w:rsidRPr="001A209B" w:rsidRDefault="006A4D37" w:rsidP="006A4D37">
            <w:pPr>
              <w:spacing w:before="20" w:after="20"/>
              <w:jc w:val="both"/>
              <w:rPr>
                <w:rFonts w:cs="Arial"/>
                <w:sz w:val="18"/>
                <w:szCs w:val="18"/>
              </w:rPr>
            </w:pPr>
            <w:r w:rsidRPr="001A209B">
              <w:rPr>
                <w:rFonts w:cs="Arial"/>
                <w:sz w:val="18"/>
                <w:szCs w:val="18"/>
              </w:rPr>
              <w:t>+44 (0)117 933 7510</w:t>
            </w:r>
          </w:p>
        </w:tc>
        <w:tc>
          <w:tcPr>
            <w:tcW w:w="2291" w:type="dxa"/>
            <w:shd w:val="clear" w:color="auto" w:fill="auto"/>
            <w:vAlign w:val="center"/>
          </w:tcPr>
          <w:p w:rsidR="006A4D37" w:rsidRPr="001A209B" w:rsidRDefault="006A4D37" w:rsidP="006A4D37">
            <w:pPr>
              <w:tabs>
                <w:tab w:val="left" w:pos="2075"/>
              </w:tabs>
              <w:spacing w:before="20" w:after="20"/>
              <w:jc w:val="both"/>
              <w:rPr>
                <w:rFonts w:cs="Arial"/>
                <w:sz w:val="18"/>
                <w:szCs w:val="18"/>
              </w:rPr>
            </w:pPr>
            <w:r w:rsidRPr="001A209B">
              <w:rPr>
                <w:rFonts w:cs="Arial"/>
                <w:sz w:val="18"/>
                <w:szCs w:val="18"/>
              </w:rPr>
              <w:t>Alex Parsons</w:t>
            </w:r>
          </w:p>
        </w:tc>
        <w:tc>
          <w:tcPr>
            <w:tcW w:w="2108" w:type="dxa"/>
            <w:shd w:val="clear" w:color="auto" w:fill="auto"/>
            <w:vAlign w:val="center"/>
          </w:tcPr>
          <w:p w:rsidR="006A4D37" w:rsidRPr="001A209B" w:rsidRDefault="006A4D37" w:rsidP="006A4D37">
            <w:pPr>
              <w:spacing w:before="20" w:after="20"/>
              <w:jc w:val="both"/>
              <w:rPr>
                <w:rFonts w:cs="Arial"/>
                <w:sz w:val="18"/>
                <w:szCs w:val="18"/>
              </w:rPr>
            </w:pPr>
            <w:r w:rsidRPr="001A209B">
              <w:rPr>
                <w:rFonts w:cs="Arial"/>
                <w:sz w:val="18"/>
                <w:szCs w:val="18"/>
              </w:rPr>
              <w:t>+44 (0)7967 467 241</w:t>
            </w:r>
          </w:p>
        </w:tc>
      </w:tr>
      <w:tr w:rsidR="006A4D37" w:rsidRPr="001A209B" w:rsidTr="006A4D37">
        <w:trPr>
          <w:jc w:val="center"/>
        </w:trPr>
        <w:tc>
          <w:tcPr>
            <w:tcW w:w="2062" w:type="dxa"/>
            <w:shd w:val="clear" w:color="auto" w:fill="auto"/>
            <w:vAlign w:val="center"/>
          </w:tcPr>
          <w:p w:rsidR="006A4D37" w:rsidRPr="001A209B" w:rsidRDefault="006A4D37" w:rsidP="006A4D37">
            <w:pPr>
              <w:spacing w:before="20" w:after="20"/>
              <w:jc w:val="both"/>
              <w:rPr>
                <w:rFonts w:cs="Arial"/>
                <w:sz w:val="18"/>
                <w:szCs w:val="18"/>
              </w:rPr>
            </w:pPr>
            <w:r w:rsidRPr="001A209B">
              <w:rPr>
                <w:rFonts w:cs="Arial"/>
                <w:sz w:val="18"/>
                <w:szCs w:val="18"/>
              </w:rPr>
              <w:t>Matt Sharff</w:t>
            </w:r>
          </w:p>
        </w:tc>
        <w:tc>
          <w:tcPr>
            <w:tcW w:w="2701" w:type="dxa"/>
            <w:shd w:val="clear" w:color="auto" w:fill="auto"/>
            <w:vAlign w:val="center"/>
          </w:tcPr>
          <w:p w:rsidR="006A4D37" w:rsidRPr="001A209B" w:rsidRDefault="006A4D37" w:rsidP="006A4D37">
            <w:pPr>
              <w:spacing w:before="20" w:after="20"/>
              <w:jc w:val="both"/>
              <w:rPr>
                <w:rFonts w:cs="Arial"/>
                <w:sz w:val="18"/>
                <w:szCs w:val="18"/>
              </w:rPr>
            </w:pPr>
            <w:r w:rsidRPr="001A209B">
              <w:rPr>
                <w:rFonts w:cs="Arial"/>
                <w:sz w:val="18"/>
                <w:szCs w:val="18"/>
              </w:rPr>
              <w:t>+44 (0)117 933 7396</w:t>
            </w:r>
          </w:p>
        </w:tc>
        <w:tc>
          <w:tcPr>
            <w:tcW w:w="2291" w:type="dxa"/>
            <w:shd w:val="clear" w:color="auto" w:fill="auto"/>
            <w:vAlign w:val="center"/>
          </w:tcPr>
          <w:p w:rsidR="006A4D37" w:rsidRPr="001A209B" w:rsidRDefault="006A4D37" w:rsidP="006A4D37">
            <w:pPr>
              <w:tabs>
                <w:tab w:val="left" w:pos="1833"/>
              </w:tabs>
              <w:spacing w:before="20" w:after="20"/>
              <w:jc w:val="both"/>
              <w:rPr>
                <w:rFonts w:cs="Arial"/>
                <w:sz w:val="18"/>
                <w:szCs w:val="18"/>
              </w:rPr>
            </w:pPr>
            <w:r w:rsidRPr="001A209B">
              <w:rPr>
                <w:rFonts w:cs="Arial"/>
                <w:sz w:val="18"/>
                <w:szCs w:val="18"/>
              </w:rPr>
              <w:t>Simon Evans</w:t>
            </w:r>
          </w:p>
        </w:tc>
        <w:tc>
          <w:tcPr>
            <w:tcW w:w="2108" w:type="dxa"/>
            <w:shd w:val="clear" w:color="auto" w:fill="auto"/>
            <w:vAlign w:val="center"/>
          </w:tcPr>
          <w:p w:rsidR="006A4D37" w:rsidRPr="001A209B" w:rsidRDefault="006A4D37" w:rsidP="006A4D37">
            <w:pPr>
              <w:spacing w:before="20" w:after="20"/>
              <w:jc w:val="both"/>
              <w:rPr>
                <w:rFonts w:cs="Arial"/>
                <w:sz w:val="18"/>
                <w:szCs w:val="18"/>
              </w:rPr>
            </w:pPr>
            <w:r w:rsidRPr="001A209B">
              <w:rPr>
                <w:rFonts w:cs="Arial"/>
                <w:sz w:val="18"/>
                <w:szCs w:val="18"/>
              </w:rPr>
              <w:t>+44 (0)7967 467 684</w:t>
            </w:r>
          </w:p>
        </w:tc>
      </w:tr>
      <w:tr w:rsidR="006A4D37" w:rsidRPr="001A209B" w:rsidTr="006A4D37">
        <w:trPr>
          <w:jc w:val="center"/>
        </w:trPr>
        <w:tc>
          <w:tcPr>
            <w:tcW w:w="2062" w:type="dxa"/>
            <w:shd w:val="clear" w:color="auto" w:fill="auto"/>
            <w:vAlign w:val="center"/>
          </w:tcPr>
          <w:p w:rsidR="006A4D37" w:rsidRPr="001A209B" w:rsidRDefault="006A4D37" w:rsidP="006A4D37">
            <w:pPr>
              <w:spacing w:before="20" w:after="20"/>
              <w:jc w:val="both"/>
              <w:rPr>
                <w:rFonts w:cs="Arial"/>
                <w:sz w:val="18"/>
                <w:szCs w:val="18"/>
              </w:rPr>
            </w:pPr>
            <w:r w:rsidRPr="001A209B">
              <w:rPr>
                <w:rFonts w:cs="Arial"/>
                <w:sz w:val="18"/>
                <w:szCs w:val="18"/>
              </w:rPr>
              <w:t>Jo Brewin</w:t>
            </w:r>
          </w:p>
        </w:tc>
        <w:tc>
          <w:tcPr>
            <w:tcW w:w="2701" w:type="dxa"/>
            <w:shd w:val="clear" w:color="auto" w:fill="auto"/>
            <w:vAlign w:val="center"/>
          </w:tcPr>
          <w:p w:rsidR="006A4D37" w:rsidRPr="001A209B" w:rsidRDefault="006A4D37" w:rsidP="006A4D37">
            <w:pPr>
              <w:spacing w:before="20" w:after="20"/>
              <w:jc w:val="both"/>
              <w:rPr>
                <w:rFonts w:cs="Arial"/>
                <w:sz w:val="18"/>
                <w:szCs w:val="18"/>
              </w:rPr>
            </w:pPr>
            <w:r w:rsidRPr="001A209B">
              <w:rPr>
                <w:rFonts w:cs="Arial"/>
                <w:sz w:val="18"/>
                <w:szCs w:val="18"/>
              </w:rPr>
              <w:t>+44 (0)117 933 7549</w:t>
            </w:r>
          </w:p>
        </w:tc>
        <w:tc>
          <w:tcPr>
            <w:tcW w:w="2291" w:type="dxa"/>
            <w:shd w:val="clear" w:color="auto" w:fill="auto"/>
          </w:tcPr>
          <w:p w:rsidR="006A4D37" w:rsidRPr="001A209B" w:rsidRDefault="006A4D37" w:rsidP="006A4D37">
            <w:pPr>
              <w:spacing w:before="20" w:after="20"/>
              <w:jc w:val="both"/>
              <w:rPr>
                <w:rFonts w:cs="Arial"/>
                <w:sz w:val="18"/>
                <w:szCs w:val="18"/>
              </w:rPr>
            </w:pPr>
          </w:p>
        </w:tc>
        <w:tc>
          <w:tcPr>
            <w:tcW w:w="2108" w:type="dxa"/>
            <w:shd w:val="clear" w:color="auto" w:fill="auto"/>
          </w:tcPr>
          <w:p w:rsidR="006A4D37" w:rsidRPr="001A209B" w:rsidRDefault="006A4D37" w:rsidP="006A4D37">
            <w:pPr>
              <w:spacing w:before="20" w:after="20"/>
              <w:jc w:val="both"/>
              <w:rPr>
                <w:rFonts w:cs="Arial"/>
                <w:sz w:val="18"/>
                <w:szCs w:val="18"/>
              </w:rPr>
            </w:pPr>
          </w:p>
        </w:tc>
      </w:tr>
    </w:tbl>
    <w:p w:rsidR="006A4D37" w:rsidRPr="001A209B" w:rsidRDefault="006A4D37" w:rsidP="006A4D37">
      <w:pPr>
        <w:spacing w:before="20" w:after="20"/>
        <w:jc w:val="both"/>
        <w:rPr>
          <w:rFonts w:cs="Arial"/>
          <w:sz w:val="18"/>
          <w:szCs w:val="18"/>
        </w:rPr>
      </w:pPr>
    </w:p>
    <w:p w:rsidR="006A4D37" w:rsidRPr="001A209B" w:rsidRDefault="006A4D37" w:rsidP="006A4D37">
      <w:pPr>
        <w:spacing w:before="20" w:after="20"/>
        <w:jc w:val="both"/>
        <w:rPr>
          <w:rFonts w:cs="Arial"/>
          <w:b/>
          <w:sz w:val="18"/>
          <w:szCs w:val="18"/>
        </w:rPr>
      </w:pPr>
      <w:r w:rsidRPr="001A209B">
        <w:rPr>
          <w:rFonts w:cs="Arial"/>
          <w:b/>
          <w:sz w:val="18"/>
          <w:szCs w:val="18"/>
        </w:rPr>
        <w:t>Webcast and Conference Call</w:t>
      </w:r>
    </w:p>
    <w:p w:rsidR="006A4D37" w:rsidRPr="001A209B" w:rsidRDefault="006A4D37" w:rsidP="006A4D37">
      <w:pPr>
        <w:spacing w:before="20" w:after="20"/>
        <w:jc w:val="both"/>
        <w:rPr>
          <w:rFonts w:cs="Arial"/>
          <w:sz w:val="18"/>
          <w:szCs w:val="18"/>
        </w:rPr>
      </w:pPr>
      <w:r w:rsidRPr="001A209B">
        <w:rPr>
          <w:rFonts w:cs="Arial"/>
          <w:sz w:val="18"/>
          <w:szCs w:val="18"/>
        </w:rPr>
        <w:t xml:space="preserve">A live webcast of a presentation for analysts and investors will be available on </w:t>
      </w:r>
      <w:hyperlink r:id="rId8" w:history="1">
        <w:r w:rsidR="00E71819" w:rsidRPr="001A209B">
          <w:rPr>
            <w:rStyle w:val="Hyperlink"/>
            <w:rFonts w:cs="Arial"/>
            <w:sz w:val="18"/>
            <w:szCs w:val="18"/>
          </w:rPr>
          <w:t>www.imperial-tobacco.com</w:t>
        </w:r>
      </w:hyperlink>
      <w:r w:rsidR="00E71819" w:rsidRPr="001A209B">
        <w:rPr>
          <w:rFonts w:cs="Arial"/>
          <w:sz w:val="18"/>
          <w:szCs w:val="18"/>
        </w:rPr>
        <w:t xml:space="preserve"> </w:t>
      </w:r>
      <w:r w:rsidRPr="001A209B">
        <w:rPr>
          <w:rFonts w:cs="Arial"/>
          <w:sz w:val="18"/>
          <w:szCs w:val="18"/>
        </w:rPr>
        <w:t>from 9.00am (</w:t>
      </w:r>
      <w:r w:rsidR="00A65296" w:rsidRPr="001A209B">
        <w:rPr>
          <w:rFonts w:cs="Arial"/>
          <w:sz w:val="18"/>
          <w:szCs w:val="18"/>
        </w:rPr>
        <w:t>BST</w:t>
      </w:r>
      <w:r w:rsidRPr="001A209B">
        <w:rPr>
          <w:rFonts w:cs="Arial"/>
          <w:sz w:val="18"/>
          <w:szCs w:val="18"/>
        </w:rPr>
        <w:t>). An archive of the webcast and the presentation script and slides will also be made available during the afternoon.</w:t>
      </w:r>
    </w:p>
    <w:p w:rsidR="00E71819" w:rsidRPr="001A209B" w:rsidRDefault="00E71819" w:rsidP="006A4D37">
      <w:pPr>
        <w:spacing w:before="20" w:after="20"/>
        <w:jc w:val="both"/>
        <w:rPr>
          <w:rFonts w:cs="Arial"/>
          <w:sz w:val="18"/>
          <w:szCs w:val="18"/>
        </w:rPr>
      </w:pPr>
    </w:p>
    <w:p w:rsidR="00E71819" w:rsidRPr="001A209B" w:rsidRDefault="006A4D37" w:rsidP="006A4D37">
      <w:pPr>
        <w:spacing w:before="20" w:after="20"/>
        <w:jc w:val="both"/>
        <w:rPr>
          <w:rFonts w:cs="Arial"/>
          <w:sz w:val="18"/>
          <w:szCs w:val="18"/>
        </w:rPr>
      </w:pPr>
      <w:r w:rsidRPr="001A209B">
        <w:rPr>
          <w:rFonts w:cs="Arial"/>
          <w:sz w:val="18"/>
          <w:szCs w:val="18"/>
        </w:rPr>
        <w:t xml:space="preserve">Interviews with Alison Cooper, Chief Executive and Oliver Tant, </w:t>
      </w:r>
      <w:r w:rsidR="00083215" w:rsidRPr="001A209B">
        <w:rPr>
          <w:rFonts w:cs="Arial"/>
          <w:sz w:val="18"/>
          <w:szCs w:val="18"/>
        </w:rPr>
        <w:t>Chief Financial Officer</w:t>
      </w:r>
      <w:r w:rsidRPr="001A209B">
        <w:rPr>
          <w:rFonts w:cs="Arial"/>
          <w:sz w:val="18"/>
          <w:szCs w:val="18"/>
        </w:rPr>
        <w:t xml:space="preserve">, are available in video, audio and text formats at: </w:t>
      </w:r>
      <w:hyperlink r:id="rId9" w:history="1">
        <w:r w:rsidRPr="001A209B">
          <w:rPr>
            <w:rStyle w:val="Hyperlink"/>
            <w:rFonts w:cs="Arial"/>
            <w:sz w:val="18"/>
            <w:szCs w:val="18"/>
          </w:rPr>
          <w:t>www.imperial-tobacco.com</w:t>
        </w:r>
      </w:hyperlink>
      <w:r w:rsidRPr="001A209B">
        <w:rPr>
          <w:rFonts w:cs="Arial"/>
          <w:sz w:val="18"/>
          <w:szCs w:val="18"/>
        </w:rPr>
        <w:t xml:space="preserve"> and </w:t>
      </w:r>
      <w:hyperlink r:id="rId10" w:history="1">
        <w:r w:rsidRPr="001A209B">
          <w:rPr>
            <w:rStyle w:val="Hyperlink"/>
            <w:rFonts w:cs="Arial"/>
            <w:sz w:val="18"/>
            <w:szCs w:val="18"/>
          </w:rPr>
          <w:t>www.cantos.com</w:t>
        </w:r>
      </w:hyperlink>
      <w:r w:rsidRPr="001A209B">
        <w:rPr>
          <w:rFonts w:cs="Arial"/>
          <w:sz w:val="18"/>
          <w:szCs w:val="18"/>
        </w:rPr>
        <w:t xml:space="preserve">  </w:t>
      </w:r>
    </w:p>
    <w:p w:rsidR="00E71819" w:rsidRPr="001A209B" w:rsidRDefault="00E71819" w:rsidP="006A4D37">
      <w:pPr>
        <w:spacing w:before="20" w:after="20"/>
        <w:jc w:val="both"/>
        <w:rPr>
          <w:rFonts w:cs="Arial"/>
          <w:sz w:val="18"/>
          <w:szCs w:val="18"/>
        </w:rPr>
      </w:pPr>
    </w:p>
    <w:p w:rsidR="006A4D37" w:rsidRPr="001A209B" w:rsidRDefault="006A4D37" w:rsidP="006A4D37">
      <w:pPr>
        <w:spacing w:before="20" w:after="20"/>
        <w:jc w:val="both"/>
        <w:rPr>
          <w:rFonts w:cs="Arial"/>
          <w:sz w:val="18"/>
          <w:szCs w:val="18"/>
        </w:rPr>
      </w:pPr>
      <w:r w:rsidRPr="001A209B">
        <w:rPr>
          <w:rFonts w:cs="Arial"/>
          <w:sz w:val="18"/>
          <w:szCs w:val="18"/>
        </w:rPr>
        <w:t xml:space="preserve">High-resolution photographs are available to the media free of charge at: </w:t>
      </w:r>
      <w:hyperlink r:id="rId11" w:history="1">
        <w:r w:rsidRPr="001A209B">
          <w:rPr>
            <w:rStyle w:val="Hyperlink"/>
            <w:rFonts w:cs="Arial"/>
            <w:sz w:val="18"/>
            <w:szCs w:val="18"/>
          </w:rPr>
          <w:t>www.newscast.co.uk</w:t>
        </w:r>
      </w:hyperlink>
    </w:p>
    <w:p w:rsidR="00E71819" w:rsidRPr="001A209B" w:rsidRDefault="00E71819" w:rsidP="006A4D37">
      <w:pPr>
        <w:pStyle w:val="Default"/>
        <w:spacing w:before="20" w:after="20"/>
        <w:jc w:val="both"/>
        <w:rPr>
          <w:sz w:val="18"/>
          <w:szCs w:val="18"/>
        </w:rPr>
      </w:pPr>
    </w:p>
    <w:p w:rsidR="006A4D37" w:rsidRPr="001A209B" w:rsidRDefault="006A4D37" w:rsidP="006A4D37">
      <w:pPr>
        <w:pStyle w:val="Default"/>
        <w:spacing w:before="20" w:after="20"/>
        <w:jc w:val="both"/>
        <w:rPr>
          <w:sz w:val="18"/>
          <w:szCs w:val="18"/>
        </w:rPr>
      </w:pPr>
      <w:r w:rsidRPr="001A209B">
        <w:rPr>
          <w:sz w:val="18"/>
          <w:szCs w:val="18"/>
        </w:rPr>
        <w:t xml:space="preserve">Alison Cooper will host a media conference call at 7.30am, at which there will be the opportunity for questions. </w:t>
      </w:r>
    </w:p>
    <w:p w:rsidR="00A65296" w:rsidRPr="001A209B" w:rsidRDefault="00A65296" w:rsidP="00A65296">
      <w:pPr>
        <w:pStyle w:val="Default"/>
        <w:spacing w:before="20" w:after="20"/>
        <w:jc w:val="both"/>
        <w:rPr>
          <w:sz w:val="18"/>
          <w:szCs w:val="18"/>
        </w:rPr>
      </w:pPr>
      <w:r w:rsidRPr="001A209B">
        <w:rPr>
          <w:sz w:val="18"/>
          <w:szCs w:val="18"/>
        </w:rPr>
        <w:t xml:space="preserve">Dial in Number: +44(0)20 3427 1918 / Participant code: 2231550 </w:t>
      </w:r>
    </w:p>
    <w:p w:rsidR="00A65296" w:rsidRPr="001A209B" w:rsidRDefault="00A65296" w:rsidP="00A65296">
      <w:pPr>
        <w:pStyle w:val="Default"/>
        <w:spacing w:before="20" w:after="20"/>
        <w:jc w:val="both"/>
        <w:rPr>
          <w:sz w:val="18"/>
          <w:szCs w:val="18"/>
        </w:rPr>
      </w:pPr>
      <w:r w:rsidRPr="001A209B">
        <w:rPr>
          <w:sz w:val="18"/>
          <w:szCs w:val="18"/>
        </w:rPr>
        <w:t xml:space="preserve">A replay of this call will be available for one week. To listen, please dial: </w:t>
      </w:r>
    </w:p>
    <w:p w:rsidR="007D142A" w:rsidRPr="001A209B" w:rsidRDefault="00A65296" w:rsidP="00A65296">
      <w:pPr>
        <w:pStyle w:val="Default"/>
        <w:spacing w:before="20" w:after="20"/>
        <w:jc w:val="both"/>
        <w:rPr>
          <w:sz w:val="18"/>
          <w:szCs w:val="18"/>
        </w:rPr>
      </w:pPr>
      <w:r w:rsidRPr="001A209B">
        <w:rPr>
          <w:sz w:val="18"/>
          <w:szCs w:val="18"/>
        </w:rPr>
        <w:t>Replay Number: +44 (0)20 3427 0598 / Access Code: 2231550</w:t>
      </w:r>
    </w:p>
    <w:p w:rsidR="006A4D37" w:rsidRPr="001A209B" w:rsidRDefault="006A4D37" w:rsidP="006A4D37">
      <w:pPr>
        <w:pBdr>
          <w:top w:val="single" w:sz="24" w:space="1" w:color="A60D1F"/>
          <w:left w:val="single" w:sz="24" w:space="4" w:color="A60D1F"/>
          <w:bottom w:val="single" w:sz="24" w:space="1" w:color="A60D1F"/>
          <w:right w:val="single" w:sz="24" w:space="4" w:color="A60D1F"/>
        </w:pBdr>
        <w:spacing w:before="20" w:after="20"/>
        <w:jc w:val="center"/>
        <w:rPr>
          <w:rFonts w:cs="Arial"/>
          <w:b/>
          <w:color w:val="A60D1F"/>
          <w:sz w:val="18"/>
          <w:szCs w:val="18"/>
        </w:rPr>
      </w:pPr>
      <w:r w:rsidRPr="001A209B">
        <w:rPr>
          <w:rFonts w:cs="Arial"/>
          <w:sz w:val="18"/>
          <w:szCs w:val="18"/>
        </w:rPr>
        <w:br w:type="page"/>
      </w:r>
      <w:r w:rsidR="006B1212" w:rsidRPr="001A209B">
        <w:rPr>
          <w:rFonts w:cs="Arial"/>
          <w:b/>
          <w:color w:val="A60D1F"/>
          <w:sz w:val="18"/>
          <w:szCs w:val="18"/>
        </w:rPr>
        <w:t>FINANCIAL STATEMENTS</w:t>
      </w:r>
    </w:p>
    <w:p w:rsidR="00B3060B" w:rsidRPr="001A209B" w:rsidRDefault="00B3060B" w:rsidP="00853E15">
      <w:pPr>
        <w:spacing w:before="20" w:after="20"/>
        <w:jc w:val="both"/>
        <w:rPr>
          <w:rFonts w:cs="Arial"/>
          <w:sz w:val="18"/>
          <w:szCs w:val="18"/>
        </w:rPr>
      </w:pPr>
    </w:p>
    <w:p w:rsidR="003D2436" w:rsidRPr="001A209B" w:rsidRDefault="003D2436" w:rsidP="003D2436">
      <w:pPr>
        <w:spacing w:before="20" w:after="20"/>
        <w:jc w:val="both"/>
        <w:rPr>
          <w:rFonts w:cs="Arial"/>
          <w:sz w:val="18"/>
          <w:szCs w:val="18"/>
        </w:rPr>
      </w:pPr>
      <w:r w:rsidRPr="001A209B">
        <w:rPr>
          <w:rFonts w:cs="Arial"/>
          <w:b/>
          <w:sz w:val="18"/>
          <w:szCs w:val="18"/>
        </w:rPr>
        <w:t>Independent Review Report</w:t>
      </w:r>
      <w:r w:rsidR="000C30E9" w:rsidRPr="001A209B">
        <w:rPr>
          <w:rFonts w:cs="Arial"/>
          <w:b/>
          <w:sz w:val="18"/>
          <w:szCs w:val="18"/>
        </w:rPr>
        <w:t xml:space="preserve"> to Imperial Tobacco Group PLC</w:t>
      </w:r>
    </w:p>
    <w:p w:rsidR="003D2436" w:rsidRPr="001A209B" w:rsidRDefault="003D2436" w:rsidP="003D2436">
      <w:pPr>
        <w:spacing w:before="20" w:after="20"/>
        <w:jc w:val="both"/>
        <w:rPr>
          <w:rFonts w:cs="Arial"/>
          <w:sz w:val="18"/>
          <w:szCs w:val="18"/>
        </w:rPr>
      </w:pPr>
    </w:p>
    <w:p w:rsidR="003D2436" w:rsidRPr="001A209B" w:rsidRDefault="003D2436" w:rsidP="003D2436">
      <w:pPr>
        <w:spacing w:before="20" w:after="20"/>
        <w:jc w:val="both"/>
        <w:rPr>
          <w:rFonts w:cs="Arial"/>
          <w:b/>
          <w:sz w:val="18"/>
          <w:szCs w:val="18"/>
        </w:rPr>
      </w:pPr>
      <w:r w:rsidRPr="001A209B">
        <w:rPr>
          <w:rFonts w:cs="Arial"/>
          <w:b/>
          <w:sz w:val="18"/>
          <w:szCs w:val="18"/>
        </w:rPr>
        <w:t>Introduction</w:t>
      </w:r>
    </w:p>
    <w:p w:rsidR="003D2436" w:rsidRPr="001A209B" w:rsidRDefault="003D2436" w:rsidP="003D2436">
      <w:pPr>
        <w:spacing w:before="20" w:after="20"/>
        <w:jc w:val="both"/>
        <w:rPr>
          <w:rFonts w:cs="Arial"/>
          <w:sz w:val="18"/>
          <w:szCs w:val="18"/>
        </w:rPr>
      </w:pPr>
      <w:r w:rsidRPr="001A209B">
        <w:rPr>
          <w:rFonts w:cs="Arial"/>
          <w:sz w:val="18"/>
          <w:szCs w:val="18"/>
        </w:rPr>
        <w:t>We have been engaged by the Company to review the condensed set of financial statements in the interim management report for the six months ended 31 March 2014, which comprises the Consolidated Income Statement, the Consolidated Statement of Comprehensive Income, the Consolidated Balance Sheet, the Consolidated Statement of Changes in Equity, the Consolidated Cash Flow Statement and related notes. We have read the other information contained in the interim management report and considered whether it contains any apparent misstatements or material inconsistencies with the information in the condensed set of financial statements.</w:t>
      </w:r>
    </w:p>
    <w:p w:rsidR="003D2436" w:rsidRPr="001A209B" w:rsidRDefault="003D2436" w:rsidP="003D2436">
      <w:pPr>
        <w:spacing w:before="20" w:after="20"/>
        <w:jc w:val="both"/>
        <w:rPr>
          <w:rFonts w:cs="Arial"/>
          <w:sz w:val="18"/>
          <w:szCs w:val="18"/>
        </w:rPr>
      </w:pPr>
    </w:p>
    <w:p w:rsidR="003D2436" w:rsidRPr="001A209B" w:rsidRDefault="003D2436" w:rsidP="003D2436">
      <w:pPr>
        <w:spacing w:before="20" w:after="20"/>
        <w:jc w:val="both"/>
        <w:rPr>
          <w:rFonts w:cs="Arial"/>
          <w:b/>
          <w:sz w:val="18"/>
          <w:szCs w:val="18"/>
        </w:rPr>
      </w:pPr>
      <w:r w:rsidRPr="001A209B">
        <w:rPr>
          <w:rFonts w:cs="Arial"/>
          <w:b/>
          <w:sz w:val="18"/>
          <w:szCs w:val="18"/>
        </w:rPr>
        <w:t>Directors’ Responsibilities</w:t>
      </w:r>
    </w:p>
    <w:p w:rsidR="003D2436" w:rsidRPr="001A209B" w:rsidRDefault="003D2436" w:rsidP="003D2436">
      <w:pPr>
        <w:spacing w:before="20" w:after="20"/>
        <w:jc w:val="both"/>
        <w:rPr>
          <w:rFonts w:cs="Arial"/>
          <w:sz w:val="18"/>
          <w:szCs w:val="18"/>
        </w:rPr>
      </w:pPr>
      <w:r w:rsidRPr="001A209B">
        <w:rPr>
          <w:rFonts w:cs="Arial"/>
          <w:sz w:val="18"/>
          <w:szCs w:val="18"/>
        </w:rPr>
        <w:t>The interim management report is the responsibility of, and has been approved by, the Directors. The Directors are responsible for preparing the interim management report in accordance with the Disclosure and Transparency Rules of the United Kingdom's Financial Conduct Authority.</w:t>
      </w:r>
    </w:p>
    <w:p w:rsidR="003D2436" w:rsidRPr="001A209B" w:rsidRDefault="003D2436" w:rsidP="003D2436">
      <w:pPr>
        <w:spacing w:before="20" w:after="20"/>
        <w:jc w:val="both"/>
        <w:rPr>
          <w:rFonts w:cs="Arial"/>
          <w:sz w:val="18"/>
          <w:szCs w:val="18"/>
        </w:rPr>
      </w:pPr>
    </w:p>
    <w:p w:rsidR="003D2436" w:rsidRPr="001A209B" w:rsidRDefault="003D2436" w:rsidP="003D2436">
      <w:pPr>
        <w:spacing w:before="20" w:after="20"/>
        <w:jc w:val="both"/>
        <w:rPr>
          <w:rFonts w:cs="Arial"/>
          <w:sz w:val="18"/>
          <w:szCs w:val="18"/>
        </w:rPr>
      </w:pPr>
      <w:r w:rsidRPr="001A209B">
        <w:rPr>
          <w:rFonts w:cs="Arial"/>
          <w:sz w:val="18"/>
          <w:szCs w:val="18"/>
        </w:rPr>
        <w:t>As disclosed in note 1 Accounting Policies, the annual financial statements of the Group are prepared in accordance with IFRSs as adopted by the European Union. The condensed set of financial statements included in this interim management report has been prepared in accordance with International Accounting Standard 34, Interim Financial Reporting, as adopted by the European Union.</w:t>
      </w:r>
    </w:p>
    <w:p w:rsidR="003D2436" w:rsidRPr="001A209B" w:rsidRDefault="003D2436" w:rsidP="003D2436">
      <w:pPr>
        <w:spacing w:before="20" w:after="20"/>
        <w:jc w:val="both"/>
        <w:rPr>
          <w:rFonts w:cs="Arial"/>
          <w:sz w:val="18"/>
          <w:szCs w:val="18"/>
        </w:rPr>
      </w:pPr>
    </w:p>
    <w:p w:rsidR="003D2436" w:rsidRPr="001A209B" w:rsidRDefault="003D2436" w:rsidP="003D2436">
      <w:pPr>
        <w:spacing w:before="20" w:after="20"/>
        <w:jc w:val="both"/>
        <w:rPr>
          <w:rFonts w:cs="Arial"/>
          <w:b/>
          <w:sz w:val="18"/>
          <w:szCs w:val="18"/>
        </w:rPr>
      </w:pPr>
      <w:r w:rsidRPr="001A209B">
        <w:rPr>
          <w:rFonts w:cs="Arial"/>
          <w:b/>
          <w:sz w:val="18"/>
          <w:szCs w:val="18"/>
        </w:rPr>
        <w:t>Our Responsibility</w:t>
      </w:r>
    </w:p>
    <w:p w:rsidR="003D2436" w:rsidRPr="001A209B" w:rsidRDefault="003D2436" w:rsidP="003D2436">
      <w:pPr>
        <w:spacing w:before="20" w:after="20"/>
        <w:jc w:val="both"/>
        <w:rPr>
          <w:rFonts w:cs="Arial"/>
          <w:sz w:val="18"/>
          <w:szCs w:val="18"/>
        </w:rPr>
      </w:pPr>
      <w:r w:rsidRPr="001A209B">
        <w:rPr>
          <w:rFonts w:cs="Arial"/>
          <w:sz w:val="18"/>
          <w:szCs w:val="18"/>
        </w:rPr>
        <w:t>Our responsibility is to express to the Company a conclusion on the condensed set of financial statements in the interim management report based on our review. This report, including the conclusion, has been prepared for and only for the Company for the purpose of the Disclosure and Transparency Rules of the Financial Conduct Authority and for no other purpose. We do not, in producing this report, accept or assume responsibility for any other purpose or to any other person to whom this report is shown or into whose hands it may come save where expressly agreed by our prior consent in writing.</w:t>
      </w:r>
    </w:p>
    <w:p w:rsidR="003D2436" w:rsidRPr="001A209B" w:rsidRDefault="003D2436" w:rsidP="003D2436">
      <w:pPr>
        <w:spacing w:before="20" w:after="20"/>
        <w:jc w:val="both"/>
        <w:rPr>
          <w:rFonts w:cs="Arial"/>
          <w:sz w:val="18"/>
          <w:szCs w:val="18"/>
        </w:rPr>
      </w:pPr>
    </w:p>
    <w:p w:rsidR="003D2436" w:rsidRPr="001A209B" w:rsidRDefault="003D2436" w:rsidP="003D2436">
      <w:pPr>
        <w:spacing w:before="20" w:after="20"/>
        <w:jc w:val="both"/>
        <w:rPr>
          <w:rFonts w:cs="Arial"/>
          <w:b/>
          <w:sz w:val="18"/>
          <w:szCs w:val="18"/>
        </w:rPr>
      </w:pPr>
      <w:r w:rsidRPr="001A209B">
        <w:rPr>
          <w:rFonts w:cs="Arial"/>
          <w:b/>
          <w:sz w:val="18"/>
          <w:szCs w:val="18"/>
        </w:rPr>
        <w:t>Scope of Review</w:t>
      </w:r>
    </w:p>
    <w:p w:rsidR="003D2436" w:rsidRPr="001A209B" w:rsidRDefault="003D2436" w:rsidP="003D2436">
      <w:pPr>
        <w:spacing w:before="20" w:after="20"/>
        <w:jc w:val="both"/>
        <w:rPr>
          <w:rFonts w:cs="Arial"/>
          <w:sz w:val="18"/>
          <w:szCs w:val="18"/>
        </w:rPr>
      </w:pPr>
      <w:r w:rsidRPr="001A209B">
        <w:rPr>
          <w:rFonts w:cs="Arial"/>
          <w:sz w:val="18"/>
          <w:szCs w:val="18"/>
        </w:rPr>
        <w:t>We conducted our review in accordance with International Standard on Review Engagements (UK and Ireland) 2410, ‘Review of Interim Financial Information Performed by the Independent Auditor of the Entity’ issued by the Auditing Practices Board for use in the United Kingdom. A review of interim financial information consists of making enquiries, primarily of persons responsible for financial and accounting matters, and applying analytical and other review procedures. A review is substantially less in scope than an audit conducted in accordance with International Standards on Auditing (UK and Ireland) and consequently does not enable us to obtain assurance that we would become aware of all significant matters that might be identified in an audit. Accordingly, we do not express an audit opinion.</w:t>
      </w:r>
    </w:p>
    <w:p w:rsidR="003D2436" w:rsidRPr="001A209B" w:rsidRDefault="003D2436" w:rsidP="003D2436">
      <w:pPr>
        <w:spacing w:before="20" w:after="20"/>
        <w:jc w:val="both"/>
        <w:rPr>
          <w:rFonts w:cs="Arial"/>
          <w:sz w:val="18"/>
          <w:szCs w:val="18"/>
        </w:rPr>
      </w:pPr>
    </w:p>
    <w:p w:rsidR="003D2436" w:rsidRPr="001A209B" w:rsidRDefault="003D2436" w:rsidP="003D2436">
      <w:pPr>
        <w:spacing w:before="20" w:after="20"/>
        <w:jc w:val="both"/>
        <w:rPr>
          <w:rFonts w:cs="Arial"/>
          <w:b/>
          <w:sz w:val="18"/>
          <w:szCs w:val="18"/>
        </w:rPr>
      </w:pPr>
      <w:r w:rsidRPr="001A209B">
        <w:rPr>
          <w:rFonts w:cs="Arial"/>
          <w:b/>
          <w:sz w:val="18"/>
          <w:szCs w:val="18"/>
        </w:rPr>
        <w:t>Conclusion</w:t>
      </w:r>
    </w:p>
    <w:p w:rsidR="003D2436" w:rsidRPr="001A209B" w:rsidRDefault="003D2436" w:rsidP="003D2436">
      <w:pPr>
        <w:spacing w:before="20" w:after="20"/>
        <w:jc w:val="both"/>
        <w:rPr>
          <w:rFonts w:cs="Arial"/>
          <w:sz w:val="18"/>
          <w:szCs w:val="18"/>
        </w:rPr>
      </w:pPr>
      <w:r w:rsidRPr="001A209B">
        <w:rPr>
          <w:rFonts w:cs="Arial"/>
          <w:sz w:val="18"/>
          <w:szCs w:val="18"/>
        </w:rPr>
        <w:t>Based on our review, nothing has come to our attention that causes us to believe that the condensed set of financial statements in the interim management report for the six months ended 31 March 2014 is not prepared, in all material respects, in accordance with International Accounting Standard 34 as adopted by the European Union and the Disclosure and Transparency Rules of the United Kingdom's Financial Conduct Authority.</w:t>
      </w:r>
    </w:p>
    <w:p w:rsidR="003D2436" w:rsidRPr="001A209B" w:rsidRDefault="003D2436" w:rsidP="003D2436">
      <w:pPr>
        <w:spacing w:before="20" w:after="20"/>
        <w:jc w:val="both"/>
        <w:rPr>
          <w:rFonts w:cs="Arial"/>
          <w:sz w:val="18"/>
          <w:szCs w:val="18"/>
        </w:rPr>
      </w:pPr>
    </w:p>
    <w:p w:rsidR="003D2436" w:rsidRPr="001A209B" w:rsidRDefault="003D2436" w:rsidP="003D2436">
      <w:pPr>
        <w:spacing w:before="20" w:after="20"/>
        <w:jc w:val="both"/>
        <w:rPr>
          <w:rFonts w:cs="Arial"/>
          <w:sz w:val="18"/>
          <w:szCs w:val="18"/>
        </w:rPr>
      </w:pPr>
      <w:r w:rsidRPr="001A209B">
        <w:rPr>
          <w:rFonts w:cs="Arial"/>
          <w:sz w:val="18"/>
          <w:szCs w:val="18"/>
        </w:rPr>
        <w:t>PricewaterhouseCoopers LLP</w:t>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p>
    <w:p w:rsidR="003D2436" w:rsidRPr="001A209B" w:rsidRDefault="003D2436" w:rsidP="003D2436">
      <w:pPr>
        <w:spacing w:before="20" w:after="20"/>
        <w:jc w:val="both"/>
        <w:rPr>
          <w:rFonts w:cs="Arial"/>
          <w:sz w:val="18"/>
          <w:szCs w:val="18"/>
        </w:rPr>
      </w:pPr>
      <w:r w:rsidRPr="001A209B">
        <w:rPr>
          <w:rFonts w:cs="Arial"/>
          <w:sz w:val="18"/>
          <w:szCs w:val="18"/>
        </w:rPr>
        <w:t xml:space="preserve">Chartered Accountants </w:t>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p>
    <w:p w:rsidR="003D2436" w:rsidRPr="001A209B" w:rsidRDefault="003D2436" w:rsidP="003D2436">
      <w:pPr>
        <w:spacing w:before="20" w:after="20"/>
        <w:jc w:val="both"/>
        <w:rPr>
          <w:rFonts w:cs="Arial"/>
          <w:sz w:val="18"/>
          <w:szCs w:val="18"/>
        </w:rPr>
      </w:pPr>
      <w:r w:rsidRPr="001A209B">
        <w:rPr>
          <w:rFonts w:cs="Arial"/>
          <w:sz w:val="18"/>
          <w:szCs w:val="18"/>
        </w:rPr>
        <w:t xml:space="preserve">Bristol </w:t>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p>
    <w:p w:rsidR="003D2436" w:rsidRPr="001A209B" w:rsidRDefault="003D2436" w:rsidP="003D2436">
      <w:pPr>
        <w:spacing w:before="20" w:after="20"/>
        <w:jc w:val="both"/>
        <w:rPr>
          <w:rFonts w:cs="Arial"/>
          <w:sz w:val="18"/>
          <w:szCs w:val="18"/>
        </w:rPr>
      </w:pPr>
      <w:r w:rsidRPr="001A209B">
        <w:rPr>
          <w:rFonts w:cs="Arial"/>
          <w:sz w:val="18"/>
          <w:szCs w:val="18"/>
        </w:rPr>
        <w:t>7 May 2014</w:t>
      </w:r>
    </w:p>
    <w:p w:rsidR="003D2436" w:rsidRPr="001A209B" w:rsidRDefault="003D2436" w:rsidP="003D2436">
      <w:pPr>
        <w:spacing w:before="20" w:after="20"/>
        <w:jc w:val="both"/>
        <w:rPr>
          <w:rFonts w:cs="Arial"/>
          <w:sz w:val="18"/>
          <w:szCs w:val="18"/>
        </w:rPr>
      </w:pPr>
    </w:p>
    <w:p w:rsidR="003D2436" w:rsidRPr="001A209B" w:rsidRDefault="003D2436" w:rsidP="003D2436">
      <w:pPr>
        <w:spacing w:before="20" w:after="20"/>
        <w:jc w:val="both"/>
        <w:rPr>
          <w:rFonts w:cs="Arial"/>
          <w:b/>
          <w:sz w:val="18"/>
          <w:szCs w:val="18"/>
        </w:rPr>
      </w:pPr>
      <w:r w:rsidRPr="001A209B">
        <w:rPr>
          <w:rFonts w:cs="Arial"/>
          <w:b/>
          <w:sz w:val="18"/>
          <w:szCs w:val="18"/>
        </w:rPr>
        <w:t>Notes</w:t>
      </w:r>
    </w:p>
    <w:p w:rsidR="003D2436" w:rsidRPr="001A209B" w:rsidRDefault="003D2436" w:rsidP="003D2436">
      <w:pPr>
        <w:spacing w:before="20" w:after="20"/>
        <w:jc w:val="both"/>
        <w:rPr>
          <w:rFonts w:cs="Arial"/>
          <w:sz w:val="18"/>
          <w:szCs w:val="18"/>
        </w:rPr>
      </w:pPr>
      <w:r w:rsidRPr="001A209B">
        <w:rPr>
          <w:rFonts w:cs="Arial"/>
          <w:sz w:val="18"/>
          <w:szCs w:val="18"/>
        </w:rPr>
        <w:t>a.</w:t>
      </w:r>
      <w:r w:rsidR="0047622F">
        <w:rPr>
          <w:rFonts w:cs="Arial"/>
          <w:sz w:val="18"/>
          <w:szCs w:val="18"/>
        </w:rPr>
        <w:t xml:space="preserve"> </w:t>
      </w:r>
      <w:r w:rsidRPr="001A209B">
        <w:rPr>
          <w:rFonts w:cs="Arial"/>
          <w:sz w:val="18"/>
          <w:szCs w:val="18"/>
        </w:rPr>
        <w:t>The maintenance and integrity of the Imperial Tobacco Group PLC website is the responsibility of the Directors; the work carried out by the Auditors does not involve consideration of these matters and, accordingly, the Auditors accept no responsibility for any changes that may have occurred to the financial statements since they were initially presented on the website.</w:t>
      </w:r>
    </w:p>
    <w:p w:rsidR="005E757A" w:rsidRPr="001A209B" w:rsidRDefault="003D2436" w:rsidP="003D2436">
      <w:pPr>
        <w:spacing w:before="20" w:after="20"/>
        <w:jc w:val="both"/>
        <w:rPr>
          <w:rFonts w:cs="Arial"/>
          <w:b/>
          <w:color w:val="6D0915"/>
          <w:sz w:val="18"/>
          <w:szCs w:val="18"/>
        </w:rPr>
      </w:pPr>
      <w:r w:rsidRPr="001A209B">
        <w:rPr>
          <w:rFonts w:cs="Arial"/>
          <w:sz w:val="18"/>
          <w:szCs w:val="18"/>
        </w:rPr>
        <w:t>b.</w:t>
      </w:r>
      <w:r w:rsidR="0047622F">
        <w:rPr>
          <w:rFonts w:cs="Arial"/>
          <w:sz w:val="18"/>
          <w:szCs w:val="18"/>
        </w:rPr>
        <w:t xml:space="preserve"> </w:t>
      </w:r>
      <w:r w:rsidRPr="001A209B">
        <w:rPr>
          <w:rFonts w:cs="Arial"/>
          <w:sz w:val="18"/>
          <w:szCs w:val="18"/>
        </w:rPr>
        <w:t>Legislation in the United Kingdom governing the preparation and dissemination of financial statements may differ from legislation in other jurisdictions.</w:t>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001D7D1D" w:rsidRPr="001A209B">
        <w:rPr>
          <w:rFonts w:cs="Arial"/>
          <w:sz w:val="18"/>
          <w:szCs w:val="18"/>
        </w:rPr>
        <w:tab/>
      </w:r>
    </w:p>
    <w:p w:rsidR="005E757A" w:rsidRPr="001A209B" w:rsidRDefault="005E757A">
      <w:pPr>
        <w:rPr>
          <w:rFonts w:cs="Arial"/>
          <w:color w:val="000000" w:themeColor="text1"/>
          <w:sz w:val="18"/>
          <w:szCs w:val="18"/>
        </w:rPr>
      </w:pPr>
      <w:r w:rsidRPr="001A209B">
        <w:rPr>
          <w:rFonts w:cs="Arial"/>
          <w:color w:val="000000" w:themeColor="text1"/>
          <w:sz w:val="18"/>
          <w:szCs w:val="18"/>
        </w:rPr>
        <w:br w:type="page"/>
      </w:r>
    </w:p>
    <w:p w:rsidR="005E757A" w:rsidRPr="001A209B" w:rsidRDefault="005E757A" w:rsidP="00A50FC8">
      <w:pPr>
        <w:pBdr>
          <w:top w:val="single" w:sz="24" w:space="1" w:color="A60D1F"/>
          <w:left w:val="single" w:sz="24" w:space="4" w:color="A60D1F"/>
          <w:bottom w:val="single" w:sz="24" w:space="1" w:color="A60D1F"/>
          <w:right w:val="single" w:sz="24" w:space="4" w:color="A60D1F"/>
        </w:pBdr>
        <w:spacing w:before="20" w:after="20"/>
        <w:jc w:val="center"/>
        <w:rPr>
          <w:rFonts w:cs="Arial"/>
          <w:b/>
          <w:color w:val="A60D1F"/>
          <w:sz w:val="18"/>
          <w:szCs w:val="18"/>
        </w:rPr>
      </w:pPr>
      <w:r w:rsidRPr="001A209B">
        <w:rPr>
          <w:rFonts w:cs="Arial"/>
          <w:b/>
          <w:color w:val="A60D1F"/>
          <w:sz w:val="18"/>
          <w:szCs w:val="18"/>
        </w:rPr>
        <w:t>Consolidated Income Statement</w:t>
      </w:r>
    </w:p>
    <w:p w:rsidR="00E2295C" w:rsidRPr="001A209B" w:rsidRDefault="00E2295C">
      <w:pPr>
        <w:rPr>
          <w:rFonts w:cs="Arial"/>
          <w:color w:val="0070C0"/>
          <w:sz w:val="18"/>
          <w:szCs w:val="18"/>
        </w:rPr>
      </w:pPr>
    </w:p>
    <w:tbl>
      <w:tblPr>
        <w:tblW w:w="5000" w:type="pct"/>
        <w:tblCellMar>
          <w:top w:w="28" w:type="dxa"/>
          <w:left w:w="85" w:type="dxa"/>
          <w:right w:w="85" w:type="dxa"/>
        </w:tblCellMar>
        <w:tblLook w:val="04A0" w:firstRow="1" w:lastRow="0" w:firstColumn="1" w:lastColumn="0" w:noHBand="0" w:noVBand="1"/>
      </w:tblPr>
      <w:tblGrid>
        <w:gridCol w:w="3885"/>
        <w:gridCol w:w="1387"/>
        <w:gridCol w:w="1176"/>
        <w:gridCol w:w="1387"/>
        <w:gridCol w:w="1385"/>
      </w:tblGrid>
      <w:tr w:rsidR="00EE3BA4" w:rsidRPr="001A209B" w:rsidTr="00961E29">
        <w:trPr>
          <w:trHeight w:val="960"/>
        </w:trPr>
        <w:tc>
          <w:tcPr>
            <w:tcW w:w="2107"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million unless otherwise indicated</w:t>
            </w:r>
          </w:p>
        </w:tc>
        <w:tc>
          <w:tcPr>
            <w:tcW w:w="752"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color w:val="000000"/>
                <w:sz w:val="18"/>
                <w:szCs w:val="18"/>
              </w:rPr>
            </w:pPr>
            <w:r w:rsidRPr="001A209B">
              <w:rPr>
                <w:rFonts w:cs="Arial"/>
                <w:color w:val="000000"/>
                <w:sz w:val="18"/>
                <w:szCs w:val="18"/>
              </w:rPr>
              <w:t xml:space="preserve">Notes </w:t>
            </w:r>
          </w:p>
        </w:tc>
        <w:tc>
          <w:tcPr>
            <w:tcW w:w="638" w:type="pct"/>
            <w:tcBorders>
              <w:top w:val="nil"/>
              <w:left w:val="nil"/>
              <w:bottom w:val="single" w:sz="4" w:space="0" w:color="800000"/>
              <w:right w:val="nil"/>
            </w:tcBorders>
            <w:shd w:val="clear" w:color="000000" w:fill="FFFFFF"/>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6 months </w:t>
            </w:r>
            <w:r w:rsidRPr="001A209B">
              <w:rPr>
                <w:rFonts w:cs="Arial"/>
                <w:b/>
                <w:bCs/>
                <w:color w:val="800000"/>
                <w:sz w:val="18"/>
                <w:szCs w:val="18"/>
              </w:rPr>
              <w:br/>
              <w:t xml:space="preserve">ended </w:t>
            </w:r>
            <w:r w:rsidRPr="001A209B">
              <w:rPr>
                <w:rFonts w:cs="Arial"/>
                <w:b/>
                <w:bCs/>
                <w:color w:val="800000"/>
                <w:sz w:val="18"/>
                <w:szCs w:val="18"/>
              </w:rPr>
              <w:br/>
              <w:t xml:space="preserve">31 March </w:t>
            </w:r>
            <w:r w:rsidRPr="001A209B">
              <w:rPr>
                <w:rFonts w:cs="Arial"/>
                <w:b/>
                <w:bCs/>
                <w:color w:val="800000"/>
                <w:sz w:val="18"/>
                <w:szCs w:val="18"/>
              </w:rPr>
              <w:br/>
              <w:t xml:space="preserve">2014 </w:t>
            </w:r>
          </w:p>
        </w:tc>
        <w:tc>
          <w:tcPr>
            <w:tcW w:w="752" w:type="pct"/>
            <w:tcBorders>
              <w:top w:val="nil"/>
              <w:left w:val="nil"/>
              <w:bottom w:val="nil"/>
              <w:right w:val="nil"/>
            </w:tcBorders>
            <w:shd w:val="clear" w:color="000000" w:fill="FFFFFF"/>
            <w:vAlign w:val="bottom"/>
            <w:hideMark/>
          </w:tcPr>
          <w:p w:rsidR="00EE3BA4" w:rsidRPr="001A209B" w:rsidRDefault="00EE3BA4" w:rsidP="00EE3BA4">
            <w:pPr>
              <w:jc w:val="right"/>
              <w:rPr>
                <w:rFonts w:cs="Arial"/>
                <w:color w:val="000000"/>
                <w:sz w:val="18"/>
                <w:szCs w:val="18"/>
              </w:rPr>
            </w:pPr>
            <w:r w:rsidRPr="001A209B">
              <w:rPr>
                <w:rFonts w:cs="Arial"/>
                <w:color w:val="000000"/>
                <w:sz w:val="18"/>
                <w:szCs w:val="18"/>
              </w:rPr>
              <w:t xml:space="preserve">6 months </w:t>
            </w:r>
            <w:r w:rsidRPr="001A209B">
              <w:rPr>
                <w:rFonts w:cs="Arial"/>
                <w:color w:val="000000"/>
                <w:sz w:val="18"/>
                <w:szCs w:val="18"/>
              </w:rPr>
              <w:br/>
              <w:t xml:space="preserve">ended </w:t>
            </w:r>
            <w:r w:rsidRPr="001A209B">
              <w:rPr>
                <w:rFonts w:cs="Arial"/>
                <w:color w:val="000000"/>
                <w:sz w:val="18"/>
                <w:szCs w:val="18"/>
              </w:rPr>
              <w:br/>
              <w:t xml:space="preserve">31 March </w:t>
            </w:r>
            <w:r w:rsidRPr="001A209B">
              <w:rPr>
                <w:rFonts w:cs="Arial"/>
                <w:color w:val="000000"/>
                <w:sz w:val="18"/>
                <w:szCs w:val="18"/>
              </w:rPr>
              <w:br/>
              <w:t xml:space="preserve">2013 </w:t>
            </w:r>
          </w:p>
        </w:tc>
        <w:tc>
          <w:tcPr>
            <w:tcW w:w="752" w:type="pct"/>
            <w:tcBorders>
              <w:top w:val="nil"/>
              <w:left w:val="nil"/>
              <w:bottom w:val="single" w:sz="4" w:space="0" w:color="800000"/>
              <w:right w:val="nil"/>
            </w:tcBorders>
            <w:shd w:val="clear" w:color="000000" w:fill="FFFFFF"/>
            <w:vAlign w:val="bottom"/>
            <w:hideMark/>
          </w:tcPr>
          <w:p w:rsidR="00EE3BA4" w:rsidRPr="001A209B" w:rsidRDefault="00EE3BA4" w:rsidP="00EE3BA4">
            <w:pPr>
              <w:jc w:val="right"/>
              <w:rPr>
                <w:rFonts w:cs="Arial"/>
                <w:color w:val="000000"/>
                <w:sz w:val="18"/>
                <w:szCs w:val="18"/>
              </w:rPr>
            </w:pPr>
            <w:r w:rsidRPr="001A209B">
              <w:rPr>
                <w:rFonts w:cs="Arial"/>
                <w:color w:val="000000"/>
                <w:sz w:val="18"/>
                <w:szCs w:val="18"/>
              </w:rPr>
              <w:t>Year ended</w:t>
            </w:r>
            <w:r w:rsidRPr="001A209B">
              <w:rPr>
                <w:rFonts w:cs="Arial"/>
                <w:color w:val="000000"/>
                <w:sz w:val="18"/>
                <w:szCs w:val="18"/>
              </w:rPr>
              <w:br/>
              <w:t>30 September</w:t>
            </w:r>
            <w:r w:rsidRPr="001A209B">
              <w:rPr>
                <w:rFonts w:cs="Arial"/>
                <w:color w:val="000000"/>
                <w:sz w:val="18"/>
                <w:szCs w:val="18"/>
              </w:rPr>
              <w:br/>
              <w:t xml:space="preserve">2013 </w:t>
            </w:r>
          </w:p>
        </w:tc>
      </w:tr>
      <w:tr w:rsidR="00EE3BA4" w:rsidRPr="001A209B" w:rsidTr="00961E29">
        <w:trPr>
          <w:trHeight w:val="240"/>
        </w:trPr>
        <w:tc>
          <w:tcPr>
            <w:tcW w:w="2107"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Revenue</w:t>
            </w:r>
          </w:p>
        </w:tc>
        <w:tc>
          <w:tcPr>
            <w:tcW w:w="752"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3 </w:t>
            </w:r>
          </w:p>
        </w:tc>
        <w:tc>
          <w:tcPr>
            <w:tcW w:w="638" w:type="pct"/>
            <w:tcBorders>
              <w:top w:val="nil"/>
              <w:left w:val="nil"/>
              <w:bottom w:val="single" w:sz="4"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12,717 </w:t>
            </w:r>
          </w:p>
        </w:tc>
        <w:tc>
          <w:tcPr>
            <w:tcW w:w="752" w:type="pct"/>
            <w:tcBorders>
              <w:top w:val="single" w:sz="4" w:space="0" w:color="800000"/>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13,376 </w:t>
            </w:r>
          </w:p>
        </w:tc>
        <w:tc>
          <w:tcPr>
            <w:tcW w:w="752"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28,269 </w:t>
            </w:r>
          </w:p>
        </w:tc>
      </w:tr>
      <w:tr w:rsidR="00EE3BA4" w:rsidRPr="001A209B" w:rsidTr="00961E29">
        <w:trPr>
          <w:trHeight w:val="240"/>
        </w:trPr>
        <w:tc>
          <w:tcPr>
            <w:tcW w:w="2107" w:type="pct"/>
            <w:tcBorders>
              <w:top w:val="nil"/>
              <w:left w:val="single" w:sz="4" w:space="0" w:color="800000"/>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Duty and similar items</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638" w:type="pct"/>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(6,094)</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(6,505)</w:t>
            </w:r>
          </w:p>
        </w:tc>
        <w:tc>
          <w:tcPr>
            <w:tcW w:w="752" w:type="pct"/>
            <w:tcBorders>
              <w:top w:val="nil"/>
              <w:left w:val="nil"/>
              <w:bottom w:val="nil"/>
              <w:right w:val="single" w:sz="4" w:space="0" w:color="800000"/>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(13,681)</w:t>
            </w:r>
          </w:p>
        </w:tc>
      </w:tr>
      <w:tr w:rsidR="00EE3BA4" w:rsidRPr="001A209B" w:rsidTr="00961E29">
        <w:trPr>
          <w:trHeight w:val="240"/>
        </w:trPr>
        <w:tc>
          <w:tcPr>
            <w:tcW w:w="2107" w:type="pct"/>
            <w:tcBorders>
              <w:top w:val="nil"/>
              <w:left w:val="single" w:sz="4" w:space="0" w:color="800000"/>
              <w:bottom w:val="single" w:sz="4" w:space="0" w:color="800000"/>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Other cost of sales</w:t>
            </w:r>
          </w:p>
        </w:tc>
        <w:tc>
          <w:tcPr>
            <w:tcW w:w="752"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638" w:type="pct"/>
            <w:tcBorders>
              <w:top w:val="nil"/>
              <w:left w:val="nil"/>
              <w:bottom w:val="single" w:sz="4"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(4,127)</w:t>
            </w:r>
          </w:p>
        </w:tc>
        <w:tc>
          <w:tcPr>
            <w:tcW w:w="752"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(4,283)</w:t>
            </w:r>
          </w:p>
        </w:tc>
        <w:tc>
          <w:tcPr>
            <w:tcW w:w="752" w:type="pct"/>
            <w:tcBorders>
              <w:top w:val="nil"/>
              <w:left w:val="nil"/>
              <w:bottom w:val="single" w:sz="4" w:space="0" w:color="800000"/>
              <w:right w:val="single" w:sz="4" w:space="0" w:color="800000"/>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(9,059)</w:t>
            </w:r>
          </w:p>
        </w:tc>
      </w:tr>
      <w:tr w:rsidR="00EE3BA4" w:rsidRPr="001A209B" w:rsidTr="00961E29">
        <w:trPr>
          <w:trHeight w:val="240"/>
        </w:trPr>
        <w:tc>
          <w:tcPr>
            <w:tcW w:w="2107"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Cost of sales</w:t>
            </w:r>
          </w:p>
        </w:tc>
        <w:tc>
          <w:tcPr>
            <w:tcW w:w="752"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638" w:type="pct"/>
            <w:tcBorders>
              <w:top w:val="nil"/>
              <w:left w:val="nil"/>
              <w:bottom w:val="single" w:sz="4"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(10,221)</w:t>
            </w:r>
          </w:p>
        </w:tc>
        <w:tc>
          <w:tcPr>
            <w:tcW w:w="752"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(10,788)</w:t>
            </w:r>
          </w:p>
        </w:tc>
        <w:tc>
          <w:tcPr>
            <w:tcW w:w="752"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(22,740)</w:t>
            </w:r>
          </w:p>
        </w:tc>
      </w:tr>
      <w:tr w:rsidR="00EE3BA4" w:rsidRPr="001A209B" w:rsidTr="009719C4">
        <w:trPr>
          <w:trHeight w:val="240"/>
        </w:trPr>
        <w:tc>
          <w:tcPr>
            <w:tcW w:w="2107" w:type="pct"/>
            <w:tcBorders>
              <w:top w:val="nil"/>
              <w:left w:val="nil"/>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Gross profit</w:t>
            </w:r>
          </w:p>
        </w:tc>
        <w:tc>
          <w:tcPr>
            <w:tcW w:w="752" w:type="pct"/>
            <w:tcBorders>
              <w:top w:val="nil"/>
              <w:left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638" w:type="pct"/>
            <w:tcBorders>
              <w:top w:val="nil"/>
              <w:left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2,496 </w:t>
            </w:r>
          </w:p>
        </w:tc>
        <w:tc>
          <w:tcPr>
            <w:tcW w:w="752" w:type="pct"/>
            <w:tcBorders>
              <w:top w:val="nil"/>
              <w:left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2,588 </w:t>
            </w:r>
          </w:p>
        </w:tc>
        <w:tc>
          <w:tcPr>
            <w:tcW w:w="752" w:type="pct"/>
            <w:tcBorders>
              <w:top w:val="nil"/>
              <w:left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5,529 </w:t>
            </w:r>
          </w:p>
        </w:tc>
      </w:tr>
      <w:tr w:rsidR="00EE3BA4" w:rsidRPr="001A209B" w:rsidTr="009719C4">
        <w:trPr>
          <w:trHeight w:val="240"/>
        </w:trPr>
        <w:tc>
          <w:tcPr>
            <w:tcW w:w="2107" w:type="pct"/>
            <w:tcBorders>
              <w:top w:val="nil"/>
              <w:left w:val="nil"/>
              <w:bottom w:val="single" w:sz="4" w:space="0" w:color="A60D1F"/>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Distribution, advertising and selling costs</w:t>
            </w:r>
          </w:p>
        </w:tc>
        <w:tc>
          <w:tcPr>
            <w:tcW w:w="752" w:type="pct"/>
            <w:tcBorders>
              <w:top w:val="nil"/>
              <w:left w:val="nil"/>
              <w:bottom w:val="single" w:sz="4" w:space="0" w:color="A60D1F"/>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638" w:type="pct"/>
            <w:tcBorders>
              <w:top w:val="nil"/>
              <w:left w:val="nil"/>
              <w:bottom w:val="single" w:sz="4" w:space="0" w:color="A60D1F"/>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(974)</w:t>
            </w:r>
          </w:p>
        </w:tc>
        <w:tc>
          <w:tcPr>
            <w:tcW w:w="752" w:type="pct"/>
            <w:tcBorders>
              <w:top w:val="nil"/>
              <w:left w:val="nil"/>
              <w:bottom w:val="single" w:sz="4" w:space="0" w:color="A60D1F"/>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(1,016)</w:t>
            </w:r>
          </w:p>
        </w:tc>
        <w:tc>
          <w:tcPr>
            <w:tcW w:w="752" w:type="pct"/>
            <w:tcBorders>
              <w:top w:val="nil"/>
              <w:left w:val="nil"/>
              <w:bottom w:val="single" w:sz="4" w:space="0" w:color="A60D1F"/>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(2,053)</w:t>
            </w:r>
          </w:p>
        </w:tc>
      </w:tr>
      <w:tr w:rsidR="00EE3BA4" w:rsidRPr="001A209B" w:rsidTr="009719C4">
        <w:trPr>
          <w:trHeight w:val="240"/>
        </w:trPr>
        <w:tc>
          <w:tcPr>
            <w:tcW w:w="2107" w:type="pct"/>
            <w:tcBorders>
              <w:top w:val="single" w:sz="4" w:space="0" w:color="A60D1F"/>
              <w:left w:val="single" w:sz="4" w:space="0" w:color="800000"/>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Impairment of acquired intangibles</w:t>
            </w:r>
          </w:p>
        </w:tc>
        <w:tc>
          <w:tcPr>
            <w:tcW w:w="752" w:type="pct"/>
            <w:tcBorders>
              <w:top w:val="single" w:sz="4" w:space="0" w:color="A60D1F"/>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638" w:type="pct"/>
            <w:tcBorders>
              <w:top w:val="single" w:sz="4" w:space="0" w:color="A60D1F"/>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 </w:t>
            </w:r>
          </w:p>
        </w:tc>
        <w:tc>
          <w:tcPr>
            <w:tcW w:w="752" w:type="pct"/>
            <w:tcBorders>
              <w:top w:val="single" w:sz="4" w:space="0" w:color="A60D1F"/>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 </w:t>
            </w:r>
          </w:p>
        </w:tc>
        <w:tc>
          <w:tcPr>
            <w:tcW w:w="752" w:type="pct"/>
            <w:tcBorders>
              <w:top w:val="single" w:sz="4" w:space="0" w:color="A60D1F"/>
              <w:left w:val="nil"/>
              <w:bottom w:val="nil"/>
              <w:right w:val="single" w:sz="4" w:space="0" w:color="800000"/>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(580)</w:t>
            </w:r>
          </w:p>
        </w:tc>
      </w:tr>
      <w:tr w:rsidR="00EE3BA4" w:rsidRPr="001A209B" w:rsidTr="00961E29">
        <w:trPr>
          <w:trHeight w:val="240"/>
        </w:trPr>
        <w:tc>
          <w:tcPr>
            <w:tcW w:w="2107" w:type="pct"/>
            <w:tcBorders>
              <w:top w:val="nil"/>
              <w:left w:val="single" w:sz="4" w:space="0" w:color="800000"/>
              <w:bottom w:val="single" w:sz="4"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Other expenses</w:t>
            </w:r>
          </w:p>
        </w:tc>
        <w:tc>
          <w:tcPr>
            <w:tcW w:w="752"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638" w:type="pct"/>
            <w:tcBorders>
              <w:top w:val="nil"/>
              <w:left w:val="nil"/>
              <w:bottom w:val="single" w:sz="4"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(523)</w:t>
            </w:r>
          </w:p>
        </w:tc>
        <w:tc>
          <w:tcPr>
            <w:tcW w:w="752"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(371)</w:t>
            </w:r>
          </w:p>
        </w:tc>
        <w:tc>
          <w:tcPr>
            <w:tcW w:w="752" w:type="pct"/>
            <w:tcBorders>
              <w:top w:val="nil"/>
              <w:left w:val="nil"/>
              <w:bottom w:val="single" w:sz="4" w:space="0" w:color="800000"/>
              <w:right w:val="single" w:sz="4" w:space="0" w:color="800000"/>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(938)</w:t>
            </w:r>
          </w:p>
        </w:tc>
      </w:tr>
      <w:tr w:rsidR="00EE3BA4" w:rsidRPr="001A209B" w:rsidTr="00961E29">
        <w:trPr>
          <w:trHeight w:val="240"/>
        </w:trPr>
        <w:tc>
          <w:tcPr>
            <w:tcW w:w="2107"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Administrative and other expenses</w:t>
            </w:r>
          </w:p>
        </w:tc>
        <w:tc>
          <w:tcPr>
            <w:tcW w:w="752"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638" w:type="pct"/>
            <w:tcBorders>
              <w:top w:val="nil"/>
              <w:left w:val="nil"/>
              <w:bottom w:val="single" w:sz="4"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(523)</w:t>
            </w:r>
          </w:p>
        </w:tc>
        <w:tc>
          <w:tcPr>
            <w:tcW w:w="752"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(371)</w:t>
            </w:r>
          </w:p>
        </w:tc>
        <w:tc>
          <w:tcPr>
            <w:tcW w:w="752"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(1,518)</w:t>
            </w:r>
          </w:p>
        </w:tc>
      </w:tr>
      <w:tr w:rsidR="00EE3BA4" w:rsidRPr="001A209B" w:rsidTr="00961E29">
        <w:trPr>
          <w:trHeight w:val="240"/>
        </w:trPr>
        <w:tc>
          <w:tcPr>
            <w:tcW w:w="2107" w:type="pct"/>
            <w:tcBorders>
              <w:top w:val="nil"/>
              <w:left w:val="nil"/>
              <w:bottom w:val="nil"/>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Operating profit</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3 </w:t>
            </w:r>
          </w:p>
        </w:tc>
        <w:tc>
          <w:tcPr>
            <w:tcW w:w="638" w:type="pct"/>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999 </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1,201 </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1,958 </w:t>
            </w:r>
          </w:p>
        </w:tc>
      </w:tr>
      <w:tr w:rsidR="00EE3BA4" w:rsidRPr="001A209B" w:rsidTr="00961E29">
        <w:trPr>
          <w:trHeight w:val="240"/>
        </w:trPr>
        <w:tc>
          <w:tcPr>
            <w:tcW w:w="2107" w:type="pct"/>
            <w:tcBorders>
              <w:top w:val="single" w:sz="4" w:space="0" w:color="800000"/>
              <w:left w:val="single" w:sz="4" w:space="0" w:color="800000"/>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Investment income</w:t>
            </w:r>
          </w:p>
        </w:tc>
        <w:tc>
          <w:tcPr>
            <w:tcW w:w="752" w:type="pct"/>
            <w:tcBorders>
              <w:top w:val="single" w:sz="4" w:space="0" w:color="800000"/>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5 </w:t>
            </w:r>
          </w:p>
        </w:tc>
        <w:tc>
          <w:tcPr>
            <w:tcW w:w="638" w:type="pct"/>
            <w:tcBorders>
              <w:top w:val="single" w:sz="4" w:space="0" w:color="800000"/>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266 </w:t>
            </w:r>
          </w:p>
        </w:tc>
        <w:tc>
          <w:tcPr>
            <w:tcW w:w="752" w:type="pct"/>
            <w:tcBorders>
              <w:top w:val="single" w:sz="4" w:space="0" w:color="800000"/>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454 </w:t>
            </w:r>
          </w:p>
        </w:tc>
        <w:tc>
          <w:tcPr>
            <w:tcW w:w="752" w:type="pct"/>
            <w:tcBorders>
              <w:top w:val="single" w:sz="4" w:space="0" w:color="800000"/>
              <w:left w:val="nil"/>
              <w:bottom w:val="nil"/>
              <w:right w:val="single" w:sz="4" w:space="0" w:color="800000"/>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724 </w:t>
            </w:r>
          </w:p>
        </w:tc>
      </w:tr>
      <w:tr w:rsidR="00EE3BA4" w:rsidRPr="001A209B" w:rsidTr="00961E29">
        <w:trPr>
          <w:trHeight w:val="240"/>
        </w:trPr>
        <w:tc>
          <w:tcPr>
            <w:tcW w:w="2107" w:type="pct"/>
            <w:tcBorders>
              <w:top w:val="nil"/>
              <w:left w:val="single" w:sz="4" w:space="0" w:color="800000"/>
              <w:bottom w:val="single" w:sz="4" w:space="0" w:color="800000"/>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Finance costs</w:t>
            </w:r>
          </w:p>
        </w:tc>
        <w:tc>
          <w:tcPr>
            <w:tcW w:w="752"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5 </w:t>
            </w:r>
          </w:p>
        </w:tc>
        <w:tc>
          <w:tcPr>
            <w:tcW w:w="638" w:type="pct"/>
            <w:tcBorders>
              <w:top w:val="nil"/>
              <w:left w:val="nil"/>
              <w:bottom w:val="single" w:sz="4"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(617)</w:t>
            </w:r>
          </w:p>
        </w:tc>
        <w:tc>
          <w:tcPr>
            <w:tcW w:w="752"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(825)</w:t>
            </w:r>
          </w:p>
        </w:tc>
        <w:tc>
          <w:tcPr>
            <w:tcW w:w="752" w:type="pct"/>
            <w:tcBorders>
              <w:top w:val="nil"/>
              <w:left w:val="nil"/>
              <w:bottom w:val="single" w:sz="4" w:space="0" w:color="800000"/>
              <w:right w:val="single" w:sz="4" w:space="0" w:color="800000"/>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(1,463)</w:t>
            </w:r>
          </w:p>
        </w:tc>
      </w:tr>
      <w:tr w:rsidR="00EE3BA4" w:rsidRPr="001A209B" w:rsidTr="00961E29">
        <w:trPr>
          <w:trHeight w:val="240"/>
        </w:trPr>
        <w:tc>
          <w:tcPr>
            <w:tcW w:w="2107"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Net finance costs</w:t>
            </w:r>
          </w:p>
        </w:tc>
        <w:tc>
          <w:tcPr>
            <w:tcW w:w="752"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color w:val="0000FF"/>
                <w:sz w:val="18"/>
                <w:szCs w:val="18"/>
              </w:rPr>
            </w:pPr>
            <w:r w:rsidRPr="001A209B">
              <w:rPr>
                <w:rFonts w:cs="Arial"/>
                <w:color w:val="0000FF"/>
                <w:sz w:val="18"/>
                <w:szCs w:val="18"/>
              </w:rPr>
              <w:t> </w:t>
            </w:r>
          </w:p>
        </w:tc>
        <w:tc>
          <w:tcPr>
            <w:tcW w:w="638" w:type="pct"/>
            <w:tcBorders>
              <w:top w:val="nil"/>
              <w:left w:val="nil"/>
              <w:bottom w:val="single" w:sz="4"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(351)</w:t>
            </w:r>
          </w:p>
        </w:tc>
        <w:tc>
          <w:tcPr>
            <w:tcW w:w="752"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(371)</w:t>
            </w:r>
          </w:p>
        </w:tc>
        <w:tc>
          <w:tcPr>
            <w:tcW w:w="752" w:type="pct"/>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(739)</w:t>
            </w:r>
          </w:p>
        </w:tc>
      </w:tr>
      <w:tr w:rsidR="00EE3BA4" w:rsidRPr="001A209B" w:rsidTr="00961E29">
        <w:trPr>
          <w:trHeight w:val="240"/>
        </w:trPr>
        <w:tc>
          <w:tcPr>
            <w:tcW w:w="2107" w:type="pct"/>
            <w:tcBorders>
              <w:top w:val="nil"/>
              <w:left w:val="nil"/>
              <w:bottom w:val="nil"/>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Profit before taxation</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rPr>
                <w:rFonts w:cs="Arial"/>
                <w:color w:val="0000FF"/>
                <w:sz w:val="18"/>
                <w:szCs w:val="18"/>
              </w:rPr>
            </w:pPr>
            <w:r w:rsidRPr="001A209B">
              <w:rPr>
                <w:rFonts w:cs="Arial"/>
                <w:color w:val="0000FF"/>
                <w:sz w:val="18"/>
                <w:szCs w:val="18"/>
              </w:rPr>
              <w:t> </w:t>
            </w:r>
          </w:p>
        </w:tc>
        <w:tc>
          <w:tcPr>
            <w:tcW w:w="638" w:type="pct"/>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648 </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830 </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1,219 </w:t>
            </w:r>
          </w:p>
        </w:tc>
      </w:tr>
      <w:tr w:rsidR="00EE3BA4" w:rsidRPr="001A209B" w:rsidTr="00961E29">
        <w:trPr>
          <w:trHeight w:val="240"/>
        </w:trPr>
        <w:tc>
          <w:tcPr>
            <w:tcW w:w="2107" w:type="pct"/>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Taxation</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6 </w:t>
            </w:r>
          </w:p>
        </w:tc>
        <w:tc>
          <w:tcPr>
            <w:tcW w:w="638" w:type="pct"/>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(271)</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(208)</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(290)</w:t>
            </w:r>
          </w:p>
        </w:tc>
      </w:tr>
      <w:tr w:rsidR="00EE3BA4" w:rsidRPr="001A209B" w:rsidTr="00961E29">
        <w:trPr>
          <w:trHeight w:val="255"/>
        </w:trPr>
        <w:tc>
          <w:tcPr>
            <w:tcW w:w="2107" w:type="pct"/>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Profit for the period</w:t>
            </w:r>
          </w:p>
        </w:tc>
        <w:tc>
          <w:tcPr>
            <w:tcW w:w="752" w:type="pct"/>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638" w:type="pct"/>
            <w:tcBorders>
              <w:top w:val="single" w:sz="4" w:space="0" w:color="800000"/>
              <w:left w:val="nil"/>
              <w:bottom w:val="single" w:sz="8"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377 </w:t>
            </w:r>
          </w:p>
        </w:tc>
        <w:tc>
          <w:tcPr>
            <w:tcW w:w="752" w:type="pct"/>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622 </w:t>
            </w:r>
          </w:p>
        </w:tc>
        <w:tc>
          <w:tcPr>
            <w:tcW w:w="752" w:type="pct"/>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929 </w:t>
            </w:r>
          </w:p>
        </w:tc>
      </w:tr>
      <w:tr w:rsidR="00EE3BA4" w:rsidRPr="001A209B" w:rsidTr="00961E29">
        <w:trPr>
          <w:trHeight w:val="240"/>
        </w:trPr>
        <w:tc>
          <w:tcPr>
            <w:tcW w:w="2107" w:type="pct"/>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Attributable to:</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638" w:type="pct"/>
            <w:tcBorders>
              <w:top w:val="nil"/>
              <w:left w:val="nil"/>
              <w:bottom w:val="nil"/>
              <w:right w:val="nil"/>
            </w:tcBorders>
            <w:shd w:val="clear" w:color="000000" w:fill="C0C0C0"/>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 </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r>
      <w:tr w:rsidR="00EE3BA4" w:rsidRPr="001A209B" w:rsidTr="00961E29">
        <w:trPr>
          <w:trHeight w:val="240"/>
        </w:trPr>
        <w:tc>
          <w:tcPr>
            <w:tcW w:w="2107" w:type="pct"/>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Owners of the parent</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638" w:type="pct"/>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366 </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611 </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905 </w:t>
            </w:r>
          </w:p>
        </w:tc>
      </w:tr>
      <w:tr w:rsidR="00EE3BA4" w:rsidRPr="001A209B" w:rsidTr="00961E29">
        <w:trPr>
          <w:trHeight w:val="255"/>
        </w:trPr>
        <w:tc>
          <w:tcPr>
            <w:tcW w:w="2107" w:type="pct"/>
            <w:tcBorders>
              <w:top w:val="nil"/>
              <w:left w:val="nil"/>
              <w:bottom w:val="single" w:sz="8" w:space="0" w:color="800000"/>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Non-controlling interests</w:t>
            </w:r>
          </w:p>
        </w:tc>
        <w:tc>
          <w:tcPr>
            <w:tcW w:w="752" w:type="pct"/>
            <w:tcBorders>
              <w:top w:val="nil"/>
              <w:left w:val="nil"/>
              <w:bottom w:val="single" w:sz="8"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638" w:type="pct"/>
            <w:tcBorders>
              <w:top w:val="nil"/>
              <w:left w:val="nil"/>
              <w:bottom w:val="single" w:sz="8"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11 </w:t>
            </w:r>
          </w:p>
        </w:tc>
        <w:tc>
          <w:tcPr>
            <w:tcW w:w="752" w:type="pct"/>
            <w:tcBorders>
              <w:top w:val="nil"/>
              <w:left w:val="nil"/>
              <w:bottom w:val="single" w:sz="8"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11 </w:t>
            </w:r>
          </w:p>
        </w:tc>
        <w:tc>
          <w:tcPr>
            <w:tcW w:w="752" w:type="pct"/>
            <w:tcBorders>
              <w:top w:val="nil"/>
              <w:left w:val="nil"/>
              <w:bottom w:val="single" w:sz="8"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24 </w:t>
            </w:r>
          </w:p>
        </w:tc>
      </w:tr>
      <w:tr w:rsidR="00EE3BA4" w:rsidRPr="001A209B" w:rsidTr="00961E29">
        <w:trPr>
          <w:trHeight w:val="240"/>
        </w:trPr>
        <w:tc>
          <w:tcPr>
            <w:tcW w:w="2107" w:type="pct"/>
            <w:tcBorders>
              <w:top w:val="nil"/>
              <w:left w:val="nil"/>
              <w:bottom w:val="nil"/>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Earnings per ordinary share (pence)</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638" w:type="pct"/>
            <w:tcBorders>
              <w:top w:val="nil"/>
              <w:left w:val="nil"/>
              <w:bottom w:val="nil"/>
              <w:right w:val="nil"/>
            </w:tcBorders>
            <w:shd w:val="clear" w:color="000000" w:fill="C0C0C0"/>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 </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r>
      <w:tr w:rsidR="00EE3BA4" w:rsidRPr="001A209B" w:rsidTr="00961E29">
        <w:trPr>
          <w:trHeight w:val="240"/>
        </w:trPr>
        <w:tc>
          <w:tcPr>
            <w:tcW w:w="2107" w:type="pct"/>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Basic</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8 </w:t>
            </w:r>
          </w:p>
        </w:tc>
        <w:tc>
          <w:tcPr>
            <w:tcW w:w="638" w:type="pct"/>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38.1 </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62.4 </w:t>
            </w:r>
          </w:p>
        </w:tc>
        <w:tc>
          <w:tcPr>
            <w:tcW w:w="752" w:type="pct"/>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92.9 </w:t>
            </w:r>
          </w:p>
        </w:tc>
      </w:tr>
      <w:tr w:rsidR="00EE3BA4" w:rsidRPr="001A209B" w:rsidTr="00961E29">
        <w:trPr>
          <w:trHeight w:val="255"/>
        </w:trPr>
        <w:tc>
          <w:tcPr>
            <w:tcW w:w="2107" w:type="pct"/>
            <w:tcBorders>
              <w:top w:val="nil"/>
              <w:left w:val="nil"/>
              <w:bottom w:val="single" w:sz="8" w:space="0" w:color="800000"/>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Diluted</w:t>
            </w:r>
          </w:p>
        </w:tc>
        <w:tc>
          <w:tcPr>
            <w:tcW w:w="752" w:type="pct"/>
            <w:tcBorders>
              <w:top w:val="nil"/>
              <w:left w:val="nil"/>
              <w:bottom w:val="single" w:sz="8"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8 </w:t>
            </w:r>
          </w:p>
        </w:tc>
        <w:tc>
          <w:tcPr>
            <w:tcW w:w="638" w:type="pct"/>
            <w:tcBorders>
              <w:top w:val="nil"/>
              <w:left w:val="nil"/>
              <w:bottom w:val="single" w:sz="8"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38.0 </w:t>
            </w:r>
          </w:p>
        </w:tc>
        <w:tc>
          <w:tcPr>
            <w:tcW w:w="752" w:type="pct"/>
            <w:tcBorders>
              <w:top w:val="nil"/>
              <w:left w:val="nil"/>
              <w:bottom w:val="single" w:sz="8"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62.2 </w:t>
            </w:r>
          </w:p>
        </w:tc>
        <w:tc>
          <w:tcPr>
            <w:tcW w:w="752" w:type="pct"/>
            <w:tcBorders>
              <w:top w:val="nil"/>
              <w:left w:val="nil"/>
              <w:bottom w:val="single" w:sz="8"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92.7 </w:t>
            </w:r>
          </w:p>
        </w:tc>
      </w:tr>
    </w:tbl>
    <w:p w:rsidR="00E2295C" w:rsidRPr="001A209B" w:rsidRDefault="00E2295C">
      <w:pPr>
        <w:rPr>
          <w:rFonts w:cs="Arial"/>
          <w:color w:val="0070C0"/>
          <w:sz w:val="18"/>
          <w:szCs w:val="18"/>
        </w:rPr>
      </w:pPr>
    </w:p>
    <w:p w:rsidR="00A50FC8" w:rsidRPr="001A209B" w:rsidRDefault="00DE5207">
      <w:pPr>
        <w:rPr>
          <w:rFonts w:cs="Arial"/>
          <w:color w:val="0070C0"/>
          <w:sz w:val="18"/>
          <w:szCs w:val="18"/>
        </w:rPr>
      </w:pPr>
      <w:r w:rsidRPr="001A209B">
        <w:rPr>
          <w:rFonts w:cs="Arial"/>
          <w:sz w:val="18"/>
          <w:szCs w:val="18"/>
        </w:rPr>
        <w:t xml:space="preserve">Results and financial positions for prior periods have been restated on adoption of IAS 19 (Revised) – see note 1. </w:t>
      </w:r>
      <w:r w:rsidR="00A50FC8" w:rsidRPr="001A209B">
        <w:rPr>
          <w:rFonts w:cs="Arial"/>
          <w:color w:val="0070C0"/>
          <w:sz w:val="18"/>
          <w:szCs w:val="18"/>
        </w:rPr>
        <w:br w:type="page"/>
      </w:r>
    </w:p>
    <w:p w:rsidR="005E757A" w:rsidRPr="001A209B" w:rsidRDefault="00A50FC8" w:rsidP="00A50FC8">
      <w:pPr>
        <w:pBdr>
          <w:top w:val="single" w:sz="24" w:space="1" w:color="A60D1F"/>
          <w:left w:val="single" w:sz="24" w:space="4" w:color="A60D1F"/>
          <w:bottom w:val="single" w:sz="24" w:space="1" w:color="A60D1F"/>
          <w:right w:val="single" w:sz="24" w:space="4" w:color="A60D1F"/>
        </w:pBdr>
        <w:spacing w:before="20" w:after="20"/>
        <w:jc w:val="center"/>
        <w:rPr>
          <w:rFonts w:cs="Arial"/>
          <w:b/>
          <w:color w:val="A60D1F"/>
          <w:sz w:val="18"/>
          <w:szCs w:val="18"/>
        </w:rPr>
      </w:pPr>
      <w:r w:rsidRPr="001A209B">
        <w:rPr>
          <w:rFonts w:cs="Arial"/>
          <w:b/>
          <w:color w:val="A60D1F"/>
          <w:sz w:val="18"/>
          <w:szCs w:val="18"/>
        </w:rPr>
        <w:t>Consolidated Statement of Comprehensive Income</w:t>
      </w:r>
    </w:p>
    <w:p w:rsidR="00A50FC8" w:rsidRPr="001A209B" w:rsidRDefault="00A50FC8" w:rsidP="009574AE">
      <w:pPr>
        <w:spacing w:before="20" w:after="20"/>
        <w:jc w:val="both"/>
        <w:rPr>
          <w:rFonts w:cs="Arial"/>
          <w:sz w:val="18"/>
          <w:szCs w:val="18"/>
        </w:rPr>
      </w:pPr>
    </w:p>
    <w:p w:rsidR="00A50FC8" w:rsidRPr="001A209B" w:rsidRDefault="00A50FC8" w:rsidP="009574AE">
      <w:pPr>
        <w:spacing w:before="20" w:after="20"/>
        <w:jc w:val="both"/>
        <w:rPr>
          <w:rFonts w:cs="Arial"/>
          <w:sz w:val="18"/>
          <w:szCs w:val="18"/>
        </w:rPr>
      </w:pPr>
    </w:p>
    <w:tbl>
      <w:tblPr>
        <w:tblW w:w="9257" w:type="dxa"/>
        <w:tblInd w:w="93" w:type="dxa"/>
        <w:tblCellMar>
          <w:top w:w="28" w:type="dxa"/>
          <w:left w:w="85" w:type="dxa"/>
          <w:right w:w="85" w:type="dxa"/>
        </w:tblCellMar>
        <w:tblLook w:val="04A0" w:firstRow="1" w:lastRow="0" w:firstColumn="1" w:lastColumn="0" w:noHBand="0" w:noVBand="1"/>
      </w:tblPr>
      <w:tblGrid>
        <w:gridCol w:w="4977"/>
        <w:gridCol w:w="687"/>
        <w:gridCol w:w="1156"/>
        <w:gridCol w:w="1028"/>
        <w:gridCol w:w="1409"/>
      </w:tblGrid>
      <w:tr w:rsidR="00EE3BA4" w:rsidRPr="001A209B" w:rsidTr="00961E29">
        <w:trPr>
          <w:trHeight w:val="960"/>
        </w:trPr>
        <w:tc>
          <w:tcPr>
            <w:tcW w:w="4977"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million</w:t>
            </w:r>
          </w:p>
        </w:tc>
        <w:tc>
          <w:tcPr>
            <w:tcW w:w="687"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w:t>
            </w:r>
          </w:p>
        </w:tc>
        <w:tc>
          <w:tcPr>
            <w:tcW w:w="1156" w:type="dxa"/>
            <w:tcBorders>
              <w:top w:val="nil"/>
              <w:left w:val="nil"/>
              <w:bottom w:val="single" w:sz="4" w:space="0" w:color="800000"/>
              <w:right w:val="nil"/>
            </w:tcBorders>
            <w:shd w:val="clear" w:color="000000" w:fill="FFFFFF"/>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6 months </w:t>
            </w:r>
            <w:r w:rsidRPr="001A209B">
              <w:rPr>
                <w:rFonts w:cs="Arial"/>
                <w:b/>
                <w:bCs/>
                <w:color w:val="800000"/>
                <w:sz w:val="18"/>
                <w:szCs w:val="18"/>
              </w:rPr>
              <w:br/>
              <w:t xml:space="preserve">ended </w:t>
            </w:r>
            <w:r w:rsidRPr="001A209B">
              <w:rPr>
                <w:rFonts w:cs="Arial"/>
                <w:b/>
                <w:bCs/>
                <w:color w:val="800000"/>
                <w:sz w:val="18"/>
                <w:szCs w:val="18"/>
              </w:rPr>
              <w:br/>
              <w:t xml:space="preserve">31 March </w:t>
            </w:r>
            <w:r w:rsidRPr="001A209B">
              <w:rPr>
                <w:rFonts w:cs="Arial"/>
                <w:b/>
                <w:bCs/>
                <w:color w:val="800000"/>
                <w:sz w:val="18"/>
                <w:szCs w:val="18"/>
              </w:rPr>
              <w:br/>
              <w:t xml:space="preserve">2014 </w:t>
            </w:r>
          </w:p>
        </w:tc>
        <w:tc>
          <w:tcPr>
            <w:tcW w:w="1028" w:type="dxa"/>
            <w:tcBorders>
              <w:top w:val="nil"/>
              <w:left w:val="nil"/>
              <w:bottom w:val="single" w:sz="4" w:space="0" w:color="800000"/>
              <w:right w:val="nil"/>
            </w:tcBorders>
            <w:shd w:val="clear" w:color="000000" w:fill="FFFFFF"/>
            <w:vAlign w:val="bottom"/>
            <w:hideMark/>
          </w:tcPr>
          <w:p w:rsidR="00EE3BA4" w:rsidRPr="001A209B" w:rsidRDefault="00EE3BA4" w:rsidP="00EE3BA4">
            <w:pPr>
              <w:jc w:val="right"/>
              <w:rPr>
                <w:rFonts w:cs="Arial"/>
                <w:color w:val="000000"/>
                <w:sz w:val="18"/>
                <w:szCs w:val="18"/>
              </w:rPr>
            </w:pPr>
            <w:r w:rsidRPr="001A209B">
              <w:rPr>
                <w:rFonts w:cs="Arial"/>
                <w:color w:val="000000"/>
                <w:sz w:val="18"/>
                <w:szCs w:val="18"/>
              </w:rPr>
              <w:t xml:space="preserve">6 months </w:t>
            </w:r>
            <w:r w:rsidRPr="001A209B">
              <w:rPr>
                <w:rFonts w:cs="Arial"/>
                <w:color w:val="000000"/>
                <w:sz w:val="18"/>
                <w:szCs w:val="18"/>
              </w:rPr>
              <w:br/>
              <w:t xml:space="preserve">ended </w:t>
            </w:r>
            <w:r w:rsidRPr="001A209B">
              <w:rPr>
                <w:rFonts w:cs="Arial"/>
                <w:color w:val="000000"/>
                <w:sz w:val="18"/>
                <w:szCs w:val="18"/>
              </w:rPr>
              <w:br/>
              <w:t xml:space="preserve">31 March </w:t>
            </w:r>
            <w:r w:rsidRPr="001A209B">
              <w:rPr>
                <w:rFonts w:cs="Arial"/>
                <w:color w:val="000000"/>
                <w:sz w:val="18"/>
                <w:szCs w:val="18"/>
              </w:rPr>
              <w:br/>
              <w:t xml:space="preserve">2013 </w:t>
            </w:r>
          </w:p>
        </w:tc>
        <w:tc>
          <w:tcPr>
            <w:tcW w:w="1409" w:type="dxa"/>
            <w:tcBorders>
              <w:top w:val="nil"/>
              <w:left w:val="nil"/>
              <w:bottom w:val="single" w:sz="4" w:space="0" w:color="800000"/>
              <w:right w:val="nil"/>
            </w:tcBorders>
            <w:shd w:val="clear" w:color="000000" w:fill="FFFFFF"/>
            <w:vAlign w:val="bottom"/>
            <w:hideMark/>
          </w:tcPr>
          <w:p w:rsidR="00EE3BA4" w:rsidRPr="001A209B" w:rsidRDefault="00EE3BA4" w:rsidP="00EE3BA4">
            <w:pPr>
              <w:jc w:val="right"/>
              <w:rPr>
                <w:rFonts w:cs="Arial"/>
                <w:color w:val="000000"/>
                <w:sz w:val="18"/>
                <w:szCs w:val="18"/>
              </w:rPr>
            </w:pPr>
            <w:r w:rsidRPr="001A209B">
              <w:rPr>
                <w:rFonts w:cs="Arial"/>
                <w:color w:val="000000"/>
                <w:sz w:val="18"/>
                <w:szCs w:val="18"/>
              </w:rPr>
              <w:t>Year ended</w:t>
            </w:r>
            <w:r w:rsidRPr="001A209B">
              <w:rPr>
                <w:rFonts w:cs="Arial"/>
                <w:color w:val="000000"/>
                <w:sz w:val="18"/>
                <w:szCs w:val="18"/>
              </w:rPr>
              <w:br/>
              <w:t>30 September</w:t>
            </w:r>
            <w:r w:rsidRPr="001A209B">
              <w:rPr>
                <w:rFonts w:cs="Arial"/>
                <w:color w:val="000000"/>
                <w:sz w:val="18"/>
                <w:szCs w:val="18"/>
              </w:rPr>
              <w:br/>
              <w:t xml:space="preserve">2013 </w:t>
            </w:r>
          </w:p>
        </w:tc>
      </w:tr>
      <w:tr w:rsidR="00EE3BA4" w:rsidRPr="001A209B" w:rsidTr="00961E29">
        <w:trPr>
          <w:trHeight w:val="240"/>
        </w:trPr>
        <w:tc>
          <w:tcPr>
            <w:tcW w:w="4977" w:type="dxa"/>
            <w:tcBorders>
              <w:top w:val="nil"/>
              <w:left w:val="nil"/>
              <w:bottom w:val="nil"/>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Profit for the period</w:t>
            </w:r>
          </w:p>
        </w:tc>
        <w:tc>
          <w:tcPr>
            <w:tcW w:w="687"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56"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377 </w:t>
            </w:r>
          </w:p>
        </w:tc>
        <w:tc>
          <w:tcPr>
            <w:tcW w:w="1028"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622 </w:t>
            </w:r>
          </w:p>
        </w:tc>
        <w:tc>
          <w:tcPr>
            <w:tcW w:w="14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929 </w:t>
            </w:r>
          </w:p>
        </w:tc>
      </w:tr>
      <w:tr w:rsidR="00EE3BA4" w:rsidRPr="001A209B" w:rsidTr="00961E29">
        <w:trPr>
          <w:trHeight w:val="240"/>
        </w:trPr>
        <w:tc>
          <w:tcPr>
            <w:tcW w:w="4977" w:type="dxa"/>
            <w:tcBorders>
              <w:top w:val="nil"/>
              <w:left w:val="nil"/>
              <w:bottom w:val="nil"/>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Other comprehensive income</w:t>
            </w:r>
          </w:p>
        </w:tc>
        <w:tc>
          <w:tcPr>
            <w:tcW w:w="687"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56" w:type="dxa"/>
            <w:tcBorders>
              <w:top w:val="nil"/>
              <w:left w:val="nil"/>
              <w:bottom w:val="nil"/>
              <w:right w:val="nil"/>
            </w:tcBorders>
            <w:shd w:val="clear" w:color="000000" w:fill="C0C0C0"/>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 </w:t>
            </w:r>
          </w:p>
        </w:tc>
        <w:tc>
          <w:tcPr>
            <w:tcW w:w="1028"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409"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r>
      <w:tr w:rsidR="00EE3BA4" w:rsidRPr="001A209B" w:rsidTr="00961E29">
        <w:trPr>
          <w:trHeight w:val="240"/>
        </w:trPr>
        <w:tc>
          <w:tcPr>
            <w:tcW w:w="4977" w:type="dxa"/>
            <w:tcBorders>
              <w:top w:val="single" w:sz="4" w:space="0" w:color="800000"/>
              <w:left w:val="single" w:sz="4" w:space="0" w:color="800000"/>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Exchange movements</w:t>
            </w:r>
          </w:p>
        </w:tc>
        <w:tc>
          <w:tcPr>
            <w:tcW w:w="687" w:type="dxa"/>
            <w:tcBorders>
              <w:top w:val="single" w:sz="4" w:space="0" w:color="800000"/>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56" w:type="dxa"/>
            <w:tcBorders>
              <w:top w:val="single" w:sz="4" w:space="0" w:color="800000"/>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(259)</w:t>
            </w:r>
          </w:p>
        </w:tc>
        <w:tc>
          <w:tcPr>
            <w:tcW w:w="1028" w:type="dxa"/>
            <w:tcBorders>
              <w:top w:val="single" w:sz="4" w:space="0" w:color="800000"/>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593 </w:t>
            </w:r>
          </w:p>
        </w:tc>
        <w:tc>
          <w:tcPr>
            <w:tcW w:w="1409" w:type="dxa"/>
            <w:tcBorders>
              <w:top w:val="single" w:sz="4" w:space="0" w:color="800000"/>
              <w:left w:val="nil"/>
              <w:bottom w:val="nil"/>
              <w:right w:val="single" w:sz="4" w:space="0" w:color="800000"/>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164 </w:t>
            </w:r>
          </w:p>
        </w:tc>
      </w:tr>
      <w:tr w:rsidR="00EE3BA4" w:rsidRPr="001A209B" w:rsidTr="00961E29">
        <w:trPr>
          <w:trHeight w:val="240"/>
        </w:trPr>
        <w:tc>
          <w:tcPr>
            <w:tcW w:w="4977" w:type="dxa"/>
            <w:tcBorders>
              <w:top w:val="nil"/>
              <w:left w:val="single" w:sz="4" w:space="0" w:color="800000"/>
              <w:bottom w:val="single" w:sz="4"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Current tax on exchange movements</w:t>
            </w:r>
          </w:p>
        </w:tc>
        <w:tc>
          <w:tcPr>
            <w:tcW w:w="687"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56" w:type="dxa"/>
            <w:tcBorders>
              <w:top w:val="nil"/>
              <w:left w:val="nil"/>
              <w:bottom w:val="single" w:sz="4"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(3)</w:t>
            </w:r>
          </w:p>
        </w:tc>
        <w:tc>
          <w:tcPr>
            <w:tcW w:w="1028"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 </w:t>
            </w:r>
          </w:p>
        </w:tc>
        <w:tc>
          <w:tcPr>
            <w:tcW w:w="1409" w:type="dxa"/>
            <w:tcBorders>
              <w:top w:val="nil"/>
              <w:left w:val="nil"/>
              <w:bottom w:val="single" w:sz="4" w:space="0" w:color="800000"/>
              <w:right w:val="single" w:sz="4" w:space="0" w:color="800000"/>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40 </w:t>
            </w:r>
          </w:p>
        </w:tc>
      </w:tr>
      <w:tr w:rsidR="00EE3BA4" w:rsidRPr="001A209B" w:rsidTr="00961E29">
        <w:trPr>
          <w:trHeight w:val="240"/>
        </w:trPr>
        <w:tc>
          <w:tcPr>
            <w:tcW w:w="4977"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Items that may be reclassified to profit and loss</w:t>
            </w:r>
          </w:p>
        </w:tc>
        <w:tc>
          <w:tcPr>
            <w:tcW w:w="687"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56"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(262)</w:t>
            </w:r>
          </w:p>
        </w:tc>
        <w:tc>
          <w:tcPr>
            <w:tcW w:w="1028"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593 </w:t>
            </w:r>
          </w:p>
        </w:tc>
        <w:tc>
          <w:tcPr>
            <w:tcW w:w="14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204 </w:t>
            </w:r>
          </w:p>
        </w:tc>
      </w:tr>
      <w:tr w:rsidR="00EE3BA4" w:rsidRPr="001A209B" w:rsidTr="00961E29">
        <w:trPr>
          <w:trHeight w:val="240"/>
        </w:trPr>
        <w:tc>
          <w:tcPr>
            <w:tcW w:w="4977" w:type="dxa"/>
            <w:tcBorders>
              <w:top w:val="single" w:sz="4" w:space="0" w:color="800000"/>
              <w:left w:val="single" w:sz="4" w:space="0" w:color="800000"/>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Net actuarial gains/(losses) on retirement benefits</w:t>
            </w:r>
          </w:p>
        </w:tc>
        <w:tc>
          <w:tcPr>
            <w:tcW w:w="687" w:type="dxa"/>
            <w:tcBorders>
              <w:top w:val="single" w:sz="4" w:space="0" w:color="800000"/>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w:t>
            </w:r>
          </w:p>
        </w:tc>
        <w:tc>
          <w:tcPr>
            <w:tcW w:w="1156" w:type="dxa"/>
            <w:tcBorders>
              <w:top w:val="single" w:sz="4" w:space="0" w:color="800000"/>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72 </w:t>
            </w:r>
          </w:p>
        </w:tc>
        <w:tc>
          <w:tcPr>
            <w:tcW w:w="1028" w:type="dxa"/>
            <w:tcBorders>
              <w:top w:val="single" w:sz="4" w:space="0" w:color="800000"/>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(55)</w:t>
            </w:r>
          </w:p>
        </w:tc>
        <w:tc>
          <w:tcPr>
            <w:tcW w:w="1409" w:type="dxa"/>
            <w:tcBorders>
              <w:top w:val="single" w:sz="4" w:space="0" w:color="800000"/>
              <w:left w:val="nil"/>
              <w:bottom w:val="nil"/>
              <w:right w:val="single" w:sz="4" w:space="0" w:color="800000"/>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43 </w:t>
            </w:r>
          </w:p>
        </w:tc>
      </w:tr>
      <w:tr w:rsidR="00EE3BA4" w:rsidRPr="001A209B" w:rsidTr="00961E29">
        <w:trPr>
          <w:trHeight w:val="240"/>
        </w:trPr>
        <w:tc>
          <w:tcPr>
            <w:tcW w:w="4977" w:type="dxa"/>
            <w:tcBorders>
              <w:top w:val="nil"/>
              <w:left w:val="single" w:sz="4" w:space="0" w:color="800000"/>
              <w:bottom w:val="single" w:sz="4"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Deferred tax relating to net actuarial (gains)/losses on retirement benefits</w:t>
            </w:r>
          </w:p>
        </w:tc>
        <w:tc>
          <w:tcPr>
            <w:tcW w:w="687"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w:t>
            </w:r>
          </w:p>
        </w:tc>
        <w:tc>
          <w:tcPr>
            <w:tcW w:w="1156" w:type="dxa"/>
            <w:tcBorders>
              <w:top w:val="nil"/>
              <w:left w:val="nil"/>
              <w:bottom w:val="single" w:sz="4"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(16)</w:t>
            </w:r>
          </w:p>
        </w:tc>
        <w:tc>
          <w:tcPr>
            <w:tcW w:w="1028"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28 </w:t>
            </w:r>
          </w:p>
        </w:tc>
        <w:tc>
          <w:tcPr>
            <w:tcW w:w="1409" w:type="dxa"/>
            <w:tcBorders>
              <w:top w:val="nil"/>
              <w:left w:val="nil"/>
              <w:bottom w:val="single" w:sz="4" w:space="0" w:color="800000"/>
              <w:right w:val="single" w:sz="4" w:space="0" w:color="800000"/>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(42)</w:t>
            </w:r>
          </w:p>
        </w:tc>
      </w:tr>
      <w:tr w:rsidR="00EE3BA4" w:rsidRPr="001A209B" w:rsidTr="00961E29">
        <w:trPr>
          <w:trHeight w:val="240"/>
        </w:trPr>
        <w:tc>
          <w:tcPr>
            <w:tcW w:w="4977"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Items that will not be reclassified to profit and loss</w:t>
            </w:r>
          </w:p>
        </w:tc>
        <w:tc>
          <w:tcPr>
            <w:tcW w:w="687"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w:t>
            </w:r>
          </w:p>
        </w:tc>
        <w:tc>
          <w:tcPr>
            <w:tcW w:w="1156" w:type="dxa"/>
            <w:tcBorders>
              <w:top w:val="nil"/>
              <w:left w:val="nil"/>
              <w:bottom w:val="single" w:sz="4"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56 </w:t>
            </w:r>
          </w:p>
        </w:tc>
        <w:tc>
          <w:tcPr>
            <w:tcW w:w="1028"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(27)</w:t>
            </w:r>
          </w:p>
        </w:tc>
        <w:tc>
          <w:tcPr>
            <w:tcW w:w="1409"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 </w:t>
            </w:r>
          </w:p>
        </w:tc>
      </w:tr>
      <w:tr w:rsidR="00EE3BA4" w:rsidRPr="001A209B" w:rsidTr="00961E29">
        <w:trPr>
          <w:trHeight w:val="240"/>
        </w:trPr>
        <w:tc>
          <w:tcPr>
            <w:tcW w:w="4977" w:type="dxa"/>
            <w:tcBorders>
              <w:top w:val="nil"/>
              <w:left w:val="nil"/>
              <w:bottom w:val="nil"/>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Other comprehensive income for the period, net of tax</w:t>
            </w:r>
          </w:p>
        </w:tc>
        <w:tc>
          <w:tcPr>
            <w:tcW w:w="687"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1156"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(206)</w:t>
            </w:r>
          </w:p>
        </w:tc>
        <w:tc>
          <w:tcPr>
            <w:tcW w:w="1028"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566 </w:t>
            </w:r>
          </w:p>
        </w:tc>
        <w:tc>
          <w:tcPr>
            <w:tcW w:w="14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205 </w:t>
            </w:r>
          </w:p>
        </w:tc>
      </w:tr>
      <w:tr w:rsidR="00EE3BA4" w:rsidRPr="001A209B" w:rsidTr="00961E29">
        <w:trPr>
          <w:trHeight w:val="255"/>
        </w:trPr>
        <w:tc>
          <w:tcPr>
            <w:tcW w:w="4977" w:type="dxa"/>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Total comprehensive income for the period</w:t>
            </w:r>
          </w:p>
        </w:tc>
        <w:tc>
          <w:tcPr>
            <w:tcW w:w="687" w:type="dxa"/>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1156" w:type="dxa"/>
            <w:tcBorders>
              <w:top w:val="single" w:sz="4" w:space="0" w:color="800000"/>
              <w:left w:val="nil"/>
              <w:bottom w:val="single" w:sz="8"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171 </w:t>
            </w:r>
          </w:p>
        </w:tc>
        <w:tc>
          <w:tcPr>
            <w:tcW w:w="1028" w:type="dxa"/>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1,188 </w:t>
            </w:r>
          </w:p>
        </w:tc>
        <w:tc>
          <w:tcPr>
            <w:tcW w:w="1409" w:type="dxa"/>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1,134 </w:t>
            </w:r>
          </w:p>
        </w:tc>
      </w:tr>
      <w:tr w:rsidR="00EE3BA4" w:rsidRPr="001A209B" w:rsidTr="00961E29">
        <w:trPr>
          <w:trHeight w:val="240"/>
        </w:trPr>
        <w:tc>
          <w:tcPr>
            <w:tcW w:w="4977"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687"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1156" w:type="dxa"/>
            <w:tcBorders>
              <w:top w:val="nil"/>
              <w:left w:val="nil"/>
              <w:bottom w:val="nil"/>
              <w:right w:val="nil"/>
            </w:tcBorders>
            <w:shd w:val="clear" w:color="000000" w:fill="C0C0C0"/>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 </w:t>
            </w:r>
          </w:p>
        </w:tc>
        <w:tc>
          <w:tcPr>
            <w:tcW w:w="1028"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409"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r>
      <w:tr w:rsidR="00EE3BA4" w:rsidRPr="001A209B" w:rsidTr="00961E29">
        <w:trPr>
          <w:trHeight w:val="240"/>
        </w:trPr>
        <w:tc>
          <w:tcPr>
            <w:tcW w:w="4977"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xml:space="preserve">Attributable to: </w:t>
            </w:r>
          </w:p>
        </w:tc>
        <w:tc>
          <w:tcPr>
            <w:tcW w:w="687"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1156" w:type="dxa"/>
            <w:tcBorders>
              <w:top w:val="nil"/>
              <w:left w:val="nil"/>
              <w:bottom w:val="nil"/>
              <w:right w:val="nil"/>
            </w:tcBorders>
            <w:shd w:val="clear" w:color="000000" w:fill="C0C0C0"/>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 </w:t>
            </w:r>
          </w:p>
        </w:tc>
        <w:tc>
          <w:tcPr>
            <w:tcW w:w="1028"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409"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r>
      <w:tr w:rsidR="00EE3BA4" w:rsidRPr="001A209B" w:rsidTr="00961E29">
        <w:trPr>
          <w:trHeight w:val="240"/>
        </w:trPr>
        <w:tc>
          <w:tcPr>
            <w:tcW w:w="4977"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Owners of the parent</w:t>
            </w:r>
          </w:p>
        </w:tc>
        <w:tc>
          <w:tcPr>
            <w:tcW w:w="687"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1156"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161 </w:t>
            </w:r>
          </w:p>
        </w:tc>
        <w:tc>
          <w:tcPr>
            <w:tcW w:w="1028"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1,175 </w:t>
            </w:r>
          </w:p>
        </w:tc>
        <w:tc>
          <w:tcPr>
            <w:tcW w:w="14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1,108 </w:t>
            </w:r>
          </w:p>
        </w:tc>
      </w:tr>
      <w:tr w:rsidR="00EE3BA4" w:rsidRPr="001A209B" w:rsidTr="00961E29">
        <w:trPr>
          <w:trHeight w:val="240"/>
        </w:trPr>
        <w:tc>
          <w:tcPr>
            <w:tcW w:w="4977"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Non-controlling interests</w:t>
            </w:r>
          </w:p>
        </w:tc>
        <w:tc>
          <w:tcPr>
            <w:tcW w:w="687"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1156"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10 </w:t>
            </w:r>
          </w:p>
        </w:tc>
        <w:tc>
          <w:tcPr>
            <w:tcW w:w="1028"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13 </w:t>
            </w:r>
          </w:p>
        </w:tc>
        <w:tc>
          <w:tcPr>
            <w:tcW w:w="14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26 </w:t>
            </w:r>
          </w:p>
        </w:tc>
      </w:tr>
      <w:tr w:rsidR="00EE3BA4" w:rsidRPr="001A209B" w:rsidTr="00961E29">
        <w:trPr>
          <w:trHeight w:val="255"/>
        </w:trPr>
        <w:tc>
          <w:tcPr>
            <w:tcW w:w="4977" w:type="dxa"/>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Total comprehensive income for the period</w:t>
            </w:r>
          </w:p>
        </w:tc>
        <w:tc>
          <w:tcPr>
            <w:tcW w:w="687" w:type="dxa"/>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1156" w:type="dxa"/>
            <w:tcBorders>
              <w:top w:val="single" w:sz="4" w:space="0" w:color="800000"/>
              <w:left w:val="nil"/>
              <w:bottom w:val="single" w:sz="8"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171 </w:t>
            </w:r>
          </w:p>
        </w:tc>
        <w:tc>
          <w:tcPr>
            <w:tcW w:w="1028" w:type="dxa"/>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1,188 </w:t>
            </w:r>
          </w:p>
        </w:tc>
        <w:tc>
          <w:tcPr>
            <w:tcW w:w="1409" w:type="dxa"/>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1,134 </w:t>
            </w:r>
          </w:p>
        </w:tc>
      </w:tr>
      <w:tr w:rsidR="00EE3BA4" w:rsidRPr="001A209B" w:rsidTr="00961E29">
        <w:trPr>
          <w:trHeight w:val="240"/>
        </w:trPr>
        <w:tc>
          <w:tcPr>
            <w:tcW w:w="4977"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687"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1156"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1028"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1409"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r>
      <w:tr w:rsidR="00EE3BA4" w:rsidRPr="001A209B" w:rsidTr="00961E29">
        <w:trPr>
          <w:trHeight w:val="282"/>
        </w:trPr>
        <w:tc>
          <w:tcPr>
            <w:tcW w:w="9257" w:type="dxa"/>
            <w:gridSpan w:val="5"/>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b/>
                <w:bCs/>
                <w:color w:val="800000"/>
                <w:sz w:val="18"/>
                <w:szCs w:val="18"/>
              </w:rPr>
              <w:t>Reconciliation from operating profit to adjusted operating profit</w:t>
            </w:r>
          </w:p>
        </w:tc>
      </w:tr>
      <w:tr w:rsidR="00EE3BA4" w:rsidRPr="001A209B" w:rsidTr="00961E29">
        <w:trPr>
          <w:trHeight w:val="960"/>
        </w:trPr>
        <w:tc>
          <w:tcPr>
            <w:tcW w:w="4977"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million</w:t>
            </w:r>
          </w:p>
        </w:tc>
        <w:tc>
          <w:tcPr>
            <w:tcW w:w="687"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color w:val="000000"/>
                <w:sz w:val="18"/>
                <w:szCs w:val="18"/>
              </w:rPr>
            </w:pPr>
            <w:r w:rsidRPr="001A209B">
              <w:rPr>
                <w:rFonts w:cs="Arial"/>
                <w:color w:val="000000"/>
                <w:sz w:val="18"/>
                <w:szCs w:val="18"/>
              </w:rPr>
              <w:t xml:space="preserve">Notes </w:t>
            </w:r>
          </w:p>
        </w:tc>
        <w:tc>
          <w:tcPr>
            <w:tcW w:w="1156" w:type="dxa"/>
            <w:tcBorders>
              <w:top w:val="nil"/>
              <w:left w:val="nil"/>
              <w:bottom w:val="single" w:sz="4" w:space="0" w:color="800000"/>
              <w:right w:val="nil"/>
            </w:tcBorders>
            <w:shd w:val="clear" w:color="000000" w:fill="FFFFFF"/>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6 months </w:t>
            </w:r>
            <w:r w:rsidRPr="001A209B">
              <w:rPr>
                <w:rFonts w:cs="Arial"/>
                <w:b/>
                <w:bCs/>
                <w:color w:val="800000"/>
                <w:sz w:val="18"/>
                <w:szCs w:val="18"/>
              </w:rPr>
              <w:br/>
              <w:t xml:space="preserve">ended </w:t>
            </w:r>
            <w:r w:rsidRPr="001A209B">
              <w:rPr>
                <w:rFonts w:cs="Arial"/>
                <w:b/>
                <w:bCs/>
                <w:color w:val="800000"/>
                <w:sz w:val="18"/>
                <w:szCs w:val="18"/>
              </w:rPr>
              <w:br/>
              <w:t xml:space="preserve">31 March </w:t>
            </w:r>
            <w:r w:rsidRPr="001A209B">
              <w:rPr>
                <w:rFonts w:cs="Arial"/>
                <w:b/>
                <w:bCs/>
                <w:color w:val="800000"/>
                <w:sz w:val="18"/>
                <w:szCs w:val="18"/>
              </w:rPr>
              <w:br/>
              <w:t xml:space="preserve">2014 </w:t>
            </w:r>
          </w:p>
        </w:tc>
        <w:tc>
          <w:tcPr>
            <w:tcW w:w="1028" w:type="dxa"/>
            <w:tcBorders>
              <w:top w:val="nil"/>
              <w:left w:val="nil"/>
              <w:bottom w:val="single" w:sz="4" w:space="0" w:color="800000"/>
              <w:right w:val="nil"/>
            </w:tcBorders>
            <w:shd w:val="clear" w:color="000000" w:fill="FFFFFF"/>
            <w:vAlign w:val="bottom"/>
            <w:hideMark/>
          </w:tcPr>
          <w:p w:rsidR="00EE3BA4" w:rsidRPr="001A209B" w:rsidRDefault="00EE3BA4" w:rsidP="00EE3BA4">
            <w:pPr>
              <w:jc w:val="right"/>
              <w:rPr>
                <w:rFonts w:cs="Arial"/>
                <w:color w:val="000000"/>
                <w:sz w:val="18"/>
                <w:szCs w:val="18"/>
              </w:rPr>
            </w:pPr>
            <w:r w:rsidRPr="001A209B">
              <w:rPr>
                <w:rFonts w:cs="Arial"/>
                <w:color w:val="000000"/>
                <w:sz w:val="18"/>
                <w:szCs w:val="18"/>
              </w:rPr>
              <w:t xml:space="preserve">6 months </w:t>
            </w:r>
            <w:r w:rsidRPr="001A209B">
              <w:rPr>
                <w:rFonts w:cs="Arial"/>
                <w:color w:val="000000"/>
                <w:sz w:val="18"/>
                <w:szCs w:val="18"/>
              </w:rPr>
              <w:br/>
              <w:t xml:space="preserve">ended </w:t>
            </w:r>
            <w:r w:rsidRPr="001A209B">
              <w:rPr>
                <w:rFonts w:cs="Arial"/>
                <w:color w:val="000000"/>
                <w:sz w:val="18"/>
                <w:szCs w:val="18"/>
              </w:rPr>
              <w:br/>
              <w:t xml:space="preserve">31 March </w:t>
            </w:r>
            <w:r w:rsidRPr="001A209B">
              <w:rPr>
                <w:rFonts w:cs="Arial"/>
                <w:color w:val="000000"/>
                <w:sz w:val="18"/>
                <w:szCs w:val="18"/>
              </w:rPr>
              <w:br/>
              <w:t xml:space="preserve">2013 </w:t>
            </w:r>
          </w:p>
        </w:tc>
        <w:tc>
          <w:tcPr>
            <w:tcW w:w="1409" w:type="dxa"/>
            <w:tcBorders>
              <w:top w:val="nil"/>
              <w:left w:val="nil"/>
              <w:bottom w:val="single" w:sz="4" w:space="0" w:color="800000"/>
              <w:right w:val="nil"/>
            </w:tcBorders>
            <w:shd w:val="clear" w:color="000000" w:fill="FFFFFF"/>
            <w:vAlign w:val="bottom"/>
            <w:hideMark/>
          </w:tcPr>
          <w:p w:rsidR="00EE3BA4" w:rsidRPr="001A209B" w:rsidRDefault="00EE3BA4" w:rsidP="00EE3BA4">
            <w:pPr>
              <w:jc w:val="right"/>
              <w:rPr>
                <w:rFonts w:cs="Arial"/>
                <w:color w:val="000000"/>
                <w:sz w:val="18"/>
                <w:szCs w:val="18"/>
              </w:rPr>
            </w:pPr>
            <w:r w:rsidRPr="001A209B">
              <w:rPr>
                <w:rFonts w:cs="Arial"/>
                <w:color w:val="000000"/>
                <w:sz w:val="18"/>
                <w:szCs w:val="18"/>
              </w:rPr>
              <w:t>Year ended</w:t>
            </w:r>
            <w:r w:rsidRPr="001A209B">
              <w:rPr>
                <w:rFonts w:cs="Arial"/>
                <w:color w:val="000000"/>
                <w:sz w:val="18"/>
                <w:szCs w:val="18"/>
              </w:rPr>
              <w:br/>
              <w:t>30 September</w:t>
            </w:r>
            <w:r w:rsidRPr="001A209B">
              <w:rPr>
                <w:rFonts w:cs="Arial"/>
                <w:color w:val="000000"/>
                <w:sz w:val="18"/>
                <w:szCs w:val="18"/>
              </w:rPr>
              <w:br/>
              <w:t xml:space="preserve">2013 </w:t>
            </w:r>
          </w:p>
        </w:tc>
      </w:tr>
      <w:tr w:rsidR="00EE3BA4" w:rsidRPr="001A209B" w:rsidTr="00961E29">
        <w:trPr>
          <w:trHeight w:val="240"/>
        </w:trPr>
        <w:tc>
          <w:tcPr>
            <w:tcW w:w="4977" w:type="dxa"/>
            <w:tcBorders>
              <w:top w:val="nil"/>
              <w:left w:val="nil"/>
              <w:bottom w:val="nil"/>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Operating profit</w:t>
            </w:r>
          </w:p>
        </w:tc>
        <w:tc>
          <w:tcPr>
            <w:tcW w:w="687"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color w:val="000000"/>
                <w:sz w:val="18"/>
                <w:szCs w:val="18"/>
              </w:rPr>
            </w:pPr>
            <w:r w:rsidRPr="001A209B">
              <w:rPr>
                <w:rFonts w:cs="Arial"/>
                <w:color w:val="000000"/>
                <w:sz w:val="18"/>
                <w:szCs w:val="18"/>
              </w:rPr>
              <w:t> </w:t>
            </w:r>
          </w:p>
        </w:tc>
        <w:tc>
          <w:tcPr>
            <w:tcW w:w="1156"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999 </w:t>
            </w:r>
          </w:p>
        </w:tc>
        <w:tc>
          <w:tcPr>
            <w:tcW w:w="1028"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1,201 </w:t>
            </w:r>
          </w:p>
        </w:tc>
        <w:tc>
          <w:tcPr>
            <w:tcW w:w="14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1,958 </w:t>
            </w:r>
          </w:p>
        </w:tc>
      </w:tr>
      <w:tr w:rsidR="00EE3BA4" w:rsidRPr="001A209B" w:rsidTr="00961E29">
        <w:trPr>
          <w:trHeight w:val="240"/>
        </w:trPr>
        <w:tc>
          <w:tcPr>
            <w:tcW w:w="4977"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Amortisation of acquired intangibles</w:t>
            </w:r>
          </w:p>
        </w:tc>
        <w:tc>
          <w:tcPr>
            <w:tcW w:w="687"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9 </w:t>
            </w:r>
          </w:p>
        </w:tc>
        <w:tc>
          <w:tcPr>
            <w:tcW w:w="1156"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326 </w:t>
            </w:r>
          </w:p>
        </w:tc>
        <w:tc>
          <w:tcPr>
            <w:tcW w:w="1028"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color w:val="000000"/>
                <w:sz w:val="18"/>
                <w:szCs w:val="18"/>
              </w:rPr>
            </w:pPr>
            <w:r w:rsidRPr="001A209B">
              <w:rPr>
                <w:rFonts w:cs="Arial"/>
                <w:color w:val="000000"/>
                <w:sz w:val="18"/>
                <w:szCs w:val="18"/>
              </w:rPr>
              <w:t xml:space="preserve">184 </w:t>
            </w:r>
          </w:p>
        </w:tc>
        <w:tc>
          <w:tcPr>
            <w:tcW w:w="14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color w:val="000000"/>
                <w:sz w:val="18"/>
                <w:szCs w:val="18"/>
              </w:rPr>
            </w:pPr>
            <w:r w:rsidRPr="001A209B">
              <w:rPr>
                <w:rFonts w:cs="Arial"/>
                <w:color w:val="000000"/>
                <w:sz w:val="18"/>
                <w:szCs w:val="18"/>
              </w:rPr>
              <w:t xml:space="preserve">372 </w:t>
            </w:r>
          </w:p>
        </w:tc>
      </w:tr>
      <w:tr w:rsidR="00EE3BA4" w:rsidRPr="001A209B" w:rsidTr="00961E29">
        <w:trPr>
          <w:trHeight w:val="240"/>
        </w:trPr>
        <w:tc>
          <w:tcPr>
            <w:tcW w:w="4977"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Impairment of acquired intangibles</w:t>
            </w:r>
          </w:p>
        </w:tc>
        <w:tc>
          <w:tcPr>
            <w:tcW w:w="687"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56"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 </w:t>
            </w:r>
          </w:p>
        </w:tc>
        <w:tc>
          <w:tcPr>
            <w:tcW w:w="1028"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color w:val="000000"/>
                <w:sz w:val="18"/>
                <w:szCs w:val="18"/>
              </w:rPr>
            </w:pPr>
            <w:r w:rsidRPr="001A209B">
              <w:rPr>
                <w:rFonts w:cs="Arial"/>
                <w:color w:val="000000"/>
                <w:sz w:val="18"/>
                <w:szCs w:val="18"/>
              </w:rPr>
              <w:t xml:space="preserve">- </w:t>
            </w:r>
          </w:p>
        </w:tc>
        <w:tc>
          <w:tcPr>
            <w:tcW w:w="14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580 </w:t>
            </w:r>
          </w:p>
        </w:tc>
      </w:tr>
      <w:tr w:rsidR="00EE3BA4" w:rsidRPr="001A209B" w:rsidTr="00961E29">
        <w:trPr>
          <w:trHeight w:val="240"/>
        </w:trPr>
        <w:tc>
          <w:tcPr>
            <w:tcW w:w="4977"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Restructuring costs</w:t>
            </w:r>
          </w:p>
        </w:tc>
        <w:tc>
          <w:tcPr>
            <w:tcW w:w="687"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4 </w:t>
            </w:r>
          </w:p>
        </w:tc>
        <w:tc>
          <w:tcPr>
            <w:tcW w:w="1156"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42 </w:t>
            </w:r>
          </w:p>
        </w:tc>
        <w:tc>
          <w:tcPr>
            <w:tcW w:w="1028"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color w:val="000000"/>
                <w:sz w:val="18"/>
                <w:szCs w:val="18"/>
              </w:rPr>
            </w:pPr>
            <w:r w:rsidRPr="001A209B">
              <w:rPr>
                <w:rFonts w:cs="Arial"/>
                <w:color w:val="000000"/>
                <w:sz w:val="18"/>
                <w:szCs w:val="18"/>
              </w:rPr>
              <w:t xml:space="preserve">40 </w:t>
            </w:r>
          </w:p>
        </w:tc>
        <w:tc>
          <w:tcPr>
            <w:tcW w:w="14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color w:val="000000"/>
                <w:sz w:val="18"/>
                <w:szCs w:val="18"/>
              </w:rPr>
            </w:pPr>
            <w:r w:rsidRPr="001A209B">
              <w:rPr>
                <w:rFonts w:cs="Arial"/>
                <w:color w:val="000000"/>
                <w:sz w:val="18"/>
                <w:szCs w:val="18"/>
              </w:rPr>
              <w:t xml:space="preserve">270 </w:t>
            </w:r>
          </w:p>
        </w:tc>
      </w:tr>
      <w:tr w:rsidR="00EE3BA4" w:rsidRPr="001A209B" w:rsidTr="00961E29">
        <w:trPr>
          <w:trHeight w:val="255"/>
        </w:trPr>
        <w:tc>
          <w:tcPr>
            <w:tcW w:w="4977" w:type="dxa"/>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Adjusted operating profit</w:t>
            </w:r>
          </w:p>
        </w:tc>
        <w:tc>
          <w:tcPr>
            <w:tcW w:w="687" w:type="dxa"/>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1156" w:type="dxa"/>
            <w:tcBorders>
              <w:top w:val="single" w:sz="4" w:space="0" w:color="800000"/>
              <w:left w:val="nil"/>
              <w:bottom w:val="single" w:sz="8"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1,367 </w:t>
            </w:r>
          </w:p>
        </w:tc>
        <w:tc>
          <w:tcPr>
            <w:tcW w:w="1028" w:type="dxa"/>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1,425 </w:t>
            </w:r>
          </w:p>
        </w:tc>
        <w:tc>
          <w:tcPr>
            <w:tcW w:w="1409" w:type="dxa"/>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3,180 </w:t>
            </w:r>
          </w:p>
        </w:tc>
      </w:tr>
      <w:tr w:rsidR="00EE3BA4" w:rsidRPr="001A209B" w:rsidTr="00961E29">
        <w:trPr>
          <w:trHeight w:val="240"/>
        </w:trPr>
        <w:tc>
          <w:tcPr>
            <w:tcW w:w="4977"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687"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1156"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1028"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1409"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r>
      <w:tr w:rsidR="00EE3BA4" w:rsidRPr="001A209B" w:rsidTr="00961E29">
        <w:trPr>
          <w:trHeight w:val="240"/>
        </w:trPr>
        <w:tc>
          <w:tcPr>
            <w:tcW w:w="9257" w:type="dxa"/>
            <w:gridSpan w:val="5"/>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b/>
                <w:bCs/>
                <w:color w:val="800000"/>
                <w:sz w:val="18"/>
                <w:szCs w:val="18"/>
              </w:rPr>
              <w:t>Reconciliation from net finance costs to adjusted net finance costs</w:t>
            </w:r>
          </w:p>
        </w:tc>
      </w:tr>
      <w:tr w:rsidR="00EE3BA4" w:rsidRPr="001A209B" w:rsidTr="00961E29">
        <w:trPr>
          <w:trHeight w:val="960"/>
        </w:trPr>
        <w:tc>
          <w:tcPr>
            <w:tcW w:w="4977"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million</w:t>
            </w:r>
          </w:p>
        </w:tc>
        <w:tc>
          <w:tcPr>
            <w:tcW w:w="687"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color w:val="000000"/>
                <w:sz w:val="18"/>
                <w:szCs w:val="18"/>
              </w:rPr>
            </w:pPr>
            <w:r w:rsidRPr="001A209B">
              <w:rPr>
                <w:rFonts w:cs="Arial"/>
                <w:color w:val="000000"/>
                <w:sz w:val="18"/>
                <w:szCs w:val="18"/>
              </w:rPr>
              <w:t xml:space="preserve">Notes </w:t>
            </w:r>
          </w:p>
        </w:tc>
        <w:tc>
          <w:tcPr>
            <w:tcW w:w="1156" w:type="dxa"/>
            <w:tcBorders>
              <w:top w:val="nil"/>
              <w:left w:val="nil"/>
              <w:bottom w:val="single" w:sz="4" w:space="0" w:color="800000"/>
              <w:right w:val="nil"/>
            </w:tcBorders>
            <w:shd w:val="clear" w:color="000000" w:fill="FFFFFF"/>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6 months </w:t>
            </w:r>
            <w:r w:rsidRPr="001A209B">
              <w:rPr>
                <w:rFonts w:cs="Arial"/>
                <w:b/>
                <w:bCs/>
                <w:color w:val="800000"/>
                <w:sz w:val="18"/>
                <w:szCs w:val="18"/>
              </w:rPr>
              <w:br/>
              <w:t xml:space="preserve">ended </w:t>
            </w:r>
            <w:r w:rsidRPr="001A209B">
              <w:rPr>
                <w:rFonts w:cs="Arial"/>
                <w:b/>
                <w:bCs/>
                <w:color w:val="800000"/>
                <w:sz w:val="18"/>
                <w:szCs w:val="18"/>
              </w:rPr>
              <w:br/>
              <w:t xml:space="preserve">31 March </w:t>
            </w:r>
            <w:r w:rsidRPr="001A209B">
              <w:rPr>
                <w:rFonts w:cs="Arial"/>
                <w:b/>
                <w:bCs/>
                <w:color w:val="800000"/>
                <w:sz w:val="18"/>
                <w:szCs w:val="18"/>
              </w:rPr>
              <w:br/>
              <w:t xml:space="preserve">2014 </w:t>
            </w:r>
          </w:p>
        </w:tc>
        <w:tc>
          <w:tcPr>
            <w:tcW w:w="1028" w:type="dxa"/>
            <w:tcBorders>
              <w:top w:val="nil"/>
              <w:left w:val="nil"/>
              <w:bottom w:val="single" w:sz="4" w:space="0" w:color="800000"/>
              <w:right w:val="nil"/>
            </w:tcBorders>
            <w:shd w:val="clear" w:color="000000" w:fill="FFFFFF"/>
            <w:vAlign w:val="bottom"/>
            <w:hideMark/>
          </w:tcPr>
          <w:p w:rsidR="00EE3BA4" w:rsidRPr="001A209B" w:rsidRDefault="00EE3BA4" w:rsidP="00EE3BA4">
            <w:pPr>
              <w:jc w:val="right"/>
              <w:rPr>
                <w:rFonts w:cs="Arial"/>
                <w:color w:val="000000"/>
                <w:sz w:val="18"/>
                <w:szCs w:val="18"/>
              </w:rPr>
            </w:pPr>
            <w:r w:rsidRPr="001A209B">
              <w:rPr>
                <w:rFonts w:cs="Arial"/>
                <w:color w:val="000000"/>
                <w:sz w:val="18"/>
                <w:szCs w:val="18"/>
              </w:rPr>
              <w:t xml:space="preserve">6 months </w:t>
            </w:r>
            <w:r w:rsidRPr="001A209B">
              <w:rPr>
                <w:rFonts w:cs="Arial"/>
                <w:color w:val="000000"/>
                <w:sz w:val="18"/>
                <w:szCs w:val="18"/>
              </w:rPr>
              <w:br/>
              <w:t xml:space="preserve">ended </w:t>
            </w:r>
            <w:r w:rsidRPr="001A209B">
              <w:rPr>
                <w:rFonts w:cs="Arial"/>
                <w:color w:val="000000"/>
                <w:sz w:val="18"/>
                <w:szCs w:val="18"/>
              </w:rPr>
              <w:br/>
              <w:t xml:space="preserve">31 March </w:t>
            </w:r>
            <w:r w:rsidRPr="001A209B">
              <w:rPr>
                <w:rFonts w:cs="Arial"/>
                <w:color w:val="000000"/>
                <w:sz w:val="18"/>
                <w:szCs w:val="18"/>
              </w:rPr>
              <w:br/>
              <w:t xml:space="preserve">2013 </w:t>
            </w:r>
          </w:p>
        </w:tc>
        <w:tc>
          <w:tcPr>
            <w:tcW w:w="1409" w:type="dxa"/>
            <w:tcBorders>
              <w:top w:val="nil"/>
              <w:left w:val="nil"/>
              <w:bottom w:val="single" w:sz="4" w:space="0" w:color="800000"/>
              <w:right w:val="nil"/>
            </w:tcBorders>
            <w:shd w:val="clear" w:color="000000" w:fill="FFFFFF"/>
            <w:vAlign w:val="bottom"/>
            <w:hideMark/>
          </w:tcPr>
          <w:p w:rsidR="00EE3BA4" w:rsidRPr="001A209B" w:rsidRDefault="00EE3BA4" w:rsidP="00EE3BA4">
            <w:pPr>
              <w:jc w:val="right"/>
              <w:rPr>
                <w:rFonts w:cs="Arial"/>
                <w:color w:val="000000"/>
                <w:sz w:val="18"/>
                <w:szCs w:val="18"/>
              </w:rPr>
            </w:pPr>
            <w:r w:rsidRPr="001A209B">
              <w:rPr>
                <w:rFonts w:cs="Arial"/>
                <w:color w:val="000000"/>
                <w:sz w:val="18"/>
                <w:szCs w:val="18"/>
              </w:rPr>
              <w:t>Year ended</w:t>
            </w:r>
            <w:r w:rsidRPr="001A209B">
              <w:rPr>
                <w:rFonts w:cs="Arial"/>
                <w:color w:val="000000"/>
                <w:sz w:val="18"/>
                <w:szCs w:val="18"/>
              </w:rPr>
              <w:br/>
              <w:t>30 September</w:t>
            </w:r>
            <w:r w:rsidRPr="001A209B">
              <w:rPr>
                <w:rFonts w:cs="Arial"/>
                <w:color w:val="000000"/>
                <w:sz w:val="18"/>
                <w:szCs w:val="18"/>
              </w:rPr>
              <w:br/>
              <w:t xml:space="preserve">2013 </w:t>
            </w:r>
          </w:p>
        </w:tc>
      </w:tr>
      <w:tr w:rsidR="00EE3BA4" w:rsidRPr="001A209B" w:rsidTr="00961E29">
        <w:trPr>
          <w:trHeight w:val="240"/>
        </w:trPr>
        <w:tc>
          <w:tcPr>
            <w:tcW w:w="4977" w:type="dxa"/>
            <w:tcBorders>
              <w:top w:val="nil"/>
              <w:left w:val="nil"/>
              <w:bottom w:val="nil"/>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Net finance costs</w:t>
            </w:r>
          </w:p>
        </w:tc>
        <w:tc>
          <w:tcPr>
            <w:tcW w:w="687"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color w:val="000000"/>
                <w:sz w:val="18"/>
                <w:szCs w:val="18"/>
              </w:rPr>
            </w:pPr>
            <w:r w:rsidRPr="001A209B">
              <w:rPr>
                <w:rFonts w:cs="Arial"/>
                <w:color w:val="000000"/>
                <w:sz w:val="18"/>
                <w:szCs w:val="18"/>
              </w:rPr>
              <w:t> </w:t>
            </w:r>
          </w:p>
        </w:tc>
        <w:tc>
          <w:tcPr>
            <w:tcW w:w="1156"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(351)</w:t>
            </w:r>
          </w:p>
        </w:tc>
        <w:tc>
          <w:tcPr>
            <w:tcW w:w="1028"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(371)</w:t>
            </w:r>
          </w:p>
        </w:tc>
        <w:tc>
          <w:tcPr>
            <w:tcW w:w="14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(739)</w:t>
            </w:r>
          </w:p>
        </w:tc>
      </w:tr>
      <w:tr w:rsidR="00EE3BA4" w:rsidRPr="001A209B" w:rsidTr="00961E29">
        <w:trPr>
          <w:trHeight w:val="343"/>
        </w:trPr>
        <w:tc>
          <w:tcPr>
            <w:tcW w:w="4977" w:type="dxa"/>
            <w:tcBorders>
              <w:top w:val="nil"/>
              <w:left w:val="nil"/>
              <w:bottom w:val="nil"/>
              <w:right w:val="nil"/>
            </w:tcBorders>
            <w:shd w:val="clear" w:color="000000" w:fill="FFFFFF"/>
            <w:hideMark/>
          </w:tcPr>
          <w:p w:rsidR="00EE3BA4" w:rsidRPr="001A209B" w:rsidRDefault="00EE3BA4" w:rsidP="00EE3BA4">
            <w:pPr>
              <w:rPr>
                <w:rFonts w:cs="Arial"/>
                <w:sz w:val="18"/>
                <w:szCs w:val="18"/>
              </w:rPr>
            </w:pPr>
            <w:r w:rsidRPr="001A209B">
              <w:rPr>
                <w:rFonts w:cs="Arial"/>
                <w:sz w:val="18"/>
                <w:szCs w:val="18"/>
              </w:rPr>
              <w:t>Net fair value and exchange losses on financial instruments providing commercial hedges</w:t>
            </w:r>
          </w:p>
        </w:tc>
        <w:tc>
          <w:tcPr>
            <w:tcW w:w="687" w:type="dxa"/>
            <w:tcBorders>
              <w:top w:val="nil"/>
              <w:left w:val="nil"/>
              <w:bottom w:val="nil"/>
              <w:right w:val="nil"/>
            </w:tcBorders>
            <w:shd w:val="clear" w:color="000000" w:fill="FFFFFF"/>
            <w:noWrap/>
            <w:hideMark/>
          </w:tcPr>
          <w:p w:rsidR="00EE3BA4" w:rsidRPr="001A209B" w:rsidRDefault="00EE3BA4" w:rsidP="00EE3BA4">
            <w:pPr>
              <w:jc w:val="right"/>
              <w:rPr>
                <w:rFonts w:cs="Arial"/>
                <w:sz w:val="18"/>
                <w:szCs w:val="18"/>
              </w:rPr>
            </w:pPr>
            <w:r w:rsidRPr="001A209B">
              <w:rPr>
                <w:rFonts w:cs="Arial"/>
                <w:sz w:val="18"/>
                <w:szCs w:val="18"/>
              </w:rPr>
              <w:t xml:space="preserve">5 </w:t>
            </w:r>
          </w:p>
        </w:tc>
        <w:tc>
          <w:tcPr>
            <w:tcW w:w="1156" w:type="dxa"/>
            <w:tcBorders>
              <w:top w:val="nil"/>
              <w:left w:val="nil"/>
              <w:bottom w:val="nil"/>
              <w:right w:val="nil"/>
            </w:tcBorders>
            <w:shd w:val="clear" w:color="000000" w:fill="C0C0C0"/>
            <w:noWrap/>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75 </w:t>
            </w:r>
          </w:p>
        </w:tc>
        <w:tc>
          <w:tcPr>
            <w:tcW w:w="1028" w:type="dxa"/>
            <w:tcBorders>
              <w:top w:val="nil"/>
              <w:left w:val="nil"/>
              <w:bottom w:val="nil"/>
              <w:right w:val="nil"/>
            </w:tcBorders>
            <w:shd w:val="clear" w:color="000000" w:fill="FFFFFF"/>
            <w:noWrap/>
            <w:hideMark/>
          </w:tcPr>
          <w:p w:rsidR="00EE3BA4" w:rsidRPr="001A209B" w:rsidRDefault="00EE3BA4" w:rsidP="00EE3BA4">
            <w:pPr>
              <w:jc w:val="right"/>
              <w:rPr>
                <w:rFonts w:cs="Arial"/>
                <w:sz w:val="18"/>
                <w:szCs w:val="18"/>
              </w:rPr>
            </w:pPr>
            <w:r w:rsidRPr="001A209B">
              <w:rPr>
                <w:rFonts w:cs="Arial"/>
                <w:sz w:val="18"/>
                <w:szCs w:val="18"/>
              </w:rPr>
              <w:t xml:space="preserve">87 </w:t>
            </w:r>
          </w:p>
        </w:tc>
        <w:tc>
          <w:tcPr>
            <w:tcW w:w="1409" w:type="dxa"/>
            <w:tcBorders>
              <w:top w:val="nil"/>
              <w:left w:val="nil"/>
              <w:bottom w:val="nil"/>
              <w:right w:val="nil"/>
            </w:tcBorders>
            <w:shd w:val="clear" w:color="000000" w:fill="FFFFFF"/>
            <w:noWrap/>
            <w:hideMark/>
          </w:tcPr>
          <w:p w:rsidR="00EE3BA4" w:rsidRPr="001A209B" w:rsidRDefault="00EE3BA4" w:rsidP="00EE3BA4">
            <w:pPr>
              <w:jc w:val="right"/>
              <w:rPr>
                <w:rFonts w:cs="Arial"/>
                <w:sz w:val="18"/>
                <w:szCs w:val="18"/>
              </w:rPr>
            </w:pPr>
            <w:r w:rsidRPr="001A209B">
              <w:rPr>
                <w:rFonts w:cs="Arial"/>
                <w:sz w:val="18"/>
                <w:szCs w:val="18"/>
              </w:rPr>
              <w:t xml:space="preserve">156 </w:t>
            </w:r>
          </w:p>
        </w:tc>
      </w:tr>
      <w:tr w:rsidR="00EE3BA4" w:rsidRPr="001A209B" w:rsidTr="00961E29">
        <w:trPr>
          <w:trHeight w:val="240"/>
        </w:trPr>
        <w:tc>
          <w:tcPr>
            <w:tcW w:w="4977"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Post-employment benefits net financing cost</w:t>
            </w:r>
          </w:p>
        </w:tc>
        <w:tc>
          <w:tcPr>
            <w:tcW w:w="687"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5 </w:t>
            </w:r>
          </w:p>
        </w:tc>
        <w:tc>
          <w:tcPr>
            <w:tcW w:w="1156"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21 </w:t>
            </w:r>
          </w:p>
        </w:tc>
        <w:tc>
          <w:tcPr>
            <w:tcW w:w="1028"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21 </w:t>
            </w:r>
          </w:p>
        </w:tc>
        <w:tc>
          <w:tcPr>
            <w:tcW w:w="14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51 </w:t>
            </w:r>
          </w:p>
        </w:tc>
      </w:tr>
      <w:tr w:rsidR="00EE3BA4" w:rsidRPr="001A209B" w:rsidTr="00961E29">
        <w:trPr>
          <w:trHeight w:val="255"/>
        </w:trPr>
        <w:tc>
          <w:tcPr>
            <w:tcW w:w="4977" w:type="dxa"/>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Adjusted net finance costs</w:t>
            </w:r>
          </w:p>
        </w:tc>
        <w:tc>
          <w:tcPr>
            <w:tcW w:w="687" w:type="dxa"/>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1156" w:type="dxa"/>
            <w:tcBorders>
              <w:top w:val="single" w:sz="4" w:space="0" w:color="800000"/>
              <w:left w:val="nil"/>
              <w:bottom w:val="single" w:sz="8"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(255)</w:t>
            </w:r>
          </w:p>
        </w:tc>
        <w:tc>
          <w:tcPr>
            <w:tcW w:w="1028" w:type="dxa"/>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(263)</w:t>
            </w:r>
          </w:p>
        </w:tc>
        <w:tc>
          <w:tcPr>
            <w:tcW w:w="1409" w:type="dxa"/>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(532)</w:t>
            </w:r>
          </w:p>
        </w:tc>
      </w:tr>
    </w:tbl>
    <w:p w:rsidR="00E2295C" w:rsidRPr="001A209B" w:rsidRDefault="00E2295C">
      <w:pPr>
        <w:rPr>
          <w:rFonts w:cs="Arial"/>
          <w:sz w:val="18"/>
          <w:szCs w:val="18"/>
        </w:rPr>
      </w:pPr>
      <w:r w:rsidRPr="001A209B">
        <w:rPr>
          <w:rFonts w:cs="Arial"/>
          <w:sz w:val="18"/>
          <w:szCs w:val="18"/>
        </w:rPr>
        <w:br w:type="page"/>
      </w:r>
    </w:p>
    <w:p w:rsidR="00E2295C" w:rsidRPr="001A209B" w:rsidRDefault="00E2295C" w:rsidP="00E2295C">
      <w:pPr>
        <w:pBdr>
          <w:top w:val="single" w:sz="24" w:space="1" w:color="A60D1F"/>
          <w:left w:val="single" w:sz="24" w:space="4" w:color="A60D1F"/>
          <w:bottom w:val="single" w:sz="24" w:space="1" w:color="A60D1F"/>
          <w:right w:val="single" w:sz="24" w:space="4" w:color="A60D1F"/>
        </w:pBdr>
        <w:spacing w:before="20" w:after="20"/>
        <w:jc w:val="center"/>
        <w:rPr>
          <w:rFonts w:cs="Arial"/>
          <w:b/>
          <w:color w:val="A60D1F"/>
          <w:sz w:val="18"/>
          <w:szCs w:val="18"/>
        </w:rPr>
      </w:pPr>
      <w:r w:rsidRPr="001A209B">
        <w:rPr>
          <w:rFonts w:cs="Arial"/>
          <w:b/>
          <w:color w:val="A60D1F"/>
          <w:sz w:val="18"/>
          <w:szCs w:val="18"/>
        </w:rPr>
        <w:t>Consolidated Balance Sheet</w:t>
      </w:r>
    </w:p>
    <w:p w:rsidR="00E2295C" w:rsidRPr="001A209B" w:rsidRDefault="00E2295C" w:rsidP="009574AE">
      <w:pPr>
        <w:spacing w:before="20" w:after="20"/>
        <w:jc w:val="both"/>
        <w:rPr>
          <w:rFonts w:cs="Arial"/>
          <w:sz w:val="18"/>
          <w:szCs w:val="18"/>
        </w:rPr>
      </w:pPr>
    </w:p>
    <w:tbl>
      <w:tblPr>
        <w:tblW w:w="9162" w:type="dxa"/>
        <w:tblInd w:w="93" w:type="dxa"/>
        <w:tblCellMar>
          <w:top w:w="28" w:type="dxa"/>
          <w:left w:w="85" w:type="dxa"/>
          <w:right w:w="85" w:type="dxa"/>
        </w:tblCellMar>
        <w:tblLook w:val="04A0" w:firstRow="1" w:lastRow="0" w:firstColumn="1" w:lastColumn="0" w:noHBand="0" w:noVBand="1"/>
      </w:tblPr>
      <w:tblGrid>
        <w:gridCol w:w="4693"/>
        <w:gridCol w:w="709"/>
        <w:gridCol w:w="1120"/>
        <w:gridCol w:w="1320"/>
        <w:gridCol w:w="1320"/>
      </w:tblGrid>
      <w:tr w:rsidR="00EE3BA4" w:rsidRPr="001A209B" w:rsidTr="00EB0B36">
        <w:trPr>
          <w:trHeight w:val="350"/>
        </w:trPr>
        <w:tc>
          <w:tcPr>
            <w:tcW w:w="4693"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million</w:t>
            </w:r>
          </w:p>
        </w:tc>
        <w:tc>
          <w:tcPr>
            <w:tcW w:w="709"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color w:val="000000"/>
                <w:sz w:val="18"/>
                <w:szCs w:val="18"/>
              </w:rPr>
            </w:pPr>
            <w:r w:rsidRPr="001A209B">
              <w:rPr>
                <w:rFonts w:cs="Arial"/>
                <w:color w:val="000000"/>
                <w:sz w:val="18"/>
                <w:szCs w:val="18"/>
              </w:rPr>
              <w:t xml:space="preserve">Notes </w:t>
            </w:r>
          </w:p>
        </w:tc>
        <w:tc>
          <w:tcPr>
            <w:tcW w:w="1120" w:type="dxa"/>
            <w:tcBorders>
              <w:top w:val="nil"/>
              <w:left w:val="nil"/>
              <w:bottom w:val="single" w:sz="4" w:space="0" w:color="800000"/>
              <w:right w:val="nil"/>
            </w:tcBorders>
            <w:shd w:val="clear" w:color="000000" w:fill="FFFFFF"/>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31 March </w:t>
            </w:r>
            <w:r w:rsidRPr="001A209B">
              <w:rPr>
                <w:rFonts w:cs="Arial"/>
                <w:b/>
                <w:bCs/>
                <w:color w:val="800000"/>
                <w:sz w:val="18"/>
                <w:szCs w:val="18"/>
              </w:rPr>
              <w:br/>
              <w:t xml:space="preserve">2014 </w:t>
            </w:r>
          </w:p>
        </w:tc>
        <w:tc>
          <w:tcPr>
            <w:tcW w:w="1320" w:type="dxa"/>
            <w:tcBorders>
              <w:top w:val="nil"/>
              <w:left w:val="nil"/>
              <w:bottom w:val="single" w:sz="4" w:space="0" w:color="800000"/>
              <w:right w:val="nil"/>
            </w:tcBorders>
            <w:shd w:val="clear" w:color="000000" w:fill="FFFFFF"/>
            <w:vAlign w:val="bottom"/>
            <w:hideMark/>
          </w:tcPr>
          <w:p w:rsidR="00EE3BA4" w:rsidRPr="001A209B" w:rsidRDefault="00EE3BA4" w:rsidP="00EE3BA4">
            <w:pPr>
              <w:jc w:val="right"/>
              <w:rPr>
                <w:rFonts w:cs="Arial"/>
                <w:color w:val="000000"/>
                <w:sz w:val="18"/>
                <w:szCs w:val="18"/>
              </w:rPr>
            </w:pPr>
            <w:r w:rsidRPr="001A209B">
              <w:rPr>
                <w:rFonts w:cs="Arial"/>
                <w:color w:val="000000"/>
                <w:sz w:val="18"/>
                <w:szCs w:val="18"/>
              </w:rPr>
              <w:t xml:space="preserve">31 March </w:t>
            </w:r>
            <w:r w:rsidRPr="001A209B">
              <w:rPr>
                <w:rFonts w:cs="Arial"/>
                <w:color w:val="000000"/>
                <w:sz w:val="18"/>
                <w:szCs w:val="18"/>
              </w:rPr>
              <w:br/>
              <w:t xml:space="preserve">2013 </w:t>
            </w:r>
          </w:p>
        </w:tc>
        <w:tc>
          <w:tcPr>
            <w:tcW w:w="1320" w:type="dxa"/>
            <w:tcBorders>
              <w:top w:val="nil"/>
              <w:left w:val="nil"/>
              <w:bottom w:val="single" w:sz="4" w:space="0" w:color="800000"/>
              <w:right w:val="nil"/>
            </w:tcBorders>
            <w:shd w:val="clear" w:color="000000" w:fill="FFFFFF"/>
            <w:vAlign w:val="bottom"/>
            <w:hideMark/>
          </w:tcPr>
          <w:p w:rsidR="00EE3BA4" w:rsidRPr="001A209B" w:rsidRDefault="00EE3BA4" w:rsidP="00EE3BA4">
            <w:pPr>
              <w:jc w:val="right"/>
              <w:rPr>
                <w:rFonts w:cs="Arial"/>
                <w:color w:val="000000"/>
                <w:sz w:val="18"/>
                <w:szCs w:val="18"/>
              </w:rPr>
            </w:pPr>
            <w:r w:rsidRPr="001A209B">
              <w:rPr>
                <w:rFonts w:cs="Arial"/>
                <w:color w:val="000000"/>
                <w:sz w:val="18"/>
                <w:szCs w:val="18"/>
              </w:rPr>
              <w:t>30 September</w:t>
            </w:r>
            <w:r w:rsidRPr="001A209B">
              <w:rPr>
                <w:rFonts w:cs="Arial"/>
                <w:color w:val="000000"/>
                <w:sz w:val="18"/>
                <w:szCs w:val="18"/>
              </w:rPr>
              <w:br/>
              <w:t xml:space="preserve">2013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Non-current assets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Intangible assets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9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16,877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18,508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17,382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Property, plant and equipment</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2,011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2,220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2,080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Investments in associates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17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17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17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Retirement benefit assets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5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5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Trade and other receivables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80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88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85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Derivative financial instruments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11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287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513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312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Deferred tax assets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w:t>
            </w:r>
          </w:p>
        </w:tc>
        <w:tc>
          <w:tcPr>
            <w:tcW w:w="1120" w:type="dxa"/>
            <w:tcBorders>
              <w:top w:val="nil"/>
              <w:left w:val="nil"/>
              <w:bottom w:val="single" w:sz="4"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191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81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153 </w:t>
            </w:r>
          </w:p>
        </w:tc>
      </w:tr>
      <w:tr w:rsidR="00EE3BA4" w:rsidRPr="001A209B" w:rsidTr="00961E29">
        <w:trPr>
          <w:trHeight w:val="240"/>
        </w:trPr>
        <w:tc>
          <w:tcPr>
            <w:tcW w:w="4693" w:type="dxa"/>
            <w:tcBorders>
              <w:top w:val="single" w:sz="4" w:space="0" w:color="800000"/>
              <w:left w:val="nil"/>
              <w:bottom w:val="single" w:sz="4" w:space="0" w:color="800000"/>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709" w:type="dxa"/>
            <w:tcBorders>
              <w:top w:val="single" w:sz="4" w:space="0" w:color="800000"/>
              <w:left w:val="nil"/>
              <w:bottom w:val="single" w:sz="4"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20" w:type="dxa"/>
            <w:tcBorders>
              <w:top w:val="nil"/>
              <w:left w:val="nil"/>
              <w:bottom w:val="single" w:sz="4"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19,468 </w:t>
            </w:r>
          </w:p>
        </w:tc>
        <w:tc>
          <w:tcPr>
            <w:tcW w:w="1320" w:type="dxa"/>
            <w:tcBorders>
              <w:top w:val="single" w:sz="4" w:space="0" w:color="800000"/>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21,427 </w:t>
            </w:r>
          </w:p>
        </w:tc>
        <w:tc>
          <w:tcPr>
            <w:tcW w:w="1320" w:type="dxa"/>
            <w:tcBorders>
              <w:top w:val="single" w:sz="4" w:space="0" w:color="800000"/>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20,034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Current assets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Inventories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4,003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3,844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3,296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Trade and other receivables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3,077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3,307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2,966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Current tax assets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61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101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72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Cash and cash equivalents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10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631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649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1,809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Derivative financial instruments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11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298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374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245 </w:t>
            </w:r>
          </w:p>
        </w:tc>
      </w:tr>
      <w:tr w:rsidR="00EE3BA4" w:rsidRPr="001A209B" w:rsidTr="00961E29">
        <w:trPr>
          <w:trHeight w:val="240"/>
        </w:trPr>
        <w:tc>
          <w:tcPr>
            <w:tcW w:w="4693" w:type="dxa"/>
            <w:tcBorders>
              <w:top w:val="single" w:sz="4" w:space="0" w:color="800000"/>
              <w:left w:val="nil"/>
              <w:bottom w:val="single" w:sz="4" w:space="0" w:color="800000"/>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709" w:type="dxa"/>
            <w:tcBorders>
              <w:top w:val="single" w:sz="4" w:space="0" w:color="800000"/>
              <w:left w:val="nil"/>
              <w:bottom w:val="single" w:sz="4"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20" w:type="dxa"/>
            <w:tcBorders>
              <w:top w:val="single" w:sz="4" w:space="0" w:color="800000"/>
              <w:left w:val="nil"/>
              <w:bottom w:val="single" w:sz="4"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8,070 </w:t>
            </w:r>
          </w:p>
        </w:tc>
        <w:tc>
          <w:tcPr>
            <w:tcW w:w="1320" w:type="dxa"/>
            <w:tcBorders>
              <w:top w:val="single" w:sz="4" w:space="0" w:color="800000"/>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8,275 </w:t>
            </w:r>
          </w:p>
        </w:tc>
        <w:tc>
          <w:tcPr>
            <w:tcW w:w="1320" w:type="dxa"/>
            <w:tcBorders>
              <w:top w:val="single" w:sz="4" w:space="0" w:color="800000"/>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8,388 </w:t>
            </w:r>
          </w:p>
        </w:tc>
      </w:tr>
      <w:tr w:rsidR="00EE3BA4" w:rsidRPr="001A209B" w:rsidTr="00961E29">
        <w:trPr>
          <w:trHeight w:val="240"/>
        </w:trPr>
        <w:tc>
          <w:tcPr>
            <w:tcW w:w="4693"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Total assets</w:t>
            </w:r>
          </w:p>
        </w:tc>
        <w:tc>
          <w:tcPr>
            <w:tcW w:w="709"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20" w:type="dxa"/>
            <w:tcBorders>
              <w:top w:val="nil"/>
              <w:left w:val="nil"/>
              <w:bottom w:val="single" w:sz="4"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27,538 </w:t>
            </w:r>
          </w:p>
        </w:tc>
        <w:tc>
          <w:tcPr>
            <w:tcW w:w="1320"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29,702 </w:t>
            </w:r>
          </w:p>
        </w:tc>
        <w:tc>
          <w:tcPr>
            <w:tcW w:w="1320"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28,422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Current liabilities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Borrowings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10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(2,300)</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(2,919)</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(3,276)</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Derivative financial instruments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11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(191)</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(294)</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(219)</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Trade and other payables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(6,732)</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(6,960)</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(7,354)</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Current tax liabilities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(158)</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(169)</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(141)</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Provisions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4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(92)</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(96)</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(92)</w:t>
            </w:r>
          </w:p>
        </w:tc>
      </w:tr>
      <w:tr w:rsidR="00EE3BA4" w:rsidRPr="001A209B" w:rsidTr="00961E29">
        <w:trPr>
          <w:trHeight w:val="240"/>
        </w:trPr>
        <w:tc>
          <w:tcPr>
            <w:tcW w:w="4693" w:type="dxa"/>
            <w:tcBorders>
              <w:top w:val="single" w:sz="4" w:space="0" w:color="800000"/>
              <w:left w:val="nil"/>
              <w:bottom w:val="single" w:sz="4" w:space="0" w:color="800000"/>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709" w:type="dxa"/>
            <w:tcBorders>
              <w:top w:val="single" w:sz="4" w:space="0" w:color="800000"/>
              <w:left w:val="nil"/>
              <w:bottom w:val="single" w:sz="4"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20" w:type="dxa"/>
            <w:tcBorders>
              <w:top w:val="single" w:sz="4" w:space="0" w:color="800000"/>
              <w:left w:val="nil"/>
              <w:bottom w:val="single" w:sz="4"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(9,473)</w:t>
            </w:r>
          </w:p>
        </w:tc>
        <w:tc>
          <w:tcPr>
            <w:tcW w:w="1320" w:type="dxa"/>
            <w:tcBorders>
              <w:top w:val="single" w:sz="4" w:space="0" w:color="800000"/>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(10,438)</w:t>
            </w:r>
          </w:p>
        </w:tc>
        <w:tc>
          <w:tcPr>
            <w:tcW w:w="1320" w:type="dxa"/>
            <w:tcBorders>
              <w:top w:val="single" w:sz="4" w:space="0" w:color="800000"/>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(11,082)</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Non-current liabilities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Borrowings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10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(9,545)</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(8,779)</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(7,858)</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Derivative financial instruments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11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(589)</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(773)</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(531)</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Trade and other payables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(22)</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(17)</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(17)</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Deferred tax liabilities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(1,866)</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(1,909)</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(1,820)</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Retirement benefit liabilities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(946)</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(1,136)</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(1,055)</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Provisions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4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(294)</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(396)</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(407)</w:t>
            </w:r>
          </w:p>
        </w:tc>
      </w:tr>
      <w:tr w:rsidR="00EE3BA4" w:rsidRPr="001A209B" w:rsidTr="00961E29">
        <w:trPr>
          <w:trHeight w:val="240"/>
        </w:trPr>
        <w:tc>
          <w:tcPr>
            <w:tcW w:w="4693" w:type="dxa"/>
            <w:tcBorders>
              <w:top w:val="single" w:sz="4" w:space="0" w:color="800000"/>
              <w:left w:val="nil"/>
              <w:bottom w:val="single" w:sz="4" w:space="0" w:color="800000"/>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709" w:type="dxa"/>
            <w:tcBorders>
              <w:top w:val="single" w:sz="4" w:space="0" w:color="800000"/>
              <w:left w:val="nil"/>
              <w:bottom w:val="single" w:sz="4"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20" w:type="dxa"/>
            <w:tcBorders>
              <w:top w:val="single" w:sz="4" w:space="0" w:color="800000"/>
              <w:left w:val="nil"/>
              <w:bottom w:val="single" w:sz="4"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(13,262)</w:t>
            </w:r>
          </w:p>
        </w:tc>
        <w:tc>
          <w:tcPr>
            <w:tcW w:w="1320" w:type="dxa"/>
            <w:tcBorders>
              <w:top w:val="single" w:sz="4" w:space="0" w:color="800000"/>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(13,010)</w:t>
            </w:r>
          </w:p>
        </w:tc>
        <w:tc>
          <w:tcPr>
            <w:tcW w:w="1320" w:type="dxa"/>
            <w:tcBorders>
              <w:top w:val="single" w:sz="4" w:space="0" w:color="800000"/>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(11,688)</w:t>
            </w:r>
          </w:p>
        </w:tc>
      </w:tr>
      <w:tr w:rsidR="00EE3BA4" w:rsidRPr="001A209B" w:rsidTr="00961E29">
        <w:trPr>
          <w:trHeight w:val="240"/>
        </w:trPr>
        <w:tc>
          <w:tcPr>
            <w:tcW w:w="4693"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Total liabilities</w:t>
            </w:r>
          </w:p>
        </w:tc>
        <w:tc>
          <w:tcPr>
            <w:tcW w:w="709"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20" w:type="dxa"/>
            <w:tcBorders>
              <w:top w:val="nil"/>
              <w:left w:val="nil"/>
              <w:bottom w:val="single" w:sz="4"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(22,735)</w:t>
            </w:r>
          </w:p>
        </w:tc>
        <w:tc>
          <w:tcPr>
            <w:tcW w:w="1320"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(23,448)</w:t>
            </w:r>
          </w:p>
        </w:tc>
        <w:tc>
          <w:tcPr>
            <w:tcW w:w="1320"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(22,770)</w:t>
            </w:r>
          </w:p>
        </w:tc>
      </w:tr>
      <w:tr w:rsidR="00EE3BA4" w:rsidRPr="001A209B" w:rsidTr="00961E29">
        <w:trPr>
          <w:trHeight w:val="255"/>
        </w:trPr>
        <w:tc>
          <w:tcPr>
            <w:tcW w:w="4693" w:type="dxa"/>
            <w:tcBorders>
              <w:top w:val="nil"/>
              <w:left w:val="nil"/>
              <w:bottom w:val="single" w:sz="8" w:space="0" w:color="800000"/>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Net assets</w:t>
            </w:r>
          </w:p>
        </w:tc>
        <w:tc>
          <w:tcPr>
            <w:tcW w:w="709" w:type="dxa"/>
            <w:tcBorders>
              <w:top w:val="nil"/>
              <w:left w:val="nil"/>
              <w:bottom w:val="single" w:sz="8" w:space="0" w:color="800000"/>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20" w:type="dxa"/>
            <w:tcBorders>
              <w:top w:val="nil"/>
              <w:left w:val="nil"/>
              <w:bottom w:val="single" w:sz="8"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4,803 </w:t>
            </w:r>
          </w:p>
        </w:tc>
        <w:tc>
          <w:tcPr>
            <w:tcW w:w="1320" w:type="dxa"/>
            <w:tcBorders>
              <w:top w:val="nil"/>
              <w:left w:val="nil"/>
              <w:bottom w:val="single" w:sz="8"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6,254 </w:t>
            </w:r>
          </w:p>
        </w:tc>
        <w:tc>
          <w:tcPr>
            <w:tcW w:w="1320" w:type="dxa"/>
            <w:tcBorders>
              <w:top w:val="nil"/>
              <w:left w:val="nil"/>
              <w:bottom w:val="single" w:sz="8"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5,652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Equity</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Share capital</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104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107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107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Share premium</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8000"/>
                <w:sz w:val="18"/>
                <w:szCs w:val="18"/>
              </w:rPr>
            </w:pPr>
            <w:r w:rsidRPr="001A209B">
              <w:rPr>
                <w:rFonts w:cs="Arial"/>
                <w:color w:val="008000"/>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5,833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5,833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5,833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sz w:val="18"/>
                <w:szCs w:val="18"/>
              </w:rPr>
            </w:pPr>
            <w:r w:rsidRPr="001A209B">
              <w:rPr>
                <w:rFonts w:cs="Arial"/>
                <w:sz w:val="18"/>
                <w:szCs w:val="18"/>
              </w:rPr>
              <w:t>Capital redemption</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8000"/>
                <w:sz w:val="18"/>
                <w:szCs w:val="18"/>
              </w:rPr>
            </w:pPr>
            <w:r w:rsidRPr="001A209B">
              <w:rPr>
                <w:rFonts w:cs="Arial"/>
                <w:color w:val="008000"/>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3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Retained earnings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8000"/>
                <w:sz w:val="18"/>
                <w:szCs w:val="18"/>
              </w:rPr>
            </w:pPr>
            <w:r w:rsidRPr="001A209B">
              <w:rPr>
                <w:rFonts w:cs="Arial"/>
                <w:color w:val="008000"/>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(1,377)</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(581)</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(791)</w:t>
            </w:r>
          </w:p>
        </w:tc>
      </w:tr>
      <w:tr w:rsidR="00EE3BA4" w:rsidRPr="001A209B" w:rsidTr="00961E29">
        <w:trPr>
          <w:trHeight w:val="240"/>
        </w:trPr>
        <w:tc>
          <w:tcPr>
            <w:tcW w:w="4693"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Exchange translation reserve</w:t>
            </w:r>
          </w:p>
        </w:tc>
        <w:tc>
          <w:tcPr>
            <w:tcW w:w="709"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rPr>
                <w:rFonts w:cs="Arial"/>
                <w:color w:val="008000"/>
                <w:sz w:val="18"/>
                <w:szCs w:val="18"/>
              </w:rPr>
            </w:pPr>
            <w:r w:rsidRPr="001A209B">
              <w:rPr>
                <w:rFonts w:cs="Arial"/>
                <w:color w:val="008000"/>
                <w:sz w:val="18"/>
                <w:szCs w:val="18"/>
              </w:rPr>
              <w:t> </w:t>
            </w:r>
          </w:p>
        </w:tc>
        <w:tc>
          <w:tcPr>
            <w:tcW w:w="1120" w:type="dxa"/>
            <w:tcBorders>
              <w:top w:val="nil"/>
              <w:left w:val="nil"/>
              <w:bottom w:val="single" w:sz="4"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186 </w:t>
            </w:r>
          </w:p>
        </w:tc>
        <w:tc>
          <w:tcPr>
            <w:tcW w:w="1320"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836 </w:t>
            </w:r>
          </w:p>
        </w:tc>
        <w:tc>
          <w:tcPr>
            <w:tcW w:w="1320" w:type="dxa"/>
            <w:tcBorders>
              <w:top w:val="nil"/>
              <w:left w:val="nil"/>
              <w:bottom w:val="single" w:sz="4"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447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Equity attributable to owners of the parent</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4,749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6,195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5,596 </w:t>
            </w:r>
          </w:p>
        </w:tc>
      </w:tr>
      <w:tr w:rsidR="00EE3BA4" w:rsidRPr="001A209B" w:rsidTr="00961E29">
        <w:trPr>
          <w:trHeight w:val="240"/>
        </w:trPr>
        <w:tc>
          <w:tcPr>
            <w:tcW w:w="4693"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Non-controlling interests</w:t>
            </w:r>
          </w:p>
        </w:tc>
        <w:tc>
          <w:tcPr>
            <w:tcW w:w="709" w:type="dxa"/>
            <w:tcBorders>
              <w:top w:val="nil"/>
              <w:left w:val="nil"/>
              <w:bottom w:val="nil"/>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1120" w:type="dxa"/>
            <w:tcBorders>
              <w:top w:val="nil"/>
              <w:left w:val="nil"/>
              <w:bottom w:val="nil"/>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54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59 </w:t>
            </w:r>
          </w:p>
        </w:tc>
        <w:tc>
          <w:tcPr>
            <w:tcW w:w="1320" w:type="dxa"/>
            <w:tcBorders>
              <w:top w:val="nil"/>
              <w:left w:val="nil"/>
              <w:bottom w:val="nil"/>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56 </w:t>
            </w:r>
          </w:p>
        </w:tc>
      </w:tr>
      <w:tr w:rsidR="00EE3BA4" w:rsidRPr="001A209B" w:rsidTr="00961E29">
        <w:trPr>
          <w:trHeight w:val="255"/>
        </w:trPr>
        <w:tc>
          <w:tcPr>
            <w:tcW w:w="4693" w:type="dxa"/>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rPr>
                <w:rFonts w:cs="Arial"/>
                <w:b/>
                <w:bCs/>
                <w:color w:val="800000"/>
                <w:sz w:val="18"/>
                <w:szCs w:val="18"/>
              </w:rPr>
            </w:pPr>
            <w:r w:rsidRPr="001A209B">
              <w:rPr>
                <w:rFonts w:cs="Arial"/>
                <w:b/>
                <w:bCs/>
                <w:color w:val="800000"/>
                <w:sz w:val="18"/>
                <w:szCs w:val="18"/>
              </w:rPr>
              <w:t>Total equity</w:t>
            </w:r>
          </w:p>
        </w:tc>
        <w:tc>
          <w:tcPr>
            <w:tcW w:w="709" w:type="dxa"/>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rPr>
                <w:rFonts w:cs="Arial"/>
                <w:color w:val="000000"/>
                <w:sz w:val="18"/>
                <w:szCs w:val="18"/>
              </w:rPr>
            </w:pPr>
            <w:r w:rsidRPr="001A209B">
              <w:rPr>
                <w:rFonts w:cs="Arial"/>
                <w:color w:val="000000"/>
                <w:sz w:val="18"/>
                <w:szCs w:val="18"/>
              </w:rPr>
              <w:t> </w:t>
            </w:r>
          </w:p>
        </w:tc>
        <w:tc>
          <w:tcPr>
            <w:tcW w:w="1120" w:type="dxa"/>
            <w:tcBorders>
              <w:top w:val="single" w:sz="4" w:space="0" w:color="800000"/>
              <w:left w:val="nil"/>
              <w:bottom w:val="single" w:sz="8" w:space="0" w:color="800000"/>
              <w:right w:val="nil"/>
            </w:tcBorders>
            <w:shd w:val="clear" w:color="000000" w:fill="C0C0C0"/>
            <w:noWrap/>
            <w:vAlign w:val="bottom"/>
            <w:hideMark/>
          </w:tcPr>
          <w:p w:rsidR="00EE3BA4" w:rsidRPr="001A209B" w:rsidRDefault="00EE3BA4" w:rsidP="00EE3BA4">
            <w:pPr>
              <w:jc w:val="right"/>
              <w:rPr>
                <w:rFonts w:cs="Arial"/>
                <w:b/>
                <w:bCs/>
                <w:color w:val="800000"/>
                <w:sz w:val="18"/>
                <w:szCs w:val="18"/>
              </w:rPr>
            </w:pPr>
            <w:r w:rsidRPr="001A209B">
              <w:rPr>
                <w:rFonts w:cs="Arial"/>
                <w:b/>
                <w:bCs/>
                <w:color w:val="800000"/>
                <w:sz w:val="18"/>
                <w:szCs w:val="18"/>
              </w:rPr>
              <w:t xml:space="preserve">4,803 </w:t>
            </w:r>
          </w:p>
        </w:tc>
        <w:tc>
          <w:tcPr>
            <w:tcW w:w="1320" w:type="dxa"/>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6,254 </w:t>
            </w:r>
          </w:p>
        </w:tc>
        <w:tc>
          <w:tcPr>
            <w:tcW w:w="1320" w:type="dxa"/>
            <w:tcBorders>
              <w:top w:val="single" w:sz="4" w:space="0" w:color="800000"/>
              <w:left w:val="nil"/>
              <w:bottom w:val="single" w:sz="8" w:space="0" w:color="800000"/>
              <w:right w:val="nil"/>
            </w:tcBorders>
            <w:shd w:val="clear" w:color="000000" w:fill="FFFFFF"/>
            <w:noWrap/>
            <w:vAlign w:val="bottom"/>
            <w:hideMark/>
          </w:tcPr>
          <w:p w:rsidR="00EE3BA4" w:rsidRPr="001A209B" w:rsidRDefault="00EE3BA4" w:rsidP="00EE3BA4">
            <w:pPr>
              <w:jc w:val="right"/>
              <w:rPr>
                <w:rFonts w:cs="Arial"/>
                <w:sz w:val="18"/>
                <w:szCs w:val="18"/>
              </w:rPr>
            </w:pPr>
            <w:r w:rsidRPr="001A209B">
              <w:rPr>
                <w:rFonts w:cs="Arial"/>
                <w:sz w:val="18"/>
                <w:szCs w:val="18"/>
              </w:rPr>
              <w:t xml:space="preserve">5,652 </w:t>
            </w:r>
          </w:p>
        </w:tc>
      </w:tr>
    </w:tbl>
    <w:p w:rsidR="00E2295C" w:rsidRPr="001A209B" w:rsidRDefault="00E2295C" w:rsidP="009574AE">
      <w:pPr>
        <w:spacing w:before="20" w:after="20"/>
        <w:jc w:val="both"/>
        <w:rPr>
          <w:rFonts w:cs="Arial"/>
          <w:sz w:val="18"/>
          <w:szCs w:val="18"/>
        </w:rPr>
      </w:pPr>
    </w:p>
    <w:p w:rsidR="00E2295C" w:rsidRPr="001A209B" w:rsidRDefault="00E2295C" w:rsidP="009574AE">
      <w:pPr>
        <w:spacing w:before="20" w:after="20"/>
        <w:jc w:val="both"/>
        <w:rPr>
          <w:rFonts w:cs="Arial"/>
          <w:sz w:val="18"/>
          <w:szCs w:val="18"/>
        </w:rPr>
      </w:pPr>
    </w:p>
    <w:p w:rsidR="00E2295C" w:rsidRPr="001A209B" w:rsidRDefault="00E2295C">
      <w:pPr>
        <w:rPr>
          <w:rFonts w:cs="Arial"/>
          <w:sz w:val="18"/>
          <w:szCs w:val="18"/>
        </w:rPr>
      </w:pPr>
      <w:r w:rsidRPr="001A209B">
        <w:rPr>
          <w:rFonts w:cs="Arial"/>
          <w:sz w:val="18"/>
          <w:szCs w:val="18"/>
        </w:rPr>
        <w:br w:type="page"/>
      </w:r>
    </w:p>
    <w:p w:rsidR="00E2295C" w:rsidRPr="001A209B" w:rsidRDefault="00392E2A" w:rsidP="00E2295C">
      <w:pPr>
        <w:pBdr>
          <w:top w:val="single" w:sz="24" w:space="1" w:color="A60D1F"/>
          <w:left w:val="single" w:sz="24" w:space="4" w:color="A60D1F"/>
          <w:bottom w:val="single" w:sz="24" w:space="1" w:color="A60D1F"/>
          <w:right w:val="single" w:sz="24" w:space="4" w:color="A60D1F"/>
        </w:pBdr>
        <w:spacing w:before="20" w:after="20"/>
        <w:jc w:val="center"/>
        <w:rPr>
          <w:rFonts w:cs="Arial"/>
          <w:b/>
          <w:color w:val="A60D1F"/>
          <w:sz w:val="18"/>
          <w:szCs w:val="18"/>
        </w:rPr>
      </w:pPr>
      <w:r w:rsidRPr="001A209B">
        <w:rPr>
          <w:rFonts w:cs="Arial"/>
          <w:b/>
          <w:color w:val="A60D1F"/>
          <w:sz w:val="18"/>
          <w:szCs w:val="18"/>
        </w:rPr>
        <w:t>Consolidated Statement of Changes in Equity</w:t>
      </w:r>
    </w:p>
    <w:p w:rsidR="00E2295C" w:rsidRPr="001A209B" w:rsidRDefault="00E2295C" w:rsidP="009574AE">
      <w:pPr>
        <w:spacing w:before="20" w:after="20"/>
        <w:jc w:val="both"/>
        <w:rPr>
          <w:rFonts w:cs="Arial"/>
          <w:sz w:val="18"/>
          <w:szCs w:val="18"/>
        </w:rPr>
      </w:pPr>
    </w:p>
    <w:tbl>
      <w:tblPr>
        <w:tblW w:w="5332" w:type="pct"/>
        <w:tblCellMar>
          <w:top w:w="57" w:type="dxa"/>
          <w:left w:w="85" w:type="dxa"/>
          <w:right w:w="85" w:type="dxa"/>
        </w:tblCellMar>
        <w:tblLook w:val="04A0" w:firstRow="1" w:lastRow="0" w:firstColumn="1" w:lastColumn="0" w:noHBand="0" w:noVBand="1"/>
      </w:tblPr>
      <w:tblGrid>
        <w:gridCol w:w="2648"/>
        <w:gridCol w:w="783"/>
        <w:gridCol w:w="1192"/>
        <w:gridCol w:w="973"/>
        <w:gridCol w:w="1131"/>
        <w:gridCol w:w="1221"/>
        <w:gridCol w:w="1141"/>
        <w:gridCol w:w="743"/>
      </w:tblGrid>
      <w:tr w:rsidR="00961E29" w:rsidRPr="001A209B" w:rsidTr="00632DB1">
        <w:trPr>
          <w:trHeight w:val="240"/>
        </w:trPr>
        <w:tc>
          <w:tcPr>
            <w:tcW w:w="1347" w:type="pct"/>
            <w:tcBorders>
              <w:top w:val="nil"/>
              <w:left w:val="nil"/>
              <w:bottom w:val="single" w:sz="4" w:space="0" w:color="800000"/>
              <w:right w:val="nil"/>
            </w:tcBorders>
            <w:shd w:val="clear" w:color="000000" w:fill="FFFFFF"/>
            <w:noWrap/>
            <w:vAlign w:val="bottom"/>
            <w:hideMark/>
          </w:tcPr>
          <w:p w:rsidR="00392E2A" w:rsidRPr="001A209B" w:rsidRDefault="00392E2A" w:rsidP="00961E29">
            <w:pPr>
              <w:rPr>
                <w:rFonts w:cs="Arial"/>
                <w:sz w:val="18"/>
                <w:szCs w:val="18"/>
              </w:rPr>
            </w:pPr>
            <w:r w:rsidRPr="001A209B">
              <w:rPr>
                <w:rFonts w:cs="Arial"/>
                <w:sz w:val="18"/>
                <w:szCs w:val="18"/>
              </w:rPr>
              <w:t>£ million</w:t>
            </w:r>
          </w:p>
        </w:tc>
        <w:tc>
          <w:tcPr>
            <w:tcW w:w="398" w:type="pct"/>
            <w:tcBorders>
              <w:top w:val="nil"/>
              <w:left w:val="nil"/>
              <w:bottom w:val="single" w:sz="4" w:space="0" w:color="800000"/>
              <w:right w:val="nil"/>
            </w:tcBorders>
            <w:shd w:val="clear" w:color="000000" w:fill="FFFFFF"/>
            <w:noWrap/>
            <w:vAlign w:val="bottom"/>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Share </w:t>
            </w:r>
          </w:p>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capital </w:t>
            </w:r>
          </w:p>
        </w:tc>
        <w:tc>
          <w:tcPr>
            <w:tcW w:w="606" w:type="pct"/>
            <w:tcBorders>
              <w:top w:val="nil"/>
              <w:left w:val="nil"/>
              <w:bottom w:val="single" w:sz="4" w:space="0" w:color="800000"/>
              <w:right w:val="nil"/>
            </w:tcBorders>
            <w:shd w:val="clear" w:color="auto" w:fill="auto"/>
            <w:noWrap/>
            <w:vAlign w:val="bottom"/>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Share</w:t>
            </w:r>
          </w:p>
          <w:p w:rsidR="00392E2A" w:rsidRPr="001A209B" w:rsidRDefault="00392E2A" w:rsidP="00961E29">
            <w:pPr>
              <w:jc w:val="right"/>
              <w:rPr>
                <w:rFonts w:cs="Arial"/>
                <w:b/>
                <w:bCs/>
                <w:color w:val="800000"/>
                <w:sz w:val="18"/>
                <w:szCs w:val="18"/>
              </w:rPr>
            </w:pPr>
            <w:r w:rsidRPr="001A209B">
              <w:rPr>
                <w:rFonts w:cs="Arial"/>
                <w:b/>
                <w:bCs/>
                <w:color w:val="800000"/>
                <w:sz w:val="18"/>
                <w:szCs w:val="18"/>
              </w:rPr>
              <w:t>premium</w:t>
            </w:r>
          </w:p>
          <w:p w:rsidR="00392E2A" w:rsidRPr="001A209B" w:rsidRDefault="00392E2A" w:rsidP="00961E29">
            <w:pPr>
              <w:jc w:val="right"/>
              <w:rPr>
                <w:rFonts w:cs="Arial"/>
                <w:b/>
                <w:bCs/>
                <w:color w:val="800000"/>
                <w:sz w:val="18"/>
                <w:szCs w:val="18"/>
              </w:rPr>
            </w:pPr>
            <w:r w:rsidRPr="001A209B">
              <w:rPr>
                <w:rFonts w:cs="Arial"/>
                <w:b/>
                <w:bCs/>
                <w:color w:val="800000"/>
                <w:sz w:val="18"/>
                <w:szCs w:val="18"/>
              </w:rPr>
              <w:t>&amp; capital</w:t>
            </w:r>
          </w:p>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redemption </w:t>
            </w:r>
          </w:p>
        </w:tc>
        <w:tc>
          <w:tcPr>
            <w:tcW w:w="495" w:type="pct"/>
            <w:tcBorders>
              <w:top w:val="nil"/>
              <w:left w:val="nil"/>
              <w:bottom w:val="single" w:sz="4" w:space="0" w:color="800000"/>
              <w:right w:val="nil"/>
            </w:tcBorders>
            <w:shd w:val="clear" w:color="000000" w:fill="FFFFFF"/>
            <w:noWrap/>
            <w:vAlign w:val="bottom"/>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Retained</w:t>
            </w:r>
          </w:p>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earnings </w:t>
            </w:r>
          </w:p>
        </w:tc>
        <w:tc>
          <w:tcPr>
            <w:tcW w:w="575" w:type="pct"/>
            <w:tcBorders>
              <w:top w:val="nil"/>
              <w:left w:val="nil"/>
              <w:bottom w:val="single" w:sz="4" w:space="0" w:color="800000"/>
              <w:right w:val="nil"/>
            </w:tcBorders>
            <w:shd w:val="clear" w:color="000000" w:fill="FFFFFF"/>
            <w:noWrap/>
            <w:vAlign w:val="bottom"/>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Exchange</w:t>
            </w:r>
          </w:p>
          <w:p w:rsidR="00392E2A" w:rsidRPr="001A209B" w:rsidRDefault="00392E2A" w:rsidP="00961E29">
            <w:pPr>
              <w:jc w:val="right"/>
              <w:rPr>
                <w:rFonts w:cs="Arial"/>
                <w:b/>
                <w:bCs/>
                <w:color w:val="800000"/>
                <w:sz w:val="18"/>
                <w:szCs w:val="18"/>
              </w:rPr>
            </w:pPr>
            <w:r w:rsidRPr="001A209B">
              <w:rPr>
                <w:rFonts w:cs="Arial"/>
                <w:b/>
                <w:bCs/>
                <w:color w:val="800000"/>
                <w:sz w:val="18"/>
                <w:szCs w:val="18"/>
              </w:rPr>
              <w:t>translation</w:t>
            </w:r>
          </w:p>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reserve </w:t>
            </w:r>
          </w:p>
        </w:tc>
        <w:tc>
          <w:tcPr>
            <w:tcW w:w="621" w:type="pct"/>
            <w:tcBorders>
              <w:top w:val="nil"/>
              <w:left w:val="nil"/>
              <w:bottom w:val="single" w:sz="4" w:space="0" w:color="800000"/>
              <w:right w:val="nil"/>
            </w:tcBorders>
            <w:shd w:val="clear" w:color="000000" w:fill="FFFFFF"/>
            <w:noWrap/>
            <w:vAlign w:val="bottom"/>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Equity</w:t>
            </w:r>
          </w:p>
          <w:p w:rsidR="00392E2A" w:rsidRPr="001A209B" w:rsidRDefault="00632DB1" w:rsidP="00961E29">
            <w:pPr>
              <w:jc w:val="right"/>
              <w:rPr>
                <w:rFonts w:cs="Arial"/>
                <w:b/>
                <w:bCs/>
                <w:color w:val="800000"/>
                <w:sz w:val="18"/>
                <w:szCs w:val="18"/>
              </w:rPr>
            </w:pPr>
            <w:r w:rsidRPr="001A209B">
              <w:rPr>
                <w:rFonts w:cs="Arial"/>
                <w:b/>
                <w:bCs/>
                <w:color w:val="800000"/>
                <w:sz w:val="18"/>
                <w:szCs w:val="18"/>
              </w:rPr>
              <w:t>a</w:t>
            </w:r>
            <w:r w:rsidR="00392E2A" w:rsidRPr="001A209B">
              <w:rPr>
                <w:rFonts w:cs="Arial"/>
                <w:b/>
                <w:bCs/>
                <w:color w:val="800000"/>
                <w:sz w:val="18"/>
                <w:szCs w:val="18"/>
              </w:rPr>
              <w:t>ttributable</w:t>
            </w:r>
          </w:p>
          <w:p w:rsidR="00392E2A" w:rsidRPr="001A209B" w:rsidRDefault="00392E2A" w:rsidP="00961E29">
            <w:pPr>
              <w:jc w:val="right"/>
              <w:rPr>
                <w:rFonts w:cs="Arial"/>
                <w:b/>
                <w:bCs/>
                <w:color w:val="800000"/>
                <w:sz w:val="18"/>
                <w:szCs w:val="18"/>
              </w:rPr>
            </w:pPr>
            <w:r w:rsidRPr="001A209B">
              <w:rPr>
                <w:rFonts w:cs="Arial"/>
                <w:b/>
                <w:bCs/>
                <w:color w:val="800000"/>
                <w:sz w:val="18"/>
                <w:szCs w:val="18"/>
              </w:rPr>
              <w:t>to owners</w:t>
            </w:r>
          </w:p>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of the </w:t>
            </w:r>
          </w:p>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parent </w:t>
            </w:r>
          </w:p>
        </w:tc>
        <w:tc>
          <w:tcPr>
            <w:tcW w:w="580" w:type="pct"/>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b/>
                <w:bCs/>
                <w:color w:val="800000"/>
                <w:sz w:val="18"/>
                <w:szCs w:val="18"/>
              </w:rPr>
            </w:pPr>
            <w:r w:rsidRPr="001A209B">
              <w:rPr>
                <w:rFonts w:cs="Arial"/>
                <w:b/>
                <w:bCs/>
                <w:color w:val="800000"/>
                <w:sz w:val="18"/>
                <w:szCs w:val="18"/>
              </w:rPr>
              <w:t>Non-</w:t>
            </w:r>
          </w:p>
          <w:p w:rsidR="00961E29" w:rsidRPr="001A209B" w:rsidRDefault="00961E29" w:rsidP="00961E29">
            <w:pPr>
              <w:jc w:val="right"/>
              <w:rPr>
                <w:rFonts w:cs="Arial"/>
                <w:b/>
                <w:bCs/>
                <w:color w:val="800000"/>
                <w:sz w:val="18"/>
                <w:szCs w:val="18"/>
              </w:rPr>
            </w:pPr>
            <w:r w:rsidRPr="001A209B">
              <w:rPr>
                <w:rFonts w:cs="Arial"/>
                <w:b/>
                <w:bCs/>
                <w:color w:val="800000"/>
                <w:sz w:val="18"/>
                <w:szCs w:val="18"/>
              </w:rPr>
              <w:t>controlling</w:t>
            </w:r>
          </w:p>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interests </w:t>
            </w:r>
          </w:p>
        </w:tc>
        <w:tc>
          <w:tcPr>
            <w:tcW w:w="378" w:type="pct"/>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b/>
                <w:bCs/>
                <w:color w:val="800000"/>
                <w:sz w:val="18"/>
                <w:szCs w:val="18"/>
              </w:rPr>
            </w:pPr>
            <w:r w:rsidRPr="001A209B">
              <w:rPr>
                <w:rFonts w:cs="Arial"/>
                <w:b/>
                <w:bCs/>
                <w:color w:val="800000"/>
                <w:sz w:val="18"/>
                <w:szCs w:val="18"/>
              </w:rPr>
              <w:t>Total</w:t>
            </w:r>
          </w:p>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equity </w:t>
            </w:r>
          </w:p>
        </w:tc>
      </w:tr>
      <w:tr w:rsidR="00961E29" w:rsidRPr="001A209B" w:rsidTr="00632DB1">
        <w:trPr>
          <w:trHeight w:val="240"/>
        </w:trPr>
        <w:tc>
          <w:tcPr>
            <w:tcW w:w="1347" w:type="pct"/>
            <w:tcBorders>
              <w:top w:val="nil"/>
              <w:left w:val="nil"/>
              <w:bottom w:val="nil"/>
              <w:right w:val="nil"/>
            </w:tcBorders>
            <w:shd w:val="clear" w:color="000000" w:fill="FFFFFF"/>
            <w:hideMark/>
          </w:tcPr>
          <w:p w:rsidR="00392E2A" w:rsidRPr="001A209B" w:rsidRDefault="00392E2A" w:rsidP="00961E29">
            <w:pPr>
              <w:rPr>
                <w:rFonts w:cs="Arial"/>
                <w:b/>
                <w:bCs/>
                <w:color w:val="800000"/>
                <w:sz w:val="18"/>
                <w:szCs w:val="18"/>
              </w:rPr>
            </w:pPr>
            <w:r w:rsidRPr="001A209B">
              <w:rPr>
                <w:rFonts w:cs="Arial"/>
                <w:b/>
                <w:bCs/>
                <w:color w:val="800000"/>
                <w:sz w:val="18"/>
                <w:szCs w:val="18"/>
              </w:rPr>
              <w:t>At 1 October 2013</w:t>
            </w:r>
          </w:p>
        </w:tc>
        <w:tc>
          <w:tcPr>
            <w:tcW w:w="398"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107 </w:t>
            </w:r>
          </w:p>
        </w:tc>
        <w:tc>
          <w:tcPr>
            <w:tcW w:w="606"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5,833 </w:t>
            </w:r>
          </w:p>
        </w:tc>
        <w:tc>
          <w:tcPr>
            <w:tcW w:w="495"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(791)</w:t>
            </w:r>
          </w:p>
        </w:tc>
        <w:tc>
          <w:tcPr>
            <w:tcW w:w="575"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447 </w:t>
            </w:r>
          </w:p>
        </w:tc>
        <w:tc>
          <w:tcPr>
            <w:tcW w:w="621"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5,596 </w:t>
            </w:r>
          </w:p>
        </w:tc>
        <w:tc>
          <w:tcPr>
            <w:tcW w:w="580"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56 </w:t>
            </w:r>
          </w:p>
        </w:tc>
        <w:tc>
          <w:tcPr>
            <w:tcW w:w="378"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5,652 </w:t>
            </w:r>
          </w:p>
        </w:tc>
      </w:tr>
      <w:tr w:rsidR="00961E29" w:rsidRPr="001A209B" w:rsidTr="00632DB1">
        <w:trPr>
          <w:trHeight w:val="240"/>
        </w:trPr>
        <w:tc>
          <w:tcPr>
            <w:tcW w:w="1347" w:type="pct"/>
            <w:tcBorders>
              <w:top w:val="single" w:sz="4" w:space="0" w:color="800000"/>
              <w:left w:val="nil"/>
              <w:bottom w:val="nil"/>
              <w:right w:val="nil"/>
            </w:tcBorders>
            <w:shd w:val="clear" w:color="000000" w:fill="FFFFFF"/>
            <w:hideMark/>
          </w:tcPr>
          <w:p w:rsidR="00392E2A" w:rsidRPr="001A209B" w:rsidRDefault="00392E2A" w:rsidP="00961E29">
            <w:pPr>
              <w:rPr>
                <w:rFonts w:cs="Arial"/>
                <w:sz w:val="18"/>
                <w:szCs w:val="18"/>
              </w:rPr>
            </w:pPr>
            <w:r w:rsidRPr="001A209B">
              <w:rPr>
                <w:rFonts w:cs="Arial"/>
                <w:sz w:val="18"/>
                <w:szCs w:val="18"/>
              </w:rPr>
              <w:t>Profit for the period</w:t>
            </w:r>
          </w:p>
        </w:tc>
        <w:tc>
          <w:tcPr>
            <w:tcW w:w="398" w:type="pct"/>
            <w:tcBorders>
              <w:top w:val="single" w:sz="4" w:space="0" w:color="800000"/>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606" w:type="pct"/>
            <w:tcBorders>
              <w:top w:val="single" w:sz="4" w:space="0" w:color="800000"/>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495" w:type="pct"/>
            <w:tcBorders>
              <w:top w:val="single" w:sz="4" w:space="0" w:color="800000"/>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366 </w:t>
            </w:r>
          </w:p>
        </w:tc>
        <w:tc>
          <w:tcPr>
            <w:tcW w:w="575" w:type="pct"/>
            <w:tcBorders>
              <w:top w:val="single" w:sz="4" w:space="0" w:color="800000"/>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621" w:type="pct"/>
            <w:tcBorders>
              <w:top w:val="single" w:sz="4" w:space="0" w:color="800000"/>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366 </w:t>
            </w:r>
          </w:p>
        </w:tc>
        <w:tc>
          <w:tcPr>
            <w:tcW w:w="580" w:type="pct"/>
            <w:tcBorders>
              <w:top w:val="single" w:sz="4" w:space="0" w:color="800000"/>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11 </w:t>
            </w:r>
          </w:p>
        </w:tc>
        <w:tc>
          <w:tcPr>
            <w:tcW w:w="378" w:type="pct"/>
            <w:tcBorders>
              <w:top w:val="single" w:sz="4" w:space="0" w:color="800000"/>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377 </w:t>
            </w:r>
          </w:p>
        </w:tc>
      </w:tr>
      <w:tr w:rsidR="00961E29" w:rsidRPr="001A209B" w:rsidTr="00632DB1">
        <w:trPr>
          <w:trHeight w:val="240"/>
        </w:trPr>
        <w:tc>
          <w:tcPr>
            <w:tcW w:w="1347" w:type="pct"/>
            <w:tcBorders>
              <w:top w:val="nil"/>
              <w:left w:val="nil"/>
              <w:bottom w:val="single" w:sz="4" w:space="0" w:color="800000"/>
              <w:right w:val="nil"/>
            </w:tcBorders>
            <w:shd w:val="clear" w:color="auto" w:fill="auto"/>
            <w:hideMark/>
          </w:tcPr>
          <w:p w:rsidR="00392E2A" w:rsidRPr="001A209B" w:rsidRDefault="00392E2A" w:rsidP="00961E29">
            <w:pPr>
              <w:rPr>
                <w:rFonts w:cs="Arial"/>
                <w:sz w:val="18"/>
                <w:szCs w:val="18"/>
              </w:rPr>
            </w:pPr>
            <w:r w:rsidRPr="001A209B">
              <w:rPr>
                <w:rFonts w:cs="Arial"/>
                <w:sz w:val="18"/>
                <w:szCs w:val="18"/>
              </w:rPr>
              <w:t>Other comprehensive income</w:t>
            </w:r>
          </w:p>
        </w:tc>
        <w:tc>
          <w:tcPr>
            <w:tcW w:w="398" w:type="pct"/>
            <w:tcBorders>
              <w:top w:val="nil"/>
              <w:left w:val="nil"/>
              <w:bottom w:val="single" w:sz="4" w:space="0" w:color="800000"/>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606" w:type="pct"/>
            <w:tcBorders>
              <w:top w:val="nil"/>
              <w:left w:val="nil"/>
              <w:bottom w:val="single" w:sz="4" w:space="0" w:color="800000"/>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495" w:type="pct"/>
            <w:tcBorders>
              <w:top w:val="nil"/>
              <w:left w:val="nil"/>
              <w:bottom w:val="single" w:sz="4" w:space="0" w:color="800000"/>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56 </w:t>
            </w:r>
          </w:p>
        </w:tc>
        <w:tc>
          <w:tcPr>
            <w:tcW w:w="575" w:type="pct"/>
            <w:tcBorders>
              <w:top w:val="nil"/>
              <w:left w:val="nil"/>
              <w:bottom w:val="single" w:sz="4" w:space="0" w:color="800000"/>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(261)</w:t>
            </w:r>
          </w:p>
        </w:tc>
        <w:tc>
          <w:tcPr>
            <w:tcW w:w="621" w:type="pct"/>
            <w:tcBorders>
              <w:top w:val="nil"/>
              <w:left w:val="nil"/>
              <w:bottom w:val="single" w:sz="4" w:space="0" w:color="800000"/>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(205)</w:t>
            </w:r>
          </w:p>
        </w:tc>
        <w:tc>
          <w:tcPr>
            <w:tcW w:w="580" w:type="pct"/>
            <w:tcBorders>
              <w:top w:val="nil"/>
              <w:left w:val="nil"/>
              <w:bottom w:val="single" w:sz="4" w:space="0" w:color="800000"/>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(1)</w:t>
            </w:r>
          </w:p>
        </w:tc>
        <w:tc>
          <w:tcPr>
            <w:tcW w:w="378" w:type="pct"/>
            <w:tcBorders>
              <w:top w:val="nil"/>
              <w:left w:val="nil"/>
              <w:bottom w:val="single" w:sz="4" w:space="0" w:color="800000"/>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(206)</w:t>
            </w:r>
          </w:p>
        </w:tc>
      </w:tr>
      <w:tr w:rsidR="00961E29" w:rsidRPr="001A209B" w:rsidTr="00632DB1">
        <w:trPr>
          <w:trHeight w:val="240"/>
        </w:trPr>
        <w:tc>
          <w:tcPr>
            <w:tcW w:w="1347" w:type="pct"/>
            <w:tcBorders>
              <w:top w:val="nil"/>
              <w:left w:val="nil"/>
              <w:bottom w:val="nil"/>
              <w:right w:val="nil"/>
            </w:tcBorders>
            <w:shd w:val="clear" w:color="000000" w:fill="FFFFFF"/>
            <w:hideMark/>
          </w:tcPr>
          <w:p w:rsidR="00392E2A" w:rsidRPr="001A209B" w:rsidRDefault="00392E2A" w:rsidP="00961E29">
            <w:pPr>
              <w:rPr>
                <w:rFonts w:cs="Arial"/>
                <w:b/>
                <w:bCs/>
                <w:color w:val="800000"/>
                <w:sz w:val="18"/>
                <w:szCs w:val="18"/>
              </w:rPr>
            </w:pPr>
            <w:r w:rsidRPr="001A209B">
              <w:rPr>
                <w:rFonts w:cs="Arial"/>
                <w:b/>
                <w:bCs/>
                <w:color w:val="800000"/>
                <w:sz w:val="18"/>
                <w:szCs w:val="18"/>
              </w:rPr>
              <w:t>Total comprehensive income</w:t>
            </w:r>
          </w:p>
        </w:tc>
        <w:tc>
          <w:tcPr>
            <w:tcW w:w="398"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606"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495"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422 </w:t>
            </w:r>
          </w:p>
        </w:tc>
        <w:tc>
          <w:tcPr>
            <w:tcW w:w="575"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(261)</w:t>
            </w:r>
          </w:p>
        </w:tc>
        <w:tc>
          <w:tcPr>
            <w:tcW w:w="621"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161 </w:t>
            </w:r>
          </w:p>
        </w:tc>
        <w:tc>
          <w:tcPr>
            <w:tcW w:w="580"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10 </w:t>
            </w:r>
          </w:p>
        </w:tc>
        <w:tc>
          <w:tcPr>
            <w:tcW w:w="378"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171 </w:t>
            </w:r>
          </w:p>
        </w:tc>
      </w:tr>
      <w:tr w:rsidR="00961E29" w:rsidRPr="001A209B" w:rsidTr="00632DB1">
        <w:trPr>
          <w:trHeight w:val="240"/>
        </w:trPr>
        <w:tc>
          <w:tcPr>
            <w:tcW w:w="1347" w:type="pct"/>
            <w:tcBorders>
              <w:top w:val="nil"/>
              <w:left w:val="nil"/>
              <w:bottom w:val="nil"/>
              <w:right w:val="nil"/>
            </w:tcBorders>
            <w:shd w:val="clear" w:color="000000" w:fill="FFFFFF"/>
            <w:hideMark/>
          </w:tcPr>
          <w:p w:rsidR="00392E2A" w:rsidRPr="001A209B" w:rsidRDefault="00392E2A" w:rsidP="00961E29">
            <w:pPr>
              <w:rPr>
                <w:rFonts w:cs="Arial"/>
                <w:b/>
                <w:bCs/>
                <w:color w:val="800000"/>
                <w:sz w:val="18"/>
                <w:szCs w:val="18"/>
              </w:rPr>
            </w:pPr>
            <w:r w:rsidRPr="001A209B">
              <w:rPr>
                <w:rFonts w:cs="Arial"/>
                <w:b/>
                <w:bCs/>
                <w:color w:val="800000"/>
                <w:sz w:val="18"/>
                <w:szCs w:val="18"/>
              </w:rPr>
              <w:t>Transactions with owners</w:t>
            </w:r>
          </w:p>
        </w:tc>
        <w:tc>
          <w:tcPr>
            <w:tcW w:w="398"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w:t>
            </w:r>
          </w:p>
        </w:tc>
        <w:tc>
          <w:tcPr>
            <w:tcW w:w="606"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w:t>
            </w:r>
          </w:p>
        </w:tc>
        <w:tc>
          <w:tcPr>
            <w:tcW w:w="495"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w:t>
            </w:r>
          </w:p>
        </w:tc>
        <w:tc>
          <w:tcPr>
            <w:tcW w:w="575"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w:t>
            </w:r>
          </w:p>
        </w:tc>
        <w:tc>
          <w:tcPr>
            <w:tcW w:w="621"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w:t>
            </w:r>
          </w:p>
        </w:tc>
        <w:tc>
          <w:tcPr>
            <w:tcW w:w="580"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w:t>
            </w:r>
          </w:p>
        </w:tc>
        <w:tc>
          <w:tcPr>
            <w:tcW w:w="378"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w:t>
            </w:r>
          </w:p>
        </w:tc>
      </w:tr>
      <w:tr w:rsidR="00961E29" w:rsidRPr="001A209B" w:rsidTr="00632DB1">
        <w:trPr>
          <w:trHeight w:val="240"/>
        </w:trPr>
        <w:tc>
          <w:tcPr>
            <w:tcW w:w="1347" w:type="pct"/>
            <w:tcBorders>
              <w:top w:val="nil"/>
              <w:left w:val="nil"/>
              <w:bottom w:val="nil"/>
              <w:right w:val="nil"/>
            </w:tcBorders>
            <w:shd w:val="clear" w:color="000000" w:fill="FFFFFF"/>
            <w:hideMark/>
          </w:tcPr>
          <w:p w:rsidR="00392E2A" w:rsidRPr="001A209B" w:rsidRDefault="00392E2A" w:rsidP="00961E29">
            <w:pPr>
              <w:rPr>
                <w:rFonts w:cs="Arial"/>
                <w:sz w:val="18"/>
                <w:szCs w:val="18"/>
              </w:rPr>
            </w:pPr>
            <w:r w:rsidRPr="001A209B">
              <w:rPr>
                <w:rFonts w:cs="Arial"/>
                <w:sz w:val="18"/>
                <w:szCs w:val="18"/>
              </w:rPr>
              <w:t>Cash from employees on maturity/exercise of share schemes</w:t>
            </w:r>
          </w:p>
        </w:tc>
        <w:tc>
          <w:tcPr>
            <w:tcW w:w="398"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606"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495"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1 </w:t>
            </w:r>
          </w:p>
        </w:tc>
        <w:tc>
          <w:tcPr>
            <w:tcW w:w="575"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621"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1 </w:t>
            </w:r>
          </w:p>
        </w:tc>
        <w:tc>
          <w:tcPr>
            <w:tcW w:w="580"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378"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1 </w:t>
            </w:r>
          </w:p>
        </w:tc>
      </w:tr>
      <w:tr w:rsidR="00632DB1" w:rsidRPr="001A209B" w:rsidTr="00632DB1">
        <w:trPr>
          <w:trHeight w:val="240"/>
        </w:trPr>
        <w:tc>
          <w:tcPr>
            <w:tcW w:w="1347" w:type="pct"/>
            <w:tcBorders>
              <w:top w:val="nil"/>
              <w:left w:val="nil"/>
              <w:bottom w:val="nil"/>
              <w:right w:val="nil"/>
            </w:tcBorders>
            <w:shd w:val="clear" w:color="000000" w:fill="FFFFFF"/>
          </w:tcPr>
          <w:p w:rsidR="00632DB1" w:rsidRPr="001A209B" w:rsidRDefault="00632DB1" w:rsidP="001C1924">
            <w:pPr>
              <w:rPr>
                <w:rFonts w:cs="Arial"/>
                <w:sz w:val="18"/>
                <w:szCs w:val="18"/>
              </w:rPr>
            </w:pPr>
            <w:r w:rsidRPr="001A209B">
              <w:rPr>
                <w:rFonts w:cs="Arial"/>
                <w:sz w:val="18"/>
                <w:szCs w:val="18"/>
              </w:rPr>
              <w:t>Costs of employees' services compensated by share schemes</w:t>
            </w:r>
          </w:p>
        </w:tc>
        <w:tc>
          <w:tcPr>
            <w:tcW w:w="398" w:type="pct"/>
            <w:tcBorders>
              <w:top w:val="nil"/>
              <w:left w:val="nil"/>
              <w:bottom w:val="nil"/>
              <w:right w:val="nil"/>
            </w:tcBorders>
            <w:shd w:val="clear" w:color="000000" w:fill="C0C0C0"/>
            <w:noWrap/>
          </w:tcPr>
          <w:p w:rsidR="00632DB1" w:rsidRPr="001A209B" w:rsidRDefault="00632DB1" w:rsidP="001C1924">
            <w:pPr>
              <w:jc w:val="right"/>
              <w:rPr>
                <w:rFonts w:cs="Arial"/>
                <w:b/>
                <w:bCs/>
                <w:color w:val="800000"/>
                <w:sz w:val="18"/>
                <w:szCs w:val="18"/>
              </w:rPr>
            </w:pPr>
            <w:r w:rsidRPr="001A209B">
              <w:rPr>
                <w:rFonts w:cs="Arial"/>
                <w:b/>
                <w:bCs/>
                <w:color w:val="800000"/>
                <w:sz w:val="18"/>
                <w:szCs w:val="18"/>
              </w:rPr>
              <w:t xml:space="preserve">- </w:t>
            </w:r>
          </w:p>
        </w:tc>
        <w:tc>
          <w:tcPr>
            <w:tcW w:w="606" w:type="pct"/>
            <w:tcBorders>
              <w:top w:val="nil"/>
              <w:left w:val="nil"/>
              <w:bottom w:val="nil"/>
              <w:right w:val="nil"/>
            </w:tcBorders>
            <w:shd w:val="clear" w:color="000000" w:fill="C0C0C0"/>
            <w:noWrap/>
          </w:tcPr>
          <w:p w:rsidR="00632DB1" w:rsidRPr="001A209B" w:rsidRDefault="00632DB1" w:rsidP="001C1924">
            <w:pPr>
              <w:jc w:val="right"/>
              <w:rPr>
                <w:rFonts w:cs="Arial"/>
                <w:b/>
                <w:bCs/>
                <w:color w:val="800000"/>
                <w:sz w:val="18"/>
                <w:szCs w:val="18"/>
              </w:rPr>
            </w:pPr>
            <w:r w:rsidRPr="001A209B">
              <w:rPr>
                <w:rFonts w:cs="Arial"/>
                <w:b/>
                <w:bCs/>
                <w:color w:val="800000"/>
                <w:sz w:val="18"/>
                <w:szCs w:val="18"/>
              </w:rPr>
              <w:t xml:space="preserve">- </w:t>
            </w:r>
          </w:p>
        </w:tc>
        <w:tc>
          <w:tcPr>
            <w:tcW w:w="495" w:type="pct"/>
            <w:tcBorders>
              <w:top w:val="nil"/>
              <w:left w:val="nil"/>
              <w:bottom w:val="nil"/>
              <w:right w:val="nil"/>
            </w:tcBorders>
            <w:shd w:val="clear" w:color="000000" w:fill="C0C0C0"/>
            <w:noWrap/>
          </w:tcPr>
          <w:p w:rsidR="00632DB1" w:rsidRPr="001A209B" w:rsidRDefault="00632DB1" w:rsidP="001C1924">
            <w:pPr>
              <w:jc w:val="right"/>
              <w:rPr>
                <w:rFonts w:cs="Arial"/>
                <w:b/>
                <w:bCs/>
                <w:color w:val="800000"/>
                <w:sz w:val="18"/>
                <w:szCs w:val="18"/>
              </w:rPr>
            </w:pPr>
            <w:r w:rsidRPr="001A209B">
              <w:rPr>
                <w:rFonts w:cs="Arial"/>
                <w:b/>
                <w:bCs/>
                <w:color w:val="800000"/>
                <w:sz w:val="18"/>
                <w:szCs w:val="18"/>
              </w:rPr>
              <w:t xml:space="preserve">9 </w:t>
            </w:r>
          </w:p>
        </w:tc>
        <w:tc>
          <w:tcPr>
            <w:tcW w:w="575" w:type="pct"/>
            <w:tcBorders>
              <w:top w:val="nil"/>
              <w:left w:val="nil"/>
              <w:bottom w:val="nil"/>
              <w:right w:val="nil"/>
            </w:tcBorders>
            <w:shd w:val="clear" w:color="000000" w:fill="C0C0C0"/>
            <w:noWrap/>
          </w:tcPr>
          <w:p w:rsidR="00632DB1" w:rsidRPr="001A209B" w:rsidRDefault="00632DB1" w:rsidP="001C1924">
            <w:pPr>
              <w:jc w:val="right"/>
              <w:rPr>
                <w:rFonts w:cs="Arial"/>
                <w:b/>
                <w:bCs/>
                <w:color w:val="800000"/>
                <w:sz w:val="18"/>
                <w:szCs w:val="18"/>
              </w:rPr>
            </w:pPr>
            <w:r w:rsidRPr="001A209B">
              <w:rPr>
                <w:rFonts w:cs="Arial"/>
                <w:b/>
                <w:bCs/>
                <w:color w:val="800000"/>
                <w:sz w:val="18"/>
                <w:szCs w:val="18"/>
              </w:rPr>
              <w:t xml:space="preserve">- </w:t>
            </w:r>
          </w:p>
        </w:tc>
        <w:tc>
          <w:tcPr>
            <w:tcW w:w="621" w:type="pct"/>
            <w:tcBorders>
              <w:top w:val="nil"/>
              <w:left w:val="nil"/>
              <w:bottom w:val="nil"/>
              <w:right w:val="nil"/>
            </w:tcBorders>
            <w:shd w:val="clear" w:color="000000" w:fill="C0C0C0"/>
            <w:noWrap/>
          </w:tcPr>
          <w:p w:rsidR="00632DB1" w:rsidRPr="001A209B" w:rsidRDefault="00632DB1" w:rsidP="001C1924">
            <w:pPr>
              <w:jc w:val="right"/>
              <w:rPr>
                <w:rFonts w:cs="Arial"/>
                <w:b/>
                <w:bCs/>
                <w:color w:val="800000"/>
                <w:sz w:val="18"/>
                <w:szCs w:val="18"/>
              </w:rPr>
            </w:pPr>
            <w:r w:rsidRPr="001A209B">
              <w:rPr>
                <w:rFonts w:cs="Arial"/>
                <w:b/>
                <w:bCs/>
                <w:color w:val="800000"/>
                <w:sz w:val="18"/>
                <w:szCs w:val="18"/>
              </w:rPr>
              <w:t xml:space="preserve">9 </w:t>
            </w:r>
          </w:p>
        </w:tc>
        <w:tc>
          <w:tcPr>
            <w:tcW w:w="580" w:type="pct"/>
            <w:tcBorders>
              <w:top w:val="nil"/>
              <w:left w:val="nil"/>
              <w:bottom w:val="nil"/>
              <w:right w:val="nil"/>
            </w:tcBorders>
            <w:shd w:val="clear" w:color="000000" w:fill="C0C0C0"/>
            <w:noWrap/>
          </w:tcPr>
          <w:p w:rsidR="00632DB1" w:rsidRPr="001A209B" w:rsidRDefault="00632DB1" w:rsidP="001C1924">
            <w:pPr>
              <w:jc w:val="right"/>
              <w:rPr>
                <w:rFonts w:cs="Arial"/>
                <w:b/>
                <w:bCs/>
                <w:color w:val="800000"/>
                <w:sz w:val="18"/>
                <w:szCs w:val="18"/>
              </w:rPr>
            </w:pPr>
            <w:r w:rsidRPr="001A209B">
              <w:rPr>
                <w:rFonts w:cs="Arial"/>
                <w:b/>
                <w:bCs/>
                <w:color w:val="800000"/>
                <w:sz w:val="18"/>
                <w:szCs w:val="18"/>
              </w:rPr>
              <w:t xml:space="preserve">- </w:t>
            </w:r>
          </w:p>
        </w:tc>
        <w:tc>
          <w:tcPr>
            <w:tcW w:w="378" w:type="pct"/>
            <w:tcBorders>
              <w:top w:val="nil"/>
              <w:left w:val="nil"/>
              <w:bottom w:val="nil"/>
              <w:right w:val="nil"/>
            </w:tcBorders>
            <w:shd w:val="clear" w:color="000000" w:fill="C0C0C0"/>
            <w:noWrap/>
          </w:tcPr>
          <w:p w:rsidR="00632DB1" w:rsidRPr="001A209B" w:rsidRDefault="00632DB1" w:rsidP="001C1924">
            <w:pPr>
              <w:jc w:val="right"/>
              <w:rPr>
                <w:rFonts w:cs="Arial"/>
                <w:b/>
                <w:bCs/>
                <w:color w:val="800000"/>
                <w:sz w:val="18"/>
                <w:szCs w:val="18"/>
              </w:rPr>
            </w:pPr>
            <w:r w:rsidRPr="001A209B">
              <w:rPr>
                <w:rFonts w:cs="Arial"/>
                <w:b/>
                <w:bCs/>
                <w:color w:val="800000"/>
                <w:sz w:val="18"/>
                <w:szCs w:val="18"/>
              </w:rPr>
              <w:t xml:space="preserve">9 </w:t>
            </w:r>
          </w:p>
        </w:tc>
      </w:tr>
      <w:tr w:rsidR="00961E29" w:rsidRPr="001A209B" w:rsidTr="00632DB1">
        <w:trPr>
          <w:trHeight w:val="240"/>
        </w:trPr>
        <w:tc>
          <w:tcPr>
            <w:tcW w:w="1347" w:type="pct"/>
            <w:tcBorders>
              <w:top w:val="nil"/>
              <w:left w:val="nil"/>
              <w:bottom w:val="nil"/>
              <w:right w:val="nil"/>
            </w:tcBorders>
            <w:shd w:val="clear" w:color="000000" w:fill="FFFFFF"/>
            <w:hideMark/>
          </w:tcPr>
          <w:p w:rsidR="00392E2A" w:rsidRPr="001A209B" w:rsidRDefault="00392E2A" w:rsidP="00961E29">
            <w:pPr>
              <w:rPr>
                <w:rFonts w:cs="Arial"/>
                <w:sz w:val="18"/>
                <w:szCs w:val="18"/>
              </w:rPr>
            </w:pPr>
            <w:r w:rsidRPr="001A209B">
              <w:rPr>
                <w:rFonts w:cs="Arial"/>
                <w:sz w:val="18"/>
                <w:szCs w:val="18"/>
              </w:rPr>
              <w:t>Purchase of shares by Employee Share Ownership Trusts</w:t>
            </w:r>
          </w:p>
        </w:tc>
        <w:tc>
          <w:tcPr>
            <w:tcW w:w="398"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606"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495"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(2)</w:t>
            </w:r>
          </w:p>
        </w:tc>
        <w:tc>
          <w:tcPr>
            <w:tcW w:w="575"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621"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(2)</w:t>
            </w:r>
          </w:p>
        </w:tc>
        <w:tc>
          <w:tcPr>
            <w:tcW w:w="580"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378"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(2)</w:t>
            </w:r>
          </w:p>
        </w:tc>
      </w:tr>
      <w:tr w:rsidR="00961E29" w:rsidRPr="001A209B" w:rsidTr="00632DB1">
        <w:trPr>
          <w:trHeight w:val="240"/>
        </w:trPr>
        <w:tc>
          <w:tcPr>
            <w:tcW w:w="1347" w:type="pct"/>
            <w:tcBorders>
              <w:top w:val="nil"/>
              <w:left w:val="nil"/>
              <w:bottom w:val="nil"/>
              <w:right w:val="nil"/>
            </w:tcBorders>
            <w:shd w:val="clear" w:color="000000" w:fill="FFFFFF"/>
            <w:hideMark/>
          </w:tcPr>
          <w:p w:rsidR="00392E2A" w:rsidRPr="001A209B" w:rsidRDefault="00392E2A" w:rsidP="00961E29">
            <w:pPr>
              <w:rPr>
                <w:rFonts w:cs="Arial"/>
                <w:sz w:val="18"/>
                <w:szCs w:val="18"/>
              </w:rPr>
            </w:pPr>
            <w:r w:rsidRPr="001A209B">
              <w:rPr>
                <w:rFonts w:cs="Arial"/>
                <w:sz w:val="18"/>
                <w:szCs w:val="18"/>
              </w:rPr>
              <w:t xml:space="preserve">Increase in own shares held as treasury shares </w:t>
            </w:r>
          </w:p>
        </w:tc>
        <w:tc>
          <w:tcPr>
            <w:tcW w:w="398"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606"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495"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(237)</w:t>
            </w:r>
          </w:p>
        </w:tc>
        <w:tc>
          <w:tcPr>
            <w:tcW w:w="575"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621"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(237)</w:t>
            </w:r>
          </w:p>
        </w:tc>
        <w:tc>
          <w:tcPr>
            <w:tcW w:w="580"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378"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(237)</w:t>
            </w:r>
          </w:p>
        </w:tc>
      </w:tr>
      <w:tr w:rsidR="00961E29" w:rsidRPr="001A209B" w:rsidTr="00632DB1">
        <w:trPr>
          <w:trHeight w:val="240"/>
        </w:trPr>
        <w:tc>
          <w:tcPr>
            <w:tcW w:w="1347" w:type="pct"/>
            <w:tcBorders>
              <w:top w:val="nil"/>
              <w:left w:val="nil"/>
              <w:bottom w:val="nil"/>
              <w:right w:val="nil"/>
            </w:tcBorders>
            <w:shd w:val="clear" w:color="000000" w:fill="FFFFFF"/>
            <w:hideMark/>
          </w:tcPr>
          <w:p w:rsidR="00392E2A" w:rsidRPr="001A209B" w:rsidRDefault="00392E2A" w:rsidP="00961E29">
            <w:pPr>
              <w:rPr>
                <w:rFonts w:cs="Arial"/>
                <w:sz w:val="18"/>
                <w:szCs w:val="18"/>
              </w:rPr>
            </w:pPr>
            <w:r w:rsidRPr="001A209B">
              <w:rPr>
                <w:rFonts w:cs="Arial"/>
                <w:sz w:val="18"/>
                <w:szCs w:val="18"/>
              </w:rPr>
              <w:t>Cancellation of own shares held as treasury shares</w:t>
            </w:r>
          </w:p>
        </w:tc>
        <w:tc>
          <w:tcPr>
            <w:tcW w:w="398"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(3)</w:t>
            </w:r>
          </w:p>
        </w:tc>
        <w:tc>
          <w:tcPr>
            <w:tcW w:w="606"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3 </w:t>
            </w:r>
          </w:p>
        </w:tc>
        <w:tc>
          <w:tcPr>
            <w:tcW w:w="495"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575"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621"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580"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378"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r>
      <w:tr w:rsidR="00961E29" w:rsidRPr="001A209B" w:rsidTr="00632DB1">
        <w:trPr>
          <w:trHeight w:val="240"/>
        </w:trPr>
        <w:tc>
          <w:tcPr>
            <w:tcW w:w="1347" w:type="pct"/>
            <w:tcBorders>
              <w:top w:val="nil"/>
              <w:left w:val="nil"/>
              <w:bottom w:val="nil"/>
              <w:right w:val="nil"/>
            </w:tcBorders>
            <w:shd w:val="clear" w:color="000000" w:fill="FFFFFF"/>
            <w:hideMark/>
          </w:tcPr>
          <w:p w:rsidR="00392E2A" w:rsidRPr="001A209B" w:rsidRDefault="00392E2A" w:rsidP="00961E29">
            <w:pPr>
              <w:rPr>
                <w:rFonts w:cs="Arial"/>
                <w:sz w:val="18"/>
                <w:szCs w:val="18"/>
              </w:rPr>
            </w:pPr>
            <w:r w:rsidRPr="001A209B">
              <w:rPr>
                <w:rFonts w:cs="Arial"/>
                <w:sz w:val="18"/>
                <w:szCs w:val="18"/>
              </w:rPr>
              <w:t>Dividends paid</w:t>
            </w:r>
          </w:p>
        </w:tc>
        <w:tc>
          <w:tcPr>
            <w:tcW w:w="398"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606"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495"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(779)</w:t>
            </w:r>
          </w:p>
        </w:tc>
        <w:tc>
          <w:tcPr>
            <w:tcW w:w="575"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 </w:t>
            </w:r>
          </w:p>
        </w:tc>
        <w:tc>
          <w:tcPr>
            <w:tcW w:w="621"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(779)</w:t>
            </w:r>
          </w:p>
        </w:tc>
        <w:tc>
          <w:tcPr>
            <w:tcW w:w="580"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(12)</w:t>
            </w:r>
          </w:p>
        </w:tc>
        <w:tc>
          <w:tcPr>
            <w:tcW w:w="378" w:type="pct"/>
            <w:tcBorders>
              <w:top w:val="nil"/>
              <w:left w:val="nil"/>
              <w:bottom w:val="nil"/>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(791)</w:t>
            </w:r>
          </w:p>
        </w:tc>
      </w:tr>
      <w:tr w:rsidR="00961E29" w:rsidRPr="001A209B" w:rsidTr="00632DB1">
        <w:trPr>
          <w:trHeight w:val="255"/>
        </w:trPr>
        <w:tc>
          <w:tcPr>
            <w:tcW w:w="1347" w:type="pct"/>
            <w:tcBorders>
              <w:top w:val="single" w:sz="4" w:space="0" w:color="800000"/>
              <w:left w:val="nil"/>
              <w:bottom w:val="single" w:sz="8" w:space="0" w:color="800000"/>
              <w:right w:val="nil"/>
            </w:tcBorders>
            <w:shd w:val="clear" w:color="000000" w:fill="FFFFFF"/>
            <w:hideMark/>
          </w:tcPr>
          <w:p w:rsidR="00392E2A" w:rsidRPr="001A209B" w:rsidRDefault="00392E2A" w:rsidP="00961E29">
            <w:pPr>
              <w:rPr>
                <w:rFonts w:cs="Arial"/>
                <w:b/>
                <w:bCs/>
                <w:color w:val="800000"/>
                <w:sz w:val="18"/>
                <w:szCs w:val="18"/>
              </w:rPr>
            </w:pPr>
            <w:r w:rsidRPr="001A209B">
              <w:rPr>
                <w:rFonts w:cs="Arial"/>
                <w:b/>
                <w:bCs/>
                <w:color w:val="800000"/>
                <w:sz w:val="18"/>
                <w:szCs w:val="18"/>
              </w:rPr>
              <w:t>At 31 March 2014</w:t>
            </w:r>
          </w:p>
        </w:tc>
        <w:tc>
          <w:tcPr>
            <w:tcW w:w="398" w:type="pct"/>
            <w:tcBorders>
              <w:top w:val="single" w:sz="4" w:space="0" w:color="800000"/>
              <w:left w:val="nil"/>
              <w:bottom w:val="single" w:sz="8" w:space="0" w:color="800000"/>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104 </w:t>
            </w:r>
          </w:p>
        </w:tc>
        <w:tc>
          <w:tcPr>
            <w:tcW w:w="606" w:type="pct"/>
            <w:tcBorders>
              <w:top w:val="single" w:sz="4" w:space="0" w:color="800000"/>
              <w:left w:val="nil"/>
              <w:bottom w:val="single" w:sz="8" w:space="0" w:color="800000"/>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5,836 </w:t>
            </w:r>
          </w:p>
        </w:tc>
        <w:tc>
          <w:tcPr>
            <w:tcW w:w="495" w:type="pct"/>
            <w:tcBorders>
              <w:top w:val="single" w:sz="4" w:space="0" w:color="800000"/>
              <w:left w:val="nil"/>
              <w:bottom w:val="single" w:sz="8" w:space="0" w:color="800000"/>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(1,377)</w:t>
            </w:r>
          </w:p>
        </w:tc>
        <w:tc>
          <w:tcPr>
            <w:tcW w:w="575" w:type="pct"/>
            <w:tcBorders>
              <w:top w:val="single" w:sz="4" w:space="0" w:color="800000"/>
              <w:left w:val="nil"/>
              <w:bottom w:val="single" w:sz="8" w:space="0" w:color="800000"/>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186 </w:t>
            </w:r>
          </w:p>
        </w:tc>
        <w:tc>
          <w:tcPr>
            <w:tcW w:w="621" w:type="pct"/>
            <w:tcBorders>
              <w:top w:val="single" w:sz="4" w:space="0" w:color="800000"/>
              <w:left w:val="nil"/>
              <w:bottom w:val="single" w:sz="8" w:space="0" w:color="800000"/>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4,749 </w:t>
            </w:r>
          </w:p>
        </w:tc>
        <w:tc>
          <w:tcPr>
            <w:tcW w:w="580" w:type="pct"/>
            <w:tcBorders>
              <w:top w:val="single" w:sz="4" w:space="0" w:color="800000"/>
              <w:left w:val="nil"/>
              <w:bottom w:val="single" w:sz="8" w:space="0" w:color="800000"/>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54 </w:t>
            </w:r>
          </w:p>
        </w:tc>
        <w:tc>
          <w:tcPr>
            <w:tcW w:w="378" w:type="pct"/>
            <w:tcBorders>
              <w:top w:val="single" w:sz="4" w:space="0" w:color="800000"/>
              <w:left w:val="nil"/>
              <w:bottom w:val="single" w:sz="8" w:space="0" w:color="800000"/>
              <w:right w:val="nil"/>
            </w:tcBorders>
            <w:shd w:val="clear" w:color="000000" w:fill="C0C0C0"/>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xml:space="preserve">4,803 </w:t>
            </w:r>
          </w:p>
        </w:tc>
      </w:tr>
      <w:tr w:rsidR="00961E29" w:rsidRPr="001A209B" w:rsidTr="00632DB1">
        <w:trPr>
          <w:trHeight w:val="240"/>
        </w:trPr>
        <w:tc>
          <w:tcPr>
            <w:tcW w:w="1347" w:type="pct"/>
            <w:tcBorders>
              <w:top w:val="nil"/>
              <w:left w:val="nil"/>
              <w:bottom w:val="single" w:sz="4" w:space="0" w:color="800000"/>
              <w:right w:val="nil"/>
            </w:tcBorders>
            <w:shd w:val="clear" w:color="000000" w:fill="FFFFFF"/>
            <w:hideMark/>
          </w:tcPr>
          <w:p w:rsidR="00392E2A" w:rsidRPr="001A209B" w:rsidRDefault="00392E2A" w:rsidP="00961E29">
            <w:pPr>
              <w:rPr>
                <w:rFonts w:cs="Arial"/>
                <w:b/>
                <w:bCs/>
                <w:color w:val="800000"/>
                <w:sz w:val="18"/>
                <w:szCs w:val="18"/>
              </w:rPr>
            </w:pPr>
            <w:r w:rsidRPr="001A209B">
              <w:rPr>
                <w:rFonts w:cs="Arial"/>
                <w:b/>
                <w:bCs/>
                <w:color w:val="800000"/>
                <w:sz w:val="18"/>
                <w:szCs w:val="18"/>
              </w:rPr>
              <w:t> </w:t>
            </w:r>
          </w:p>
        </w:tc>
        <w:tc>
          <w:tcPr>
            <w:tcW w:w="398" w:type="pct"/>
            <w:tcBorders>
              <w:top w:val="nil"/>
              <w:left w:val="nil"/>
              <w:bottom w:val="single" w:sz="4" w:space="0" w:color="800000"/>
              <w:right w:val="nil"/>
            </w:tcBorders>
            <w:shd w:val="clear" w:color="000000" w:fill="FFFFFF"/>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w:t>
            </w:r>
          </w:p>
        </w:tc>
        <w:tc>
          <w:tcPr>
            <w:tcW w:w="606" w:type="pct"/>
            <w:tcBorders>
              <w:top w:val="nil"/>
              <w:left w:val="nil"/>
              <w:bottom w:val="single" w:sz="4" w:space="0" w:color="800000"/>
              <w:right w:val="nil"/>
            </w:tcBorders>
            <w:shd w:val="clear" w:color="000000" w:fill="FFFFFF"/>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w:t>
            </w:r>
          </w:p>
        </w:tc>
        <w:tc>
          <w:tcPr>
            <w:tcW w:w="495" w:type="pct"/>
            <w:tcBorders>
              <w:top w:val="nil"/>
              <w:left w:val="nil"/>
              <w:bottom w:val="single" w:sz="4" w:space="0" w:color="800000"/>
              <w:right w:val="nil"/>
            </w:tcBorders>
            <w:shd w:val="clear" w:color="000000" w:fill="FFFFFF"/>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w:t>
            </w:r>
          </w:p>
        </w:tc>
        <w:tc>
          <w:tcPr>
            <w:tcW w:w="575" w:type="pct"/>
            <w:tcBorders>
              <w:top w:val="nil"/>
              <w:left w:val="nil"/>
              <w:bottom w:val="single" w:sz="4" w:space="0" w:color="800000"/>
              <w:right w:val="nil"/>
            </w:tcBorders>
            <w:shd w:val="clear" w:color="000000" w:fill="FFFFFF"/>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w:t>
            </w:r>
          </w:p>
        </w:tc>
        <w:tc>
          <w:tcPr>
            <w:tcW w:w="621" w:type="pct"/>
            <w:tcBorders>
              <w:top w:val="nil"/>
              <w:left w:val="nil"/>
              <w:bottom w:val="single" w:sz="4" w:space="0" w:color="800000"/>
              <w:right w:val="nil"/>
            </w:tcBorders>
            <w:shd w:val="clear" w:color="000000" w:fill="FFFFFF"/>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w:t>
            </w:r>
          </w:p>
        </w:tc>
        <w:tc>
          <w:tcPr>
            <w:tcW w:w="580" w:type="pct"/>
            <w:tcBorders>
              <w:top w:val="nil"/>
              <w:left w:val="nil"/>
              <w:bottom w:val="single" w:sz="4" w:space="0" w:color="800000"/>
              <w:right w:val="nil"/>
            </w:tcBorders>
            <w:shd w:val="clear" w:color="000000" w:fill="FFFFFF"/>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w:t>
            </w:r>
          </w:p>
        </w:tc>
        <w:tc>
          <w:tcPr>
            <w:tcW w:w="378" w:type="pct"/>
            <w:tcBorders>
              <w:top w:val="nil"/>
              <w:left w:val="nil"/>
              <w:bottom w:val="single" w:sz="4" w:space="0" w:color="800000"/>
              <w:right w:val="nil"/>
            </w:tcBorders>
            <w:shd w:val="clear" w:color="000000" w:fill="FFFFFF"/>
            <w:noWrap/>
            <w:hideMark/>
          </w:tcPr>
          <w:p w:rsidR="00392E2A" w:rsidRPr="001A209B" w:rsidRDefault="00392E2A" w:rsidP="00961E29">
            <w:pPr>
              <w:jc w:val="right"/>
              <w:rPr>
                <w:rFonts w:cs="Arial"/>
                <w:b/>
                <w:bCs/>
                <w:color w:val="800000"/>
                <w:sz w:val="18"/>
                <w:szCs w:val="18"/>
              </w:rPr>
            </w:pPr>
            <w:r w:rsidRPr="001A209B">
              <w:rPr>
                <w:rFonts w:cs="Arial"/>
                <w:b/>
                <w:bCs/>
                <w:color w:val="800000"/>
                <w:sz w:val="18"/>
                <w:szCs w:val="18"/>
              </w:rPr>
              <w:t> </w:t>
            </w:r>
          </w:p>
        </w:tc>
      </w:tr>
      <w:tr w:rsidR="00961E29" w:rsidRPr="001A209B" w:rsidTr="00632DB1">
        <w:trPr>
          <w:trHeight w:val="240"/>
        </w:trPr>
        <w:tc>
          <w:tcPr>
            <w:tcW w:w="1347" w:type="pct"/>
            <w:tcBorders>
              <w:top w:val="nil"/>
              <w:left w:val="nil"/>
              <w:right w:val="nil"/>
            </w:tcBorders>
            <w:shd w:val="clear" w:color="000000" w:fill="FFFFFF"/>
            <w:hideMark/>
          </w:tcPr>
          <w:p w:rsidR="00392E2A" w:rsidRPr="001A209B" w:rsidRDefault="00392E2A" w:rsidP="00961E29">
            <w:pPr>
              <w:rPr>
                <w:rFonts w:cs="Arial"/>
                <w:b/>
                <w:bCs/>
                <w:color w:val="800000"/>
                <w:sz w:val="18"/>
                <w:szCs w:val="18"/>
              </w:rPr>
            </w:pPr>
            <w:r w:rsidRPr="001A209B">
              <w:rPr>
                <w:rFonts w:cs="Arial"/>
                <w:b/>
                <w:bCs/>
                <w:color w:val="800000"/>
                <w:sz w:val="18"/>
                <w:szCs w:val="18"/>
              </w:rPr>
              <w:t>At 1 October 2012</w:t>
            </w:r>
          </w:p>
        </w:tc>
        <w:tc>
          <w:tcPr>
            <w:tcW w:w="398" w:type="pct"/>
            <w:tcBorders>
              <w:top w:val="nil"/>
              <w:left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107 </w:t>
            </w:r>
          </w:p>
        </w:tc>
        <w:tc>
          <w:tcPr>
            <w:tcW w:w="606" w:type="pct"/>
            <w:tcBorders>
              <w:top w:val="nil"/>
              <w:left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5,833 </w:t>
            </w:r>
          </w:p>
        </w:tc>
        <w:tc>
          <w:tcPr>
            <w:tcW w:w="495" w:type="pct"/>
            <w:tcBorders>
              <w:top w:val="nil"/>
              <w:left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(150)</w:t>
            </w:r>
          </w:p>
        </w:tc>
        <w:tc>
          <w:tcPr>
            <w:tcW w:w="575" w:type="pct"/>
            <w:tcBorders>
              <w:top w:val="nil"/>
              <w:left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245 </w:t>
            </w:r>
          </w:p>
        </w:tc>
        <w:tc>
          <w:tcPr>
            <w:tcW w:w="621" w:type="pct"/>
            <w:tcBorders>
              <w:top w:val="nil"/>
              <w:left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6,035 </w:t>
            </w:r>
          </w:p>
        </w:tc>
        <w:tc>
          <w:tcPr>
            <w:tcW w:w="580" w:type="pct"/>
            <w:tcBorders>
              <w:top w:val="nil"/>
              <w:left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49 </w:t>
            </w:r>
          </w:p>
        </w:tc>
        <w:tc>
          <w:tcPr>
            <w:tcW w:w="378" w:type="pct"/>
            <w:tcBorders>
              <w:top w:val="nil"/>
              <w:left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6,084 </w:t>
            </w:r>
          </w:p>
        </w:tc>
      </w:tr>
      <w:tr w:rsidR="009719C4" w:rsidRPr="001A209B" w:rsidTr="00632DB1">
        <w:trPr>
          <w:trHeight w:val="240"/>
        </w:trPr>
        <w:tc>
          <w:tcPr>
            <w:tcW w:w="1347" w:type="pct"/>
            <w:tcBorders>
              <w:top w:val="nil"/>
              <w:left w:val="nil"/>
              <w:right w:val="nil"/>
            </w:tcBorders>
            <w:shd w:val="clear" w:color="000000" w:fill="FFFFFF"/>
          </w:tcPr>
          <w:p w:rsidR="009719C4" w:rsidRPr="001A209B" w:rsidRDefault="009719C4" w:rsidP="00961E29">
            <w:pPr>
              <w:rPr>
                <w:rFonts w:cs="Arial"/>
                <w:sz w:val="18"/>
                <w:szCs w:val="18"/>
              </w:rPr>
            </w:pPr>
            <w:r w:rsidRPr="001A209B">
              <w:rPr>
                <w:rFonts w:cs="Arial"/>
                <w:sz w:val="18"/>
                <w:szCs w:val="18"/>
              </w:rPr>
              <w:t>Profit for the period</w:t>
            </w:r>
          </w:p>
        </w:tc>
        <w:tc>
          <w:tcPr>
            <w:tcW w:w="398" w:type="pct"/>
            <w:tcBorders>
              <w:top w:val="nil"/>
              <w:left w:val="nil"/>
              <w:right w:val="nil"/>
            </w:tcBorders>
            <w:shd w:val="clear" w:color="000000" w:fill="FFFFFF"/>
            <w:noWrap/>
          </w:tcPr>
          <w:p w:rsidR="009719C4" w:rsidRPr="001A209B" w:rsidRDefault="009719C4" w:rsidP="00961E29">
            <w:pPr>
              <w:jc w:val="right"/>
              <w:rPr>
                <w:rFonts w:cs="Arial"/>
                <w:sz w:val="18"/>
                <w:szCs w:val="18"/>
              </w:rPr>
            </w:pPr>
            <w:r w:rsidRPr="001A209B">
              <w:rPr>
                <w:rFonts w:cs="Arial"/>
                <w:sz w:val="18"/>
                <w:szCs w:val="18"/>
              </w:rPr>
              <w:t>-</w:t>
            </w:r>
          </w:p>
        </w:tc>
        <w:tc>
          <w:tcPr>
            <w:tcW w:w="606" w:type="pct"/>
            <w:tcBorders>
              <w:top w:val="nil"/>
              <w:left w:val="nil"/>
              <w:right w:val="nil"/>
            </w:tcBorders>
            <w:shd w:val="clear" w:color="000000" w:fill="FFFFFF"/>
            <w:noWrap/>
          </w:tcPr>
          <w:p w:rsidR="009719C4" w:rsidRPr="001A209B" w:rsidRDefault="009719C4" w:rsidP="00961E29">
            <w:pPr>
              <w:jc w:val="right"/>
              <w:rPr>
                <w:rFonts w:cs="Arial"/>
                <w:sz w:val="18"/>
                <w:szCs w:val="18"/>
              </w:rPr>
            </w:pPr>
            <w:r w:rsidRPr="001A209B">
              <w:rPr>
                <w:rFonts w:cs="Arial"/>
                <w:sz w:val="18"/>
                <w:szCs w:val="18"/>
              </w:rPr>
              <w:t>-</w:t>
            </w:r>
          </w:p>
        </w:tc>
        <w:tc>
          <w:tcPr>
            <w:tcW w:w="495" w:type="pct"/>
            <w:tcBorders>
              <w:top w:val="nil"/>
              <w:left w:val="nil"/>
              <w:right w:val="nil"/>
            </w:tcBorders>
            <w:shd w:val="clear" w:color="000000" w:fill="FFFFFF"/>
            <w:noWrap/>
          </w:tcPr>
          <w:p w:rsidR="009719C4" w:rsidRPr="001A209B" w:rsidRDefault="009719C4" w:rsidP="00961E29">
            <w:pPr>
              <w:jc w:val="right"/>
              <w:rPr>
                <w:rFonts w:cs="Arial"/>
                <w:sz w:val="18"/>
                <w:szCs w:val="18"/>
              </w:rPr>
            </w:pPr>
            <w:r w:rsidRPr="001A209B">
              <w:rPr>
                <w:rFonts w:cs="Arial"/>
                <w:sz w:val="18"/>
                <w:szCs w:val="18"/>
              </w:rPr>
              <w:t>611</w:t>
            </w:r>
          </w:p>
        </w:tc>
        <w:tc>
          <w:tcPr>
            <w:tcW w:w="575" w:type="pct"/>
            <w:tcBorders>
              <w:top w:val="nil"/>
              <w:left w:val="nil"/>
              <w:right w:val="nil"/>
            </w:tcBorders>
            <w:shd w:val="clear" w:color="000000" w:fill="FFFFFF"/>
            <w:noWrap/>
          </w:tcPr>
          <w:p w:rsidR="009719C4" w:rsidRPr="001A209B" w:rsidRDefault="009719C4" w:rsidP="00961E29">
            <w:pPr>
              <w:jc w:val="right"/>
              <w:rPr>
                <w:rFonts w:cs="Arial"/>
                <w:sz w:val="18"/>
                <w:szCs w:val="18"/>
              </w:rPr>
            </w:pPr>
            <w:r w:rsidRPr="001A209B">
              <w:rPr>
                <w:rFonts w:cs="Arial"/>
                <w:sz w:val="18"/>
                <w:szCs w:val="18"/>
              </w:rPr>
              <w:t>-</w:t>
            </w:r>
          </w:p>
        </w:tc>
        <w:tc>
          <w:tcPr>
            <w:tcW w:w="621" w:type="pct"/>
            <w:tcBorders>
              <w:top w:val="nil"/>
              <w:left w:val="nil"/>
              <w:right w:val="nil"/>
            </w:tcBorders>
            <w:shd w:val="clear" w:color="000000" w:fill="FFFFFF"/>
            <w:noWrap/>
          </w:tcPr>
          <w:p w:rsidR="009719C4" w:rsidRPr="001A209B" w:rsidRDefault="009719C4" w:rsidP="00961E29">
            <w:pPr>
              <w:jc w:val="right"/>
              <w:rPr>
                <w:rFonts w:cs="Arial"/>
                <w:sz w:val="18"/>
                <w:szCs w:val="18"/>
              </w:rPr>
            </w:pPr>
            <w:r w:rsidRPr="001A209B">
              <w:rPr>
                <w:rFonts w:cs="Arial"/>
                <w:sz w:val="18"/>
                <w:szCs w:val="18"/>
              </w:rPr>
              <w:t>611</w:t>
            </w:r>
          </w:p>
        </w:tc>
        <w:tc>
          <w:tcPr>
            <w:tcW w:w="580" w:type="pct"/>
            <w:tcBorders>
              <w:top w:val="nil"/>
              <w:left w:val="nil"/>
              <w:right w:val="nil"/>
            </w:tcBorders>
            <w:shd w:val="clear" w:color="000000" w:fill="FFFFFF"/>
            <w:noWrap/>
          </w:tcPr>
          <w:p w:rsidR="009719C4" w:rsidRPr="001A209B" w:rsidRDefault="009719C4" w:rsidP="00961E29">
            <w:pPr>
              <w:jc w:val="right"/>
              <w:rPr>
                <w:rFonts w:cs="Arial"/>
                <w:sz w:val="18"/>
                <w:szCs w:val="18"/>
              </w:rPr>
            </w:pPr>
            <w:r w:rsidRPr="001A209B">
              <w:rPr>
                <w:rFonts w:cs="Arial"/>
                <w:sz w:val="18"/>
                <w:szCs w:val="18"/>
              </w:rPr>
              <w:t>11</w:t>
            </w:r>
          </w:p>
        </w:tc>
        <w:tc>
          <w:tcPr>
            <w:tcW w:w="378" w:type="pct"/>
            <w:tcBorders>
              <w:top w:val="nil"/>
              <w:left w:val="nil"/>
              <w:right w:val="nil"/>
            </w:tcBorders>
            <w:shd w:val="clear" w:color="000000" w:fill="FFFFFF"/>
            <w:noWrap/>
          </w:tcPr>
          <w:p w:rsidR="009719C4" w:rsidRPr="001A209B" w:rsidRDefault="009719C4" w:rsidP="00961E29">
            <w:pPr>
              <w:jc w:val="right"/>
              <w:rPr>
                <w:rFonts w:cs="Arial"/>
                <w:sz w:val="18"/>
                <w:szCs w:val="18"/>
              </w:rPr>
            </w:pPr>
            <w:r w:rsidRPr="001A209B">
              <w:rPr>
                <w:rFonts w:cs="Arial"/>
                <w:sz w:val="18"/>
                <w:szCs w:val="18"/>
              </w:rPr>
              <w:t>622</w:t>
            </w:r>
          </w:p>
        </w:tc>
      </w:tr>
      <w:tr w:rsidR="00961E29" w:rsidRPr="001A209B" w:rsidTr="00632DB1">
        <w:trPr>
          <w:trHeight w:val="240"/>
        </w:trPr>
        <w:tc>
          <w:tcPr>
            <w:tcW w:w="1347" w:type="pct"/>
            <w:tcBorders>
              <w:left w:val="nil"/>
              <w:bottom w:val="single" w:sz="4" w:space="0" w:color="800000"/>
              <w:right w:val="nil"/>
            </w:tcBorders>
            <w:shd w:val="clear" w:color="000000" w:fill="FFFFFF"/>
            <w:hideMark/>
          </w:tcPr>
          <w:p w:rsidR="00392E2A" w:rsidRPr="001A209B" w:rsidRDefault="00392E2A" w:rsidP="00961E29">
            <w:pPr>
              <w:rPr>
                <w:rFonts w:cs="Arial"/>
                <w:sz w:val="18"/>
                <w:szCs w:val="18"/>
              </w:rPr>
            </w:pPr>
            <w:r w:rsidRPr="001A209B">
              <w:rPr>
                <w:rFonts w:cs="Arial"/>
                <w:sz w:val="18"/>
                <w:szCs w:val="18"/>
              </w:rPr>
              <w:t>Other comprehensive income</w:t>
            </w:r>
          </w:p>
        </w:tc>
        <w:tc>
          <w:tcPr>
            <w:tcW w:w="398" w:type="pct"/>
            <w:tcBorders>
              <w:left w:val="nil"/>
              <w:bottom w:val="single" w:sz="4" w:space="0" w:color="800000"/>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606" w:type="pct"/>
            <w:tcBorders>
              <w:left w:val="nil"/>
              <w:bottom w:val="single" w:sz="4" w:space="0" w:color="800000"/>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495" w:type="pct"/>
            <w:tcBorders>
              <w:left w:val="nil"/>
              <w:bottom w:val="single" w:sz="4" w:space="0" w:color="800000"/>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(27)</w:t>
            </w:r>
          </w:p>
        </w:tc>
        <w:tc>
          <w:tcPr>
            <w:tcW w:w="575" w:type="pct"/>
            <w:tcBorders>
              <w:left w:val="nil"/>
              <w:bottom w:val="single" w:sz="4" w:space="0" w:color="800000"/>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591 </w:t>
            </w:r>
          </w:p>
        </w:tc>
        <w:tc>
          <w:tcPr>
            <w:tcW w:w="621" w:type="pct"/>
            <w:tcBorders>
              <w:left w:val="nil"/>
              <w:bottom w:val="single" w:sz="4" w:space="0" w:color="800000"/>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564 </w:t>
            </w:r>
          </w:p>
        </w:tc>
        <w:tc>
          <w:tcPr>
            <w:tcW w:w="580" w:type="pct"/>
            <w:tcBorders>
              <w:left w:val="nil"/>
              <w:bottom w:val="single" w:sz="4" w:space="0" w:color="800000"/>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2 </w:t>
            </w:r>
          </w:p>
        </w:tc>
        <w:tc>
          <w:tcPr>
            <w:tcW w:w="378" w:type="pct"/>
            <w:tcBorders>
              <w:left w:val="nil"/>
              <w:bottom w:val="single" w:sz="4" w:space="0" w:color="800000"/>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566 </w:t>
            </w:r>
          </w:p>
        </w:tc>
      </w:tr>
      <w:tr w:rsidR="00961E29" w:rsidRPr="001A209B" w:rsidTr="00632DB1">
        <w:trPr>
          <w:trHeight w:val="240"/>
        </w:trPr>
        <w:tc>
          <w:tcPr>
            <w:tcW w:w="1347" w:type="pct"/>
            <w:tcBorders>
              <w:top w:val="nil"/>
              <w:left w:val="nil"/>
              <w:bottom w:val="nil"/>
              <w:right w:val="nil"/>
            </w:tcBorders>
            <w:shd w:val="clear" w:color="000000" w:fill="FFFFFF"/>
            <w:hideMark/>
          </w:tcPr>
          <w:p w:rsidR="00392E2A" w:rsidRPr="001A209B" w:rsidRDefault="00392E2A" w:rsidP="00961E29">
            <w:pPr>
              <w:rPr>
                <w:rFonts w:cs="Arial"/>
                <w:b/>
                <w:bCs/>
                <w:color w:val="800000"/>
                <w:sz w:val="18"/>
                <w:szCs w:val="18"/>
              </w:rPr>
            </w:pPr>
            <w:r w:rsidRPr="001A209B">
              <w:rPr>
                <w:rFonts w:cs="Arial"/>
                <w:b/>
                <w:bCs/>
                <w:color w:val="800000"/>
                <w:sz w:val="18"/>
                <w:szCs w:val="18"/>
              </w:rPr>
              <w:t>Total comprehensive income</w:t>
            </w:r>
          </w:p>
        </w:tc>
        <w:tc>
          <w:tcPr>
            <w:tcW w:w="398"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606"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495"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584 </w:t>
            </w:r>
          </w:p>
        </w:tc>
        <w:tc>
          <w:tcPr>
            <w:tcW w:w="575"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591 </w:t>
            </w:r>
          </w:p>
        </w:tc>
        <w:tc>
          <w:tcPr>
            <w:tcW w:w="621"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1,175 </w:t>
            </w:r>
          </w:p>
        </w:tc>
        <w:tc>
          <w:tcPr>
            <w:tcW w:w="580"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13 </w:t>
            </w:r>
          </w:p>
        </w:tc>
        <w:tc>
          <w:tcPr>
            <w:tcW w:w="378"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1,188 </w:t>
            </w:r>
          </w:p>
        </w:tc>
      </w:tr>
      <w:tr w:rsidR="00961E29" w:rsidRPr="001A209B" w:rsidTr="00632DB1">
        <w:trPr>
          <w:trHeight w:val="240"/>
        </w:trPr>
        <w:tc>
          <w:tcPr>
            <w:tcW w:w="1347" w:type="pct"/>
            <w:tcBorders>
              <w:top w:val="nil"/>
              <w:left w:val="nil"/>
              <w:bottom w:val="nil"/>
              <w:right w:val="nil"/>
            </w:tcBorders>
            <w:shd w:val="clear" w:color="000000" w:fill="FFFFFF"/>
            <w:hideMark/>
          </w:tcPr>
          <w:p w:rsidR="00392E2A" w:rsidRPr="001A209B" w:rsidRDefault="00392E2A" w:rsidP="00961E29">
            <w:pPr>
              <w:rPr>
                <w:rFonts w:cs="Arial"/>
                <w:b/>
                <w:bCs/>
                <w:color w:val="800000"/>
                <w:sz w:val="18"/>
                <w:szCs w:val="18"/>
              </w:rPr>
            </w:pPr>
            <w:r w:rsidRPr="001A209B">
              <w:rPr>
                <w:rFonts w:cs="Arial"/>
                <w:b/>
                <w:bCs/>
                <w:color w:val="800000"/>
                <w:sz w:val="18"/>
                <w:szCs w:val="18"/>
              </w:rPr>
              <w:t>Transactions with owners</w:t>
            </w:r>
          </w:p>
        </w:tc>
        <w:tc>
          <w:tcPr>
            <w:tcW w:w="398" w:type="pct"/>
            <w:tcBorders>
              <w:top w:val="nil"/>
              <w:left w:val="nil"/>
              <w:bottom w:val="nil"/>
              <w:right w:val="nil"/>
            </w:tcBorders>
            <w:shd w:val="clear" w:color="000000" w:fill="FFFFFF"/>
            <w:noWrap/>
            <w:hideMark/>
          </w:tcPr>
          <w:p w:rsidR="00392E2A" w:rsidRPr="001A209B" w:rsidRDefault="00392E2A" w:rsidP="00961E29">
            <w:pPr>
              <w:jc w:val="right"/>
              <w:rPr>
                <w:rFonts w:cs="Arial"/>
                <w:b/>
                <w:bCs/>
                <w:sz w:val="18"/>
                <w:szCs w:val="18"/>
              </w:rPr>
            </w:pPr>
            <w:r w:rsidRPr="001A209B">
              <w:rPr>
                <w:rFonts w:cs="Arial"/>
                <w:b/>
                <w:bCs/>
                <w:sz w:val="18"/>
                <w:szCs w:val="18"/>
              </w:rPr>
              <w:t> </w:t>
            </w:r>
          </w:p>
        </w:tc>
        <w:tc>
          <w:tcPr>
            <w:tcW w:w="606" w:type="pct"/>
            <w:tcBorders>
              <w:top w:val="nil"/>
              <w:left w:val="nil"/>
              <w:bottom w:val="nil"/>
              <w:right w:val="nil"/>
            </w:tcBorders>
            <w:shd w:val="clear" w:color="000000" w:fill="FFFFFF"/>
            <w:noWrap/>
            <w:hideMark/>
          </w:tcPr>
          <w:p w:rsidR="00392E2A" w:rsidRPr="001A209B" w:rsidRDefault="00392E2A" w:rsidP="00961E29">
            <w:pPr>
              <w:jc w:val="right"/>
              <w:rPr>
                <w:rFonts w:cs="Arial"/>
                <w:b/>
                <w:bCs/>
                <w:sz w:val="18"/>
                <w:szCs w:val="18"/>
              </w:rPr>
            </w:pPr>
            <w:r w:rsidRPr="001A209B">
              <w:rPr>
                <w:rFonts w:cs="Arial"/>
                <w:b/>
                <w:bCs/>
                <w:sz w:val="18"/>
                <w:szCs w:val="18"/>
              </w:rPr>
              <w:t> </w:t>
            </w:r>
          </w:p>
        </w:tc>
        <w:tc>
          <w:tcPr>
            <w:tcW w:w="495" w:type="pct"/>
            <w:tcBorders>
              <w:top w:val="nil"/>
              <w:left w:val="nil"/>
              <w:bottom w:val="nil"/>
              <w:right w:val="nil"/>
            </w:tcBorders>
            <w:shd w:val="clear" w:color="000000" w:fill="FFFFFF"/>
            <w:noWrap/>
            <w:hideMark/>
          </w:tcPr>
          <w:p w:rsidR="00392E2A" w:rsidRPr="001A209B" w:rsidRDefault="00392E2A" w:rsidP="00961E29">
            <w:pPr>
              <w:jc w:val="right"/>
              <w:rPr>
                <w:rFonts w:cs="Arial"/>
                <w:b/>
                <w:bCs/>
                <w:sz w:val="18"/>
                <w:szCs w:val="18"/>
              </w:rPr>
            </w:pPr>
            <w:r w:rsidRPr="001A209B">
              <w:rPr>
                <w:rFonts w:cs="Arial"/>
                <w:b/>
                <w:bCs/>
                <w:sz w:val="18"/>
                <w:szCs w:val="18"/>
              </w:rPr>
              <w:t> </w:t>
            </w:r>
          </w:p>
        </w:tc>
        <w:tc>
          <w:tcPr>
            <w:tcW w:w="575" w:type="pct"/>
            <w:tcBorders>
              <w:top w:val="nil"/>
              <w:left w:val="nil"/>
              <w:bottom w:val="nil"/>
              <w:right w:val="nil"/>
            </w:tcBorders>
            <w:shd w:val="clear" w:color="000000" w:fill="FFFFFF"/>
            <w:noWrap/>
            <w:hideMark/>
          </w:tcPr>
          <w:p w:rsidR="00392E2A" w:rsidRPr="001A209B" w:rsidRDefault="00392E2A" w:rsidP="00961E29">
            <w:pPr>
              <w:jc w:val="right"/>
              <w:rPr>
                <w:rFonts w:cs="Arial"/>
                <w:b/>
                <w:bCs/>
                <w:sz w:val="18"/>
                <w:szCs w:val="18"/>
              </w:rPr>
            </w:pPr>
            <w:r w:rsidRPr="001A209B">
              <w:rPr>
                <w:rFonts w:cs="Arial"/>
                <w:b/>
                <w:bCs/>
                <w:sz w:val="18"/>
                <w:szCs w:val="18"/>
              </w:rPr>
              <w:t> </w:t>
            </w:r>
          </w:p>
        </w:tc>
        <w:tc>
          <w:tcPr>
            <w:tcW w:w="621" w:type="pct"/>
            <w:tcBorders>
              <w:top w:val="nil"/>
              <w:left w:val="nil"/>
              <w:bottom w:val="nil"/>
              <w:right w:val="nil"/>
            </w:tcBorders>
            <w:shd w:val="clear" w:color="000000" w:fill="FFFFFF"/>
            <w:noWrap/>
            <w:hideMark/>
          </w:tcPr>
          <w:p w:rsidR="00392E2A" w:rsidRPr="001A209B" w:rsidRDefault="00392E2A" w:rsidP="00961E29">
            <w:pPr>
              <w:jc w:val="right"/>
              <w:rPr>
                <w:rFonts w:cs="Arial"/>
                <w:b/>
                <w:bCs/>
                <w:sz w:val="18"/>
                <w:szCs w:val="18"/>
              </w:rPr>
            </w:pPr>
            <w:r w:rsidRPr="001A209B">
              <w:rPr>
                <w:rFonts w:cs="Arial"/>
                <w:b/>
                <w:bCs/>
                <w:sz w:val="18"/>
                <w:szCs w:val="18"/>
              </w:rPr>
              <w:t> </w:t>
            </w:r>
          </w:p>
        </w:tc>
        <w:tc>
          <w:tcPr>
            <w:tcW w:w="580" w:type="pct"/>
            <w:tcBorders>
              <w:top w:val="nil"/>
              <w:left w:val="nil"/>
              <w:bottom w:val="nil"/>
              <w:right w:val="nil"/>
            </w:tcBorders>
            <w:shd w:val="clear" w:color="000000" w:fill="FFFFFF"/>
            <w:noWrap/>
            <w:hideMark/>
          </w:tcPr>
          <w:p w:rsidR="00392E2A" w:rsidRPr="001A209B" w:rsidRDefault="00392E2A" w:rsidP="00961E29">
            <w:pPr>
              <w:jc w:val="right"/>
              <w:rPr>
                <w:rFonts w:cs="Arial"/>
                <w:b/>
                <w:bCs/>
                <w:sz w:val="18"/>
                <w:szCs w:val="18"/>
              </w:rPr>
            </w:pPr>
            <w:r w:rsidRPr="001A209B">
              <w:rPr>
                <w:rFonts w:cs="Arial"/>
                <w:b/>
                <w:bCs/>
                <w:sz w:val="18"/>
                <w:szCs w:val="18"/>
              </w:rPr>
              <w:t> </w:t>
            </w:r>
          </w:p>
        </w:tc>
        <w:tc>
          <w:tcPr>
            <w:tcW w:w="378" w:type="pct"/>
            <w:tcBorders>
              <w:top w:val="nil"/>
              <w:left w:val="nil"/>
              <w:bottom w:val="nil"/>
              <w:right w:val="nil"/>
            </w:tcBorders>
            <w:shd w:val="clear" w:color="000000" w:fill="FFFFFF"/>
            <w:noWrap/>
            <w:hideMark/>
          </w:tcPr>
          <w:p w:rsidR="00392E2A" w:rsidRPr="001A209B" w:rsidRDefault="00392E2A" w:rsidP="00961E29">
            <w:pPr>
              <w:jc w:val="right"/>
              <w:rPr>
                <w:rFonts w:cs="Arial"/>
                <w:b/>
                <w:bCs/>
                <w:sz w:val="18"/>
                <w:szCs w:val="18"/>
              </w:rPr>
            </w:pPr>
            <w:r w:rsidRPr="001A209B">
              <w:rPr>
                <w:rFonts w:cs="Arial"/>
                <w:b/>
                <w:bCs/>
                <w:sz w:val="18"/>
                <w:szCs w:val="18"/>
              </w:rPr>
              <w:t> </w:t>
            </w:r>
          </w:p>
        </w:tc>
      </w:tr>
      <w:tr w:rsidR="00961E29" w:rsidRPr="001A209B" w:rsidTr="00632DB1">
        <w:trPr>
          <w:trHeight w:val="240"/>
        </w:trPr>
        <w:tc>
          <w:tcPr>
            <w:tcW w:w="1347" w:type="pct"/>
            <w:tcBorders>
              <w:top w:val="nil"/>
              <w:left w:val="nil"/>
              <w:bottom w:val="nil"/>
              <w:right w:val="nil"/>
            </w:tcBorders>
            <w:shd w:val="clear" w:color="000000" w:fill="FFFFFF"/>
            <w:hideMark/>
          </w:tcPr>
          <w:p w:rsidR="00392E2A" w:rsidRPr="001A209B" w:rsidRDefault="00392E2A" w:rsidP="00961E29">
            <w:pPr>
              <w:rPr>
                <w:rFonts w:cs="Arial"/>
                <w:sz w:val="18"/>
                <w:szCs w:val="18"/>
              </w:rPr>
            </w:pPr>
            <w:r w:rsidRPr="001A209B">
              <w:rPr>
                <w:rFonts w:cs="Arial"/>
                <w:sz w:val="18"/>
                <w:szCs w:val="18"/>
              </w:rPr>
              <w:t>Cash from employees on maturity/exercise of share schemes</w:t>
            </w:r>
          </w:p>
        </w:tc>
        <w:tc>
          <w:tcPr>
            <w:tcW w:w="398"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606"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495"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1 </w:t>
            </w:r>
          </w:p>
        </w:tc>
        <w:tc>
          <w:tcPr>
            <w:tcW w:w="575"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621"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1 </w:t>
            </w:r>
          </w:p>
        </w:tc>
        <w:tc>
          <w:tcPr>
            <w:tcW w:w="580"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378"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1 </w:t>
            </w:r>
          </w:p>
        </w:tc>
      </w:tr>
      <w:tr w:rsidR="00961E29" w:rsidRPr="001A209B" w:rsidTr="00632DB1">
        <w:trPr>
          <w:trHeight w:val="240"/>
        </w:trPr>
        <w:tc>
          <w:tcPr>
            <w:tcW w:w="1347" w:type="pct"/>
            <w:tcBorders>
              <w:top w:val="nil"/>
              <w:left w:val="nil"/>
              <w:bottom w:val="nil"/>
              <w:right w:val="nil"/>
            </w:tcBorders>
            <w:shd w:val="clear" w:color="000000" w:fill="FFFFFF"/>
            <w:hideMark/>
          </w:tcPr>
          <w:p w:rsidR="00392E2A" w:rsidRPr="001A209B" w:rsidRDefault="00392E2A" w:rsidP="00961E29">
            <w:pPr>
              <w:rPr>
                <w:rFonts w:cs="Arial"/>
                <w:sz w:val="18"/>
                <w:szCs w:val="18"/>
              </w:rPr>
            </w:pPr>
            <w:r w:rsidRPr="001A209B">
              <w:rPr>
                <w:rFonts w:cs="Arial"/>
                <w:sz w:val="18"/>
                <w:szCs w:val="18"/>
              </w:rPr>
              <w:t>Costs of employees' services compensated by share schemes</w:t>
            </w:r>
          </w:p>
        </w:tc>
        <w:tc>
          <w:tcPr>
            <w:tcW w:w="398"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606"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495"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7 </w:t>
            </w:r>
          </w:p>
        </w:tc>
        <w:tc>
          <w:tcPr>
            <w:tcW w:w="575"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621"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7 </w:t>
            </w:r>
          </w:p>
        </w:tc>
        <w:tc>
          <w:tcPr>
            <w:tcW w:w="580"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378"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7 </w:t>
            </w:r>
          </w:p>
        </w:tc>
      </w:tr>
      <w:tr w:rsidR="00961E29" w:rsidRPr="001A209B" w:rsidTr="00632DB1">
        <w:trPr>
          <w:trHeight w:val="240"/>
        </w:trPr>
        <w:tc>
          <w:tcPr>
            <w:tcW w:w="1347" w:type="pct"/>
            <w:tcBorders>
              <w:top w:val="nil"/>
              <w:left w:val="nil"/>
              <w:bottom w:val="nil"/>
              <w:right w:val="nil"/>
            </w:tcBorders>
            <w:shd w:val="clear" w:color="000000" w:fill="FFFFFF"/>
            <w:hideMark/>
          </w:tcPr>
          <w:p w:rsidR="00392E2A" w:rsidRPr="001A209B" w:rsidRDefault="00392E2A" w:rsidP="00961E29">
            <w:pPr>
              <w:rPr>
                <w:rFonts w:cs="Arial"/>
                <w:sz w:val="18"/>
                <w:szCs w:val="18"/>
              </w:rPr>
            </w:pPr>
            <w:r w:rsidRPr="001A209B">
              <w:rPr>
                <w:rFonts w:cs="Arial"/>
                <w:sz w:val="18"/>
                <w:szCs w:val="18"/>
              </w:rPr>
              <w:t>Purchase of shares by Employee Share Ownership Trusts</w:t>
            </w:r>
          </w:p>
        </w:tc>
        <w:tc>
          <w:tcPr>
            <w:tcW w:w="398"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606"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495"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(4)</w:t>
            </w:r>
          </w:p>
        </w:tc>
        <w:tc>
          <w:tcPr>
            <w:tcW w:w="575"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621"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(4)</w:t>
            </w:r>
          </w:p>
        </w:tc>
        <w:tc>
          <w:tcPr>
            <w:tcW w:w="580"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378"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(4)</w:t>
            </w:r>
          </w:p>
        </w:tc>
      </w:tr>
      <w:tr w:rsidR="00961E29" w:rsidRPr="001A209B" w:rsidTr="00632DB1">
        <w:trPr>
          <w:trHeight w:val="240"/>
        </w:trPr>
        <w:tc>
          <w:tcPr>
            <w:tcW w:w="1347" w:type="pct"/>
            <w:tcBorders>
              <w:top w:val="nil"/>
              <w:left w:val="nil"/>
              <w:bottom w:val="nil"/>
              <w:right w:val="nil"/>
            </w:tcBorders>
            <w:shd w:val="clear" w:color="000000" w:fill="FFFFFF"/>
            <w:hideMark/>
          </w:tcPr>
          <w:p w:rsidR="00392E2A" w:rsidRPr="001A209B" w:rsidRDefault="00392E2A" w:rsidP="00961E29">
            <w:pPr>
              <w:rPr>
                <w:rFonts w:cs="Arial"/>
                <w:sz w:val="18"/>
                <w:szCs w:val="18"/>
              </w:rPr>
            </w:pPr>
            <w:r w:rsidRPr="001A209B">
              <w:rPr>
                <w:rFonts w:cs="Arial"/>
                <w:sz w:val="18"/>
                <w:szCs w:val="18"/>
              </w:rPr>
              <w:t>Increase in own shares held as treasury shares</w:t>
            </w:r>
          </w:p>
        </w:tc>
        <w:tc>
          <w:tcPr>
            <w:tcW w:w="398"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606"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495"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(295)</w:t>
            </w:r>
          </w:p>
        </w:tc>
        <w:tc>
          <w:tcPr>
            <w:tcW w:w="575"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621"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(295)</w:t>
            </w:r>
          </w:p>
        </w:tc>
        <w:tc>
          <w:tcPr>
            <w:tcW w:w="580"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378" w:type="pct"/>
            <w:tcBorders>
              <w:top w:val="nil"/>
              <w:left w:val="nil"/>
              <w:bottom w:val="nil"/>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(295)</w:t>
            </w:r>
          </w:p>
        </w:tc>
      </w:tr>
      <w:tr w:rsidR="00961E29" w:rsidRPr="001A209B" w:rsidTr="00632DB1">
        <w:trPr>
          <w:trHeight w:val="240"/>
        </w:trPr>
        <w:tc>
          <w:tcPr>
            <w:tcW w:w="1347" w:type="pct"/>
            <w:tcBorders>
              <w:top w:val="nil"/>
              <w:left w:val="nil"/>
              <w:bottom w:val="single" w:sz="4" w:space="0" w:color="800000"/>
              <w:right w:val="nil"/>
            </w:tcBorders>
            <w:shd w:val="clear" w:color="000000" w:fill="FFFFFF"/>
            <w:hideMark/>
          </w:tcPr>
          <w:p w:rsidR="00392E2A" w:rsidRPr="001A209B" w:rsidRDefault="00392E2A" w:rsidP="00961E29">
            <w:pPr>
              <w:rPr>
                <w:rFonts w:cs="Arial"/>
                <w:sz w:val="18"/>
                <w:szCs w:val="18"/>
              </w:rPr>
            </w:pPr>
            <w:r w:rsidRPr="001A209B">
              <w:rPr>
                <w:rFonts w:cs="Arial"/>
                <w:sz w:val="18"/>
                <w:szCs w:val="18"/>
              </w:rPr>
              <w:t>Dividends paid</w:t>
            </w:r>
          </w:p>
        </w:tc>
        <w:tc>
          <w:tcPr>
            <w:tcW w:w="398" w:type="pct"/>
            <w:tcBorders>
              <w:top w:val="nil"/>
              <w:left w:val="nil"/>
              <w:bottom w:val="single" w:sz="4" w:space="0" w:color="800000"/>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606" w:type="pct"/>
            <w:tcBorders>
              <w:top w:val="nil"/>
              <w:left w:val="nil"/>
              <w:bottom w:val="single" w:sz="4" w:space="0" w:color="800000"/>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495" w:type="pct"/>
            <w:tcBorders>
              <w:top w:val="nil"/>
              <w:left w:val="nil"/>
              <w:bottom w:val="single" w:sz="4" w:space="0" w:color="800000"/>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(724)</w:t>
            </w:r>
          </w:p>
        </w:tc>
        <w:tc>
          <w:tcPr>
            <w:tcW w:w="575" w:type="pct"/>
            <w:tcBorders>
              <w:top w:val="nil"/>
              <w:left w:val="nil"/>
              <w:bottom w:val="single" w:sz="4" w:space="0" w:color="800000"/>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 </w:t>
            </w:r>
          </w:p>
        </w:tc>
        <w:tc>
          <w:tcPr>
            <w:tcW w:w="621" w:type="pct"/>
            <w:tcBorders>
              <w:top w:val="nil"/>
              <w:left w:val="nil"/>
              <w:bottom w:val="single" w:sz="4" w:space="0" w:color="800000"/>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(724)</w:t>
            </w:r>
          </w:p>
        </w:tc>
        <w:tc>
          <w:tcPr>
            <w:tcW w:w="580" w:type="pct"/>
            <w:tcBorders>
              <w:top w:val="nil"/>
              <w:left w:val="nil"/>
              <w:bottom w:val="single" w:sz="4" w:space="0" w:color="800000"/>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(3)</w:t>
            </w:r>
          </w:p>
        </w:tc>
        <w:tc>
          <w:tcPr>
            <w:tcW w:w="378" w:type="pct"/>
            <w:tcBorders>
              <w:top w:val="nil"/>
              <w:left w:val="nil"/>
              <w:bottom w:val="single" w:sz="4" w:space="0" w:color="800000"/>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(727)</w:t>
            </w:r>
          </w:p>
        </w:tc>
      </w:tr>
      <w:tr w:rsidR="00961E29" w:rsidRPr="001A209B" w:rsidTr="00632DB1">
        <w:trPr>
          <w:trHeight w:val="255"/>
        </w:trPr>
        <w:tc>
          <w:tcPr>
            <w:tcW w:w="1347" w:type="pct"/>
            <w:tcBorders>
              <w:top w:val="nil"/>
              <w:left w:val="nil"/>
              <w:bottom w:val="single" w:sz="8" w:space="0" w:color="800000"/>
              <w:right w:val="nil"/>
            </w:tcBorders>
            <w:shd w:val="clear" w:color="000000" w:fill="FFFFFF"/>
            <w:hideMark/>
          </w:tcPr>
          <w:p w:rsidR="00392E2A" w:rsidRPr="001A209B" w:rsidRDefault="00392E2A" w:rsidP="00961E29">
            <w:pPr>
              <w:rPr>
                <w:rFonts w:cs="Arial"/>
                <w:b/>
                <w:bCs/>
                <w:color w:val="800000"/>
                <w:sz w:val="18"/>
                <w:szCs w:val="18"/>
              </w:rPr>
            </w:pPr>
            <w:r w:rsidRPr="001A209B">
              <w:rPr>
                <w:rFonts w:cs="Arial"/>
                <w:b/>
                <w:bCs/>
                <w:color w:val="800000"/>
                <w:sz w:val="18"/>
                <w:szCs w:val="18"/>
              </w:rPr>
              <w:t>At 31 March 2013</w:t>
            </w:r>
          </w:p>
        </w:tc>
        <w:tc>
          <w:tcPr>
            <w:tcW w:w="398" w:type="pct"/>
            <w:tcBorders>
              <w:top w:val="nil"/>
              <w:left w:val="nil"/>
              <w:bottom w:val="single" w:sz="8" w:space="0" w:color="800000"/>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107 </w:t>
            </w:r>
          </w:p>
        </w:tc>
        <w:tc>
          <w:tcPr>
            <w:tcW w:w="606" w:type="pct"/>
            <w:tcBorders>
              <w:top w:val="nil"/>
              <w:left w:val="nil"/>
              <w:bottom w:val="single" w:sz="8" w:space="0" w:color="800000"/>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5,833 </w:t>
            </w:r>
          </w:p>
        </w:tc>
        <w:tc>
          <w:tcPr>
            <w:tcW w:w="495" w:type="pct"/>
            <w:tcBorders>
              <w:top w:val="nil"/>
              <w:left w:val="nil"/>
              <w:bottom w:val="single" w:sz="8" w:space="0" w:color="800000"/>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(581)</w:t>
            </w:r>
          </w:p>
        </w:tc>
        <w:tc>
          <w:tcPr>
            <w:tcW w:w="575" w:type="pct"/>
            <w:tcBorders>
              <w:top w:val="nil"/>
              <w:left w:val="nil"/>
              <w:bottom w:val="single" w:sz="8" w:space="0" w:color="800000"/>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836 </w:t>
            </w:r>
          </w:p>
        </w:tc>
        <w:tc>
          <w:tcPr>
            <w:tcW w:w="621" w:type="pct"/>
            <w:tcBorders>
              <w:top w:val="nil"/>
              <w:left w:val="nil"/>
              <w:bottom w:val="single" w:sz="8" w:space="0" w:color="800000"/>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6,195 </w:t>
            </w:r>
          </w:p>
        </w:tc>
        <w:tc>
          <w:tcPr>
            <w:tcW w:w="580" w:type="pct"/>
            <w:tcBorders>
              <w:top w:val="nil"/>
              <w:left w:val="nil"/>
              <w:bottom w:val="single" w:sz="8" w:space="0" w:color="800000"/>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59 </w:t>
            </w:r>
          </w:p>
        </w:tc>
        <w:tc>
          <w:tcPr>
            <w:tcW w:w="378" w:type="pct"/>
            <w:tcBorders>
              <w:top w:val="nil"/>
              <w:left w:val="nil"/>
              <w:bottom w:val="single" w:sz="8" w:space="0" w:color="800000"/>
              <w:right w:val="nil"/>
            </w:tcBorders>
            <w:shd w:val="clear" w:color="000000" w:fill="FFFFFF"/>
            <w:noWrap/>
            <w:hideMark/>
          </w:tcPr>
          <w:p w:rsidR="00392E2A" w:rsidRPr="001A209B" w:rsidRDefault="00392E2A" w:rsidP="00961E29">
            <w:pPr>
              <w:jc w:val="right"/>
              <w:rPr>
                <w:rFonts w:cs="Arial"/>
                <w:sz w:val="18"/>
                <w:szCs w:val="18"/>
              </w:rPr>
            </w:pPr>
            <w:r w:rsidRPr="001A209B">
              <w:rPr>
                <w:rFonts w:cs="Arial"/>
                <w:sz w:val="18"/>
                <w:szCs w:val="18"/>
              </w:rPr>
              <w:t xml:space="preserve">6,254 </w:t>
            </w:r>
          </w:p>
        </w:tc>
      </w:tr>
    </w:tbl>
    <w:p w:rsidR="00E2295C" w:rsidRPr="001A209B" w:rsidRDefault="00E2295C" w:rsidP="009574AE">
      <w:pPr>
        <w:spacing w:before="20" w:after="20"/>
        <w:jc w:val="both"/>
        <w:rPr>
          <w:rFonts w:cs="Arial"/>
          <w:sz w:val="18"/>
          <w:szCs w:val="18"/>
        </w:rPr>
      </w:pPr>
    </w:p>
    <w:p w:rsidR="00E2295C" w:rsidRPr="001A209B" w:rsidRDefault="00E2295C" w:rsidP="009574AE">
      <w:pPr>
        <w:spacing w:before="20" w:after="20"/>
        <w:jc w:val="both"/>
        <w:rPr>
          <w:rFonts w:cs="Arial"/>
          <w:sz w:val="18"/>
          <w:szCs w:val="18"/>
        </w:rPr>
      </w:pPr>
    </w:p>
    <w:p w:rsidR="00E2295C" w:rsidRPr="001A209B" w:rsidRDefault="00E2295C" w:rsidP="009574AE">
      <w:pPr>
        <w:spacing w:before="20" w:after="20"/>
        <w:jc w:val="both"/>
        <w:rPr>
          <w:rFonts w:cs="Arial"/>
          <w:sz w:val="18"/>
          <w:szCs w:val="18"/>
        </w:rPr>
      </w:pPr>
    </w:p>
    <w:p w:rsidR="00E2295C" w:rsidRPr="001A209B" w:rsidRDefault="00E2295C" w:rsidP="009574AE">
      <w:pPr>
        <w:spacing w:before="20" w:after="20"/>
        <w:jc w:val="both"/>
        <w:rPr>
          <w:rFonts w:cs="Arial"/>
          <w:sz w:val="18"/>
          <w:szCs w:val="18"/>
        </w:rPr>
      </w:pPr>
    </w:p>
    <w:p w:rsidR="00E2295C" w:rsidRPr="001A209B" w:rsidRDefault="00E2295C">
      <w:pPr>
        <w:rPr>
          <w:rFonts w:cs="Arial"/>
          <w:sz w:val="18"/>
          <w:szCs w:val="18"/>
        </w:rPr>
      </w:pPr>
      <w:r w:rsidRPr="001A209B">
        <w:rPr>
          <w:rFonts w:cs="Arial"/>
          <w:sz w:val="18"/>
          <w:szCs w:val="18"/>
        </w:rPr>
        <w:br w:type="page"/>
      </w:r>
    </w:p>
    <w:p w:rsidR="00E2295C" w:rsidRPr="001A209B" w:rsidRDefault="00E2295C" w:rsidP="00E2295C">
      <w:pPr>
        <w:pBdr>
          <w:top w:val="single" w:sz="24" w:space="1" w:color="A60D1F"/>
          <w:left w:val="single" w:sz="24" w:space="4" w:color="A60D1F"/>
          <w:bottom w:val="single" w:sz="24" w:space="1" w:color="A60D1F"/>
          <w:right w:val="single" w:sz="24" w:space="4" w:color="A60D1F"/>
        </w:pBdr>
        <w:spacing w:before="20" w:after="20"/>
        <w:jc w:val="center"/>
        <w:rPr>
          <w:rFonts w:cs="Arial"/>
          <w:b/>
          <w:color w:val="A60D1F"/>
          <w:sz w:val="18"/>
          <w:szCs w:val="18"/>
        </w:rPr>
      </w:pPr>
      <w:r w:rsidRPr="001A209B">
        <w:rPr>
          <w:rFonts w:cs="Arial"/>
          <w:b/>
          <w:color w:val="A60D1F"/>
          <w:sz w:val="18"/>
          <w:szCs w:val="18"/>
        </w:rPr>
        <w:t xml:space="preserve">Consolidated </w:t>
      </w:r>
      <w:r w:rsidR="00961E29" w:rsidRPr="001A209B">
        <w:rPr>
          <w:rFonts w:cs="Arial"/>
          <w:b/>
          <w:color w:val="A60D1F"/>
          <w:sz w:val="18"/>
          <w:szCs w:val="18"/>
        </w:rPr>
        <w:t>Cash Flow Statement</w:t>
      </w:r>
    </w:p>
    <w:p w:rsidR="00E2295C" w:rsidRPr="001A209B" w:rsidRDefault="00E2295C" w:rsidP="009574AE">
      <w:pPr>
        <w:spacing w:before="20" w:after="20"/>
        <w:jc w:val="both"/>
        <w:rPr>
          <w:rFonts w:cs="Arial"/>
          <w:sz w:val="18"/>
          <w:szCs w:val="18"/>
        </w:rPr>
      </w:pPr>
    </w:p>
    <w:tbl>
      <w:tblPr>
        <w:tblW w:w="9139" w:type="dxa"/>
        <w:tblInd w:w="93" w:type="dxa"/>
        <w:tblCellMar>
          <w:top w:w="28" w:type="dxa"/>
          <w:left w:w="85" w:type="dxa"/>
          <w:right w:w="85" w:type="dxa"/>
        </w:tblCellMar>
        <w:tblLook w:val="04A0" w:firstRow="1" w:lastRow="0" w:firstColumn="1" w:lastColumn="0" w:noHBand="0" w:noVBand="1"/>
      </w:tblPr>
      <w:tblGrid>
        <w:gridCol w:w="5379"/>
        <w:gridCol w:w="1320"/>
        <w:gridCol w:w="1120"/>
        <w:gridCol w:w="1320"/>
      </w:tblGrid>
      <w:tr w:rsidR="00961E29" w:rsidRPr="001A209B" w:rsidTr="00961E29">
        <w:trPr>
          <w:trHeight w:val="960"/>
        </w:trPr>
        <w:tc>
          <w:tcPr>
            <w:tcW w:w="5379"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rPr>
                <w:rFonts w:cs="Arial"/>
                <w:sz w:val="18"/>
                <w:szCs w:val="18"/>
              </w:rPr>
            </w:pPr>
            <w:r w:rsidRPr="001A209B">
              <w:rPr>
                <w:rFonts w:cs="Arial"/>
                <w:sz w:val="18"/>
                <w:szCs w:val="18"/>
              </w:rPr>
              <w:t>£ million</w:t>
            </w:r>
          </w:p>
        </w:tc>
        <w:tc>
          <w:tcPr>
            <w:tcW w:w="1320" w:type="dxa"/>
            <w:tcBorders>
              <w:top w:val="nil"/>
              <w:left w:val="nil"/>
              <w:bottom w:val="single" w:sz="4" w:space="0" w:color="800000"/>
              <w:right w:val="nil"/>
            </w:tcBorders>
            <w:shd w:val="clear" w:color="000000" w:fill="FFFFFF"/>
            <w:vAlign w:val="bottom"/>
            <w:hideMark/>
          </w:tcPr>
          <w:p w:rsidR="00961E29" w:rsidRPr="001A209B" w:rsidRDefault="00961E29" w:rsidP="00961E29">
            <w:pPr>
              <w:jc w:val="right"/>
              <w:rPr>
                <w:rFonts w:cs="Arial"/>
                <w:b/>
                <w:bCs/>
                <w:color w:val="800000"/>
                <w:sz w:val="18"/>
                <w:szCs w:val="18"/>
              </w:rPr>
            </w:pPr>
            <w:r w:rsidRPr="001A209B">
              <w:rPr>
                <w:rFonts w:cs="Arial"/>
                <w:b/>
                <w:bCs/>
                <w:color w:val="800000"/>
                <w:sz w:val="18"/>
                <w:szCs w:val="18"/>
              </w:rPr>
              <w:t xml:space="preserve">6 months </w:t>
            </w:r>
            <w:r w:rsidRPr="001A209B">
              <w:rPr>
                <w:rFonts w:cs="Arial"/>
                <w:b/>
                <w:bCs/>
                <w:color w:val="800000"/>
                <w:sz w:val="18"/>
                <w:szCs w:val="18"/>
              </w:rPr>
              <w:br/>
              <w:t xml:space="preserve">ended </w:t>
            </w:r>
            <w:r w:rsidRPr="001A209B">
              <w:rPr>
                <w:rFonts w:cs="Arial"/>
                <w:b/>
                <w:bCs/>
                <w:color w:val="800000"/>
                <w:sz w:val="18"/>
                <w:szCs w:val="18"/>
              </w:rPr>
              <w:br/>
              <w:t xml:space="preserve">31 March </w:t>
            </w:r>
            <w:r w:rsidRPr="001A209B">
              <w:rPr>
                <w:rFonts w:cs="Arial"/>
                <w:b/>
                <w:bCs/>
                <w:color w:val="800000"/>
                <w:sz w:val="18"/>
                <w:szCs w:val="18"/>
              </w:rPr>
              <w:br/>
              <w:t xml:space="preserve">2014 </w:t>
            </w:r>
          </w:p>
        </w:tc>
        <w:tc>
          <w:tcPr>
            <w:tcW w:w="1120" w:type="dxa"/>
            <w:tcBorders>
              <w:top w:val="nil"/>
              <w:left w:val="nil"/>
              <w:bottom w:val="single" w:sz="4" w:space="0" w:color="800000"/>
              <w:right w:val="nil"/>
            </w:tcBorders>
            <w:shd w:val="clear" w:color="000000" w:fill="FFFFFF"/>
            <w:vAlign w:val="bottom"/>
            <w:hideMark/>
          </w:tcPr>
          <w:p w:rsidR="00961E29" w:rsidRPr="001A209B" w:rsidRDefault="00961E29" w:rsidP="00961E29">
            <w:pPr>
              <w:jc w:val="right"/>
              <w:rPr>
                <w:rFonts w:cs="Arial"/>
                <w:color w:val="000000"/>
                <w:sz w:val="18"/>
                <w:szCs w:val="18"/>
              </w:rPr>
            </w:pPr>
            <w:r w:rsidRPr="001A209B">
              <w:rPr>
                <w:rFonts w:cs="Arial"/>
                <w:color w:val="000000"/>
                <w:sz w:val="18"/>
                <w:szCs w:val="18"/>
              </w:rPr>
              <w:t xml:space="preserve">6 months </w:t>
            </w:r>
            <w:r w:rsidRPr="001A209B">
              <w:rPr>
                <w:rFonts w:cs="Arial"/>
                <w:color w:val="000000"/>
                <w:sz w:val="18"/>
                <w:szCs w:val="18"/>
              </w:rPr>
              <w:br/>
              <w:t xml:space="preserve">ended </w:t>
            </w:r>
            <w:r w:rsidRPr="001A209B">
              <w:rPr>
                <w:rFonts w:cs="Arial"/>
                <w:color w:val="000000"/>
                <w:sz w:val="18"/>
                <w:szCs w:val="18"/>
              </w:rPr>
              <w:br/>
              <w:t xml:space="preserve">31 March </w:t>
            </w:r>
            <w:r w:rsidRPr="001A209B">
              <w:rPr>
                <w:rFonts w:cs="Arial"/>
                <w:color w:val="000000"/>
                <w:sz w:val="18"/>
                <w:szCs w:val="18"/>
              </w:rPr>
              <w:br/>
              <w:t xml:space="preserve">2013 </w:t>
            </w:r>
          </w:p>
        </w:tc>
        <w:tc>
          <w:tcPr>
            <w:tcW w:w="1320" w:type="dxa"/>
            <w:tcBorders>
              <w:top w:val="nil"/>
              <w:left w:val="nil"/>
              <w:bottom w:val="single" w:sz="4" w:space="0" w:color="800000"/>
              <w:right w:val="nil"/>
            </w:tcBorders>
            <w:shd w:val="clear" w:color="000000" w:fill="FFFFFF"/>
            <w:vAlign w:val="bottom"/>
            <w:hideMark/>
          </w:tcPr>
          <w:p w:rsidR="00961E29" w:rsidRPr="001A209B" w:rsidRDefault="00961E29" w:rsidP="00961E29">
            <w:pPr>
              <w:jc w:val="right"/>
              <w:rPr>
                <w:rFonts w:cs="Arial"/>
                <w:color w:val="000000"/>
                <w:sz w:val="18"/>
                <w:szCs w:val="18"/>
              </w:rPr>
            </w:pPr>
            <w:r w:rsidRPr="001A209B">
              <w:rPr>
                <w:rFonts w:cs="Arial"/>
                <w:color w:val="000000"/>
                <w:sz w:val="18"/>
                <w:szCs w:val="18"/>
              </w:rPr>
              <w:t>Year ended</w:t>
            </w:r>
            <w:r w:rsidRPr="001A209B">
              <w:rPr>
                <w:rFonts w:cs="Arial"/>
                <w:color w:val="000000"/>
                <w:sz w:val="18"/>
                <w:szCs w:val="18"/>
              </w:rPr>
              <w:br/>
              <w:t>30 September</w:t>
            </w:r>
            <w:r w:rsidRPr="001A209B">
              <w:rPr>
                <w:rFonts w:cs="Arial"/>
                <w:color w:val="000000"/>
                <w:sz w:val="18"/>
                <w:szCs w:val="18"/>
              </w:rPr>
              <w:br/>
              <w:t xml:space="preserve">2013 </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b/>
                <w:bCs/>
                <w:color w:val="800000"/>
                <w:sz w:val="18"/>
                <w:szCs w:val="18"/>
              </w:rPr>
            </w:pPr>
            <w:r w:rsidRPr="001A209B">
              <w:rPr>
                <w:rFonts w:cs="Arial"/>
                <w:b/>
                <w:bCs/>
                <w:color w:val="800000"/>
                <w:sz w:val="18"/>
                <w:szCs w:val="18"/>
              </w:rPr>
              <w:t>Cash flows from operating activities</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0000FF"/>
                <w:sz w:val="18"/>
                <w:szCs w:val="18"/>
              </w:rPr>
            </w:pPr>
            <w:r w:rsidRPr="001A209B">
              <w:rPr>
                <w:rFonts w:cs="Arial"/>
                <w:b/>
                <w:bCs/>
                <w:color w:val="0000FF"/>
                <w:sz w:val="18"/>
                <w:szCs w:val="18"/>
              </w:rPr>
              <w:t> </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b/>
                <w:bCs/>
                <w:sz w:val="18"/>
                <w:szCs w:val="18"/>
              </w:rPr>
            </w:pPr>
            <w:r w:rsidRPr="001A209B">
              <w:rPr>
                <w:rFonts w:cs="Arial"/>
                <w:b/>
                <w:bCs/>
                <w:sz w:val="18"/>
                <w:szCs w:val="18"/>
              </w:rPr>
              <w:t> </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Operating profit</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 xml:space="preserve">999 </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1,201 </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1,958 </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Share of post-tax loss of associates</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 xml:space="preserve">1 </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 </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1 </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Depreciation, amortisation and impairment</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 xml:space="preserve">431 </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276 </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1,215 </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Loss/(profit) on disposal of property, plant and equipment</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 xml:space="preserve">4 </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(5)</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(5)</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Loss on disposal of software</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 xml:space="preserve">2 </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 </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1 </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Loss on disposal of businesses</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 xml:space="preserve">- </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3 </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13 </w:t>
            </w:r>
          </w:p>
        </w:tc>
      </w:tr>
      <w:tr w:rsidR="00961E29" w:rsidRPr="001A209B" w:rsidTr="00632DB1">
        <w:trPr>
          <w:trHeight w:val="240"/>
        </w:trPr>
        <w:tc>
          <w:tcPr>
            <w:tcW w:w="5379" w:type="dxa"/>
            <w:tcBorders>
              <w:top w:val="nil"/>
              <w:left w:val="nil"/>
              <w:bottom w:val="nil"/>
              <w:right w:val="nil"/>
            </w:tcBorders>
            <w:shd w:val="clear" w:color="000000" w:fill="FFFFFF"/>
            <w:vAlign w:val="center"/>
            <w:hideMark/>
          </w:tcPr>
          <w:p w:rsidR="00961E29" w:rsidRPr="001A209B" w:rsidRDefault="00961E29" w:rsidP="00632DB1">
            <w:pPr>
              <w:rPr>
                <w:rFonts w:cs="Arial"/>
                <w:sz w:val="18"/>
                <w:szCs w:val="18"/>
              </w:rPr>
            </w:pPr>
            <w:r w:rsidRPr="001A209B">
              <w:rPr>
                <w:rFonts w:cs="Arial"/>
                <w:sz w:val="18"/>
                <w:szCs w:val="18"/>
              </w:rPr>
              <w:t>Post-employment benefits</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(51)</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(36)</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(34)</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Costs of employees' services compensated by share schemes</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 xml:space="preserve">11 </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7 </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18 </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Movement in provisions</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(109)</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(52)</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(47)</w:t>
            </w:r>
          </w:p>
        </w:tc>
      </w:tr>
      <w:tr w:rsidR="00961E29" w:rsidRPr="001A209B" w:rsidTr="00632DB1">
        <w:trPr>
          <w:trHeight w:val="240"/>
        </w:trPr>
        <w:tc>
          <w:tcPr>
            <w:tcW w:w="5379" w:type="dxa"/>
            <w:tcBorders>
              <w:top w:val="single" w:sz="4" w:space="0" w:color="800000"/>
              <w:left w:val="nil"/>
              <w:bottom w:val="single" w:sz="4" w:space="0" w:color="800000"/>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Operating cash flows before movement in working capital</w:t>
            </w:r>
          </w:p>
        </w:tc>
        <w:tc>
          <w:tcPr>
            <w:tcW w:w="1320" w:type="dxa"/>
            <w:tcBorders>
              <w:top w:val="single" w:sz="4" w:space="0" w:color="800000"/>
              <w:left w:val="nil"/>
              <w:bottom w:val="single" w:sz="4" w:space="0" w:color="800000"/>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 xml:space="preserve">1,288 </w:t>
            </w:r>
          </w:p>
        </w:tc>
        <w:tc>
          <w:tcPr>
            <w:tcW w:w="1120" w:type="dxa"/>
            <w:tcBorders>
              <w:top w:val="single" w:sz="4" w:space="0" w:color="800000"/>
              <w:left w:val="nil"/>
              <w:bottom w:val="single" w:sz="4" w:space="0" w:color="800000"/>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1,394 </w:t>
            </w:r>
          </w:p>
        </w:tc>
        <w:tc>
          <w:tcPr>
            <w:tcW w:w="1320" w:type="dxa"/>
            <w:tcBorders>
              <w:top w:val="single" w:sz="4" w:space="0" w:color="800000"/>
              <w:left w:val="nil"/>
              <w:bottom w:val="single" w:sz="4" w:space="0" w:color="800000"/>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3,120 </w:t>
            </w:r>
          </w:p>
        </w:tc>
      </w:tr>
      <w:tr w:rsidR="00961E29" w:rsidRPr="001A209B" w:rsidTr="00632DB1">
        <w:trPr>
          <w:trHeight w:val="240"/>
        </w:trPr>
        <w:tc>
          <w:tcPr>
            <w:tcW w:w="5379" w:type="dxa"/>
            <w:tcBorders>
              <w:top w:val="nil"/>
              <w:left w:val="single" w:sz="4" w:space="0" w:color="800000"/>
              <w:bottom w:val="nil"/>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Increase in inventories</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(806)</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(499)</w:t>
            </w:r>
          </w:p>
        </w:tc>
        <w:tc>
          <w:tcPr>
            <w:tcW w:w="1320" w:type="dxa"/>
            <w:tcBorders>
              <w:top w:val="nil"/>
              <w:left w:val="nil"/>
              <w:bottom w:val="nil"/>
              <w:right w:val="single" w:sz="4" w:space="0" w:color="800000"/>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(93)</w:t>
            </w:r>
          </w:p>
        </w:tc>
      </w:tr>
      <w:tr w:rsidR="00961E29" w:rsidRPr="001A209B" w:rsidTr="00632DB1">
        <w:trPr>
          <w:trHeight w:val="240"/>
        </w:trPr>
        <w:tc>
          <w:tcPr>
            <w:tcW w:w="5379" w:type="dxa"/>
            <w:tcBorders>
              <w:top w:val="nil"/>
              <w:left w:val="single" w:sz="4" w:space="0" w:color="800000"/>
              <w:bottom w:val="nil"/>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(Increase)/decrease in trade and other receivables</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(166)</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(114)</w:t>
            </w:r>
          </w:p>
        </w:tc>
        <w:tc>
          <w:tcPr>
            <w:tcW w:w="1320" w:type="dxa"/>
            <w:tcBorders>
              <w:top w:val="nil"/>
              <w:left w:val="nil"/>
              <w:bottom w:val="nil"/>
              <w:right w:val="single" w:sz="4" w:space="0" w:color="800000"/>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151 </w:t>
            </w:r>
          </w:p>
        </w:tc>
      </w:tr>
      <w:tr w:rsidR="00961E29" w:rsidRPr="001A209B" w:rsidTr="00632DB1">
        <w:trPr>
          <w:trHeight w:val="240"/>
        </w:trPr>
        <w:tc>
          <w:tcPr>
            <w:tcW w:w="5379" w:type="dxa"/>
            <w:tcBorders>
              <w:top w:val="nil"/>
              <w:left w:val="single" w:sz="4" w:space="0" w:color="800000"/>
              <w:bottom w:val="single" w:sz="4" w:space="0" w:color="800000"/>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Decrease in trade and other payables</w:t>
            </w:r>
          </w:p>
        </w:tc>
        <w:tc>
          <w:tcPr>
            <w:tcW w:w="1320" w:type="dxa"/>
            <w:tcBorders>
              <w:top w:val="nil"/>
              <w:left w:val="nil"/>
              <w:bottom w:val="single" w:sz="4" w:space="0" w:color="800000"/>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(556)</w:t>
            </w:r>
          </w:p>
        </w:tc>
        <w:tc>
          <w:tcPr>
            <w:tcW w:w="1120" w:type="dxa"/>
            <w:tcBorders>
              <w:top w:val="nil"/>
              <w:left w:val="nil"/>
              <w:bottom w:val="single" w:sz="4" w:space="0" w:color="800000"/>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(641)</w:t>
            </w:r>
          </w:p>
        </w:tc>
        <w:tc>
          <w:tcPr>
            <w:tcW w:w="1320" w:type="dxa"/>
            <w:tcBorders>
              <w:top w:val="nil"/>
              <w:left w:val="nil"/>
              <w:bottom w:val="single" w:sz="4" w:space="0" w:color="800000"/>
              <w:right w:val="single" w:sz="4" w:space="0" w:color="800000"/>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(140)</w:t>
            </w:r>
          </w:p>
        </w:tc>
      </w:tr>
      <w:tr w:rsidR="00961E29" w:rsidRPr="001A209B" w:rsidTr="00632DB1">
        <w:trPr>
          <w:trHeight w:val="240"/>
        </w:trPr>
        <w:tc>
          <w:tcPr>
            <w:tcW w:w="5379" w:type="dxa"/>
            <w:tcBorders>
              <w:top w:val="nil"/>
              <w:left w:val="nil"/>
              <w:bottom w:val="single" w:sz="4" w:space="0" w:color="800000"/>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Movement in working capital</w:t>
            </w:r>
          </w:p>
        </w:tc>
        <w:tc>
          <w:tcPr>
            <w:tcW w:w="1320" w:type="dxa"/>
            <w:tcBorders>
              <w:top w:val="nil"/>
              <w:left w:val="nil"/>
              <w:bottom w:val="single" w:sz="4" w:space="0" w:color="800000"/>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(1,528)</w:t>
            </w:r>
          </w:p>
        </w:tc>
        <w:tc>
          <w:tcPr>
            <w:tcW w:w="1120" w:type="dxa"/>
            <w:tcBorders>
              <w:top w:val="nil"/>
              <w:left w:val="nil"/>
              <w:bottom w:val="single" w:sz="4" w:space="0" w:color="800000"/>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(1,254)</w:t>
            </w:r>
          </w:p>
        </w:tc>
        <w:tc>
          <w:tcPr>
            <w:tcW w:w="1320" w:type="dxa"/>
            <w:tcBorders>
              <w:top w:val="nil"/>
              <w:left w:val="nil"/>
              <w:bottom w:val="single" w:sz="4" w:space="0" w:color="800000"/>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(82)</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Taxation paid</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(230)</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(467)</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(686)</w:t>
            </w:r>
          </w:p>
        </w:tc>
      </w:tr>
      <w:tr w:rsidR="00961E29" w:rsidRPr="001A209B" w:rsidTr="00632DB1">
        <w:trPr>
          <w:trHeight w:val="240"/>
        </w:trPr>
        <w:tc>
          <w:tcPr>
            <w:tcW w:w="5379" w:type="dxa"/>
            <w:tcBorders>
              <w:top w:val="single" w:sz="4" w:space="0" w:color="800000"/>
              <w:left w:val="nil"/>
              <w:bottom w:val="single" w:sz="4" w:space="0" w:color="800000"/>
              <w:right w:val="nil"/>
            </w:tcBorders>
            <w:shd w:val="clear" w:color="000000" w:fill="FFFFFF"/>
            <w:noWrap/>
            <w:vAlign w:val="center"/>
            <w:hideMark/>
          </w:tcPr>
          <w:p w:rsidR="00961E29" w:rsidRPr="001A209B" w:rsidRDefault="00961E29" w:rsidP="00632DB1">
            <w:pPr>
              <w:rPr>
                <w:rFonts w:cs="Arial"/>
                <w:b/>
                <w:bCs/>
                <w:color w:val="800000"/>
                <w:sz w:val="18"/>
                <w:szCs w:val="18"/>
              </w:rPr>
            </w:pPr>
            <w:r w:rsidRPr="001A209B">
              <w:rPr>
                <w:rFonts w:cs="Arial"/>
                <w:b/>
                <w:bCs/>
                <w:color w:val="800000"/>
                <w:sz w:val="18"/>
                <w:szCs w:val="18"/>
              </w:rPr>
              <w:t>Net cash flows (used in)/generated by operating activities</w:t>
            </w:r>
          </w:p>
        </w:tc>
        <w:tc>
          <w:tcPr>
            <w:tcW w:w="1320" w:type="dxa"/>
            <w:tcBorders>
              <w:top w:val="single" w:sz="4" w:space="0" w:color="800000"/>
              <w:left w:val="nil"/>
              <w:bottom w:val="single" w:sz="4" w:space="0" w:color="800000"/>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(470)</w:t>
            </w:r>
          </w:p>
        </w:tc>
        <w:tc>
          <w:tcPr>
            <w:tcW w:w="1120" w:type="dxa"/>
            <w:tcBorders>
              <w:top w:val="single" w:sz="4" w:space="0" w:color="800000"/>
              <w:left w:val="nil"/>
              <w:bottom w:val="single" w:sz="4" w:space="0" w:color="800000"/>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(327)</w:t>
            </w:r>
          </w:p>
        </w:tc>
        <w:tc>
          <w:tcPr>
            <w:tcW w:w="1320" w:type="dxa"/>
            <w:tcBorders>
              <w:top w:val="single" w:sz="4" w:space="0" w:color="800000"/>
              <w:left w:val="nil"/>
              <w:bottom w:val="single" w:sz="4" w:space="0" w:color="800000"/>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2,352 </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b/>
                <w:bCs/>
                <w:color w:val="800000"/>
                <w:sz w:val="18"/>
                <w:szCs w:val="18"/>
              </w:rPr>
            </w:pPr>
            <w:r w:rsidRPr="001A209B">
              <w:rPr>
                <w:rFonts w:cs="Arial"/>
                <w:b/>
                <w:bCs/>
                <w:color w:val="800000"/>
                <w:sz w:val="18"/>
                <w:szCs w:val="18"/>
              </w:rPr>
              <w:t>Cash flows from investing activities</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 </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b/>
                <w:bCs/>
                <w:sz w:val="18"/>
                <w:szCs w:val="18"/>
              </w:rPr>
            </w:pPr>
            <w:r w:rsidRPr="001A209B">
              <w:rPr>
                <w:rFonts w:cs="Arial"/>
                <w:b/>
                <w:bCs/>
                <w:sz w:val="18"/>
                <w:szCs w:val="18"/>
              </w:rPr>
              <w:t> </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color w:val="000000"/>
                <w:sz w:val="18"/>
                <w:szCs w:val="18"/>
              </w:rPr>
            </w:pPr>
            <w:r w:rsidRPr="001A209B">
              <w:rPr>
                <w:rFonts w:cs="Arial"/>
                <w:color w:val="000000"/>
                <w:sz w:val="18"/>
                <w:szCs w:val="18"/>
              </w:rPr>
              <w:t> </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color w:val="000000"/>
                <w:sz w:val="18"/>
                <w:szCs w:val="18"/>
              </w:rPr>
            </w:pPr>
            <w:r w:rsidRPr="001A209B">
              <w:rPr>
                <w:rFonts w:cs="Arial"/>
                <w:color w:val="000000"/>
                <w:sz w:val="18"/>
                <w:szCs w:val="18"/>
              </w:rPr>
              <w:t>Interest received</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 xml:space="preserve">4 </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5 </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9 </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color w:val="000000"/>
                <w:sz w:val="18"/>
                <w:szCs w:val="18"/>
              </w:rPr>
            </w:pPr>
            <w:r w:rsidRPr="001A209B">
              <w:rPr>
                <w:rFonts w:cs="Arial"/>
                <w:color w:val="000000"/>
                <w:sz w:val="18"/>
                <w:szCs w:val="18"/>
              </w:rPr>
              <w:t>Purchase of property, plant and equipment</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(114)</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(167)</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(269)</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color w:val="000000"/>
                <w:sz w:val="18"/>
                <w:szCs w:val="18"/>
              </w:rPr>
            </w:pPr>
            <w:r w:rsidRPr="001A209B">
              <w:rPr>
                <w:rFonts w:cs="Arial"/>
                <w:color w:val="000000"/>
                <w:sz w:val="18"/>
                <w:szCs w:val="18"/>
              </w:rPr>
              <w:t>Proceeds from sale of property, plant and equipment</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 xml:space="preserve">26 </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8 </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14 </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color w:val="000000"/>
                <w:sz w:val="18"/>
                <w:szCs w:val="18"/>
              </w:rPr>
            </w:pPr>
            <w:r w:rsidRPr="001A209B">
              <w:rPr>
                <w:rFonts w:cs="Arial"/>
                <w:color w:val="000000"/>
                <w:sz w:val="18"/>
                <w:szCs w:val="18"/>
              </w:rPr>
              <w:t>Purchase of intangible assets - software</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(16)</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(11)</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(27)</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Purchase of intangible assets - intellectual property rights</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(37)</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 </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(9)</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Purchases of businesses - net of cash acquired</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 xml:space="preserve">- </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 </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(35)</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Proceeds from sale of businesses - net of cash disposed</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 xml:space="preserve">- </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 </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1 </w:t>
            </w:r>
          </w:p>
        </w:tc>
      </w:tr>
      <w:tr w:rsidR="00961E29" w:rsidRPr="001A209B" w:rsidTr="00632DB1">
        <w:trPr>
          <w:trHeight w:val="240"/>
        </w:trPr>
        <w:tc>
          <w:tcPr>
            <w:tcW w:w="5379" w:type="dxa"/>
            <w:tcBorders>
              <w:top w:val="single" w:sz="4" w:space="0" w:color="800000"/>
              <w:left w:val="nil"/>
              <w:bottom w:val="single" w:sz="4" w:space="0" w:color="800000"/>
              <w:right w:val="nil"/>
            </w:tcBorders>
            <w:shd w:val="clear" w:color="000000" w:fill="FFFFFF"/>
            <w:noWrap/>
            <w:vAlign w:val="center"/>
            <w:hideMark/>
          </w:tcPr>
          <w:p w:rsidR="00961E29" w:rsidRPr="001A209B" w:rsidRDefault="00961E29" w:rsidP="00632DB1">
            <w:pPr>
              <w:rPr>
                <w:rFonts w:cs="Arial"/>
                <w:b/>
                <w:bCs/>
                <w:color w:val="800000"/>
                <w:sz w:val="18"/>
                <w:szCs w:val="18"/>
              </w:rPr>
            </w:pPr>
            <w:r w:rsidRPr="001A209B">
              <w:rPr>
                <w:rFonts w:cs="Arial"/>
                <w:b/>
                <w:bCs/>
                <w:color w:val="800000"/>
                <w:sz w:val="18"/>
                <w:szCs w:val="18"/>
              </w:rPr>
              <w:t>Net cash used in investing activities</w:t>
            </w:r>
          </w:p>
        </w:tc>
        <w:tc>
          <w:tcPr>
            <w:tcW w:w="1320" w:type="dxa"/>
            <w:tcBorders>
              <w:top w:val="single" w:sz="4" w:space="0" w:color="800000"/>
              <w:left w:val="nil"/>
              <w:bottom w:val="single" w:sz="4" w:space="0" w:color="800000"/>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(137)</w:t>
            </w:r>
          </w:p>
        </w:tc>
        <w:tc>
          <w:tcPr>
            <w:tcW w:w="1120" w:type="dxa"/>
            <w:tcBorders>
              <w:top w:val="single" w:sz="4" w:space="0" w:color="800000"/>
              <w:left w:val="nil"/>
              <w:bottom w:val="single" w:sz="4" w:space="0" w:color="800000"/>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(165)</w:t>
            </w:r>
          </w:p>
        </w:tc>
        <w:tc>
          <w:tcPr>
            <w:tcW w:w="1320" w:type="dxa"/>
            <w:tcBorders>
              <w:top w:val="single" w:sz="4" w:space="0" w:color="800000"/>
              <w:left w:val="nil"/>
              <w:bottom w:val="single" w:sz="4" w:space="0" w:color="800000"/>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(316)</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b/>
                <w:bCs/>
                <w:color w:val="800000"/>
                <w:sz w:val="18"/>
                <w:szCs w:val="18"/>
              </w:rPr>
            </w:pPr>
            <w:r w:rsidRPr="001A209B">
              <w:rPr>
                <w:rFonts w:cs="Arial"/>
                <w:b/>
                <w:bCs/>
                <w:color w:val="800000"/>
                <w:sz w:val="18"/>
                <w:szCs w:val="18"/>
              </w:rPr>
              <w:t>Cash flows from financing activities</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 </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b/>
                <w:bCs/>
                <w:sz w:val="18"/>
                <w:szCs w:val="18"/>
              </w:rPr>
            </w:pPr>
            <w:r w:rsidRPr="001A209B">
              <w:rPr>
                <w:rFonts w:cs="Arial"/>
                <w:b/>
                <w:bCs/>
                <w:sz w:val="18"/>
                <w:szCs w:val="18"/>
              </w:rPr>
              <w:t> </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color w:val="000000"/>
                <w:sz w:val="18"/>
                <w:szCs w:val="18"/>
              </w:rPr>
            </w:pPr>
            <w:r w:rsidRPr="001A209B">
              <w:rPr>
                <w:rFonts w:cs="Arial"/>
                <w:color w:val="000000"/>
                <w:sz w:val="18"/>
                <w:szCs w:val="18"/>
              </w:rPr>
              <w:t>Interest paid</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(401)</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(376)</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(522)</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Cash from employees on maturity/exercise of share schemes</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 xml:space="preserve">1 </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1 </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6 </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Purchase of shares by Employee Share Ownership Trusts</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(2)</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(3)</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(6)</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color w:val="000000"/>
                <w:sz w:val="18"/>
                <w:szCs w:val="18"/>
              </w:rPr>
            </w:pPr>
            <w:r w:rsidRPr="001A209B">
              <w:rPr>
                <w:rFonts w:cs="Arial"/>
                <w:color w:val="000000"/>
                <w:sz w:val="18"/>
                <w:szCs w:val="18"/>
              </w:rPr>
              <w:t>Increase in borrowings</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 xml:space="preserve">3,055 </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1,801 </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4,884 </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color w:val="000000"/>
                <w:sz w:val="18"/>
                <w:szCs w:val="18"/>
              </w:rPr>
            </w:pPr>
            <w:r w:rsidRPr="001A209B">
              <w:rPr>
                <w:rFonts w:cs="Arial"/>
                <w:color w:val="000000"/>
                <w:sz w:val="18"/>
                <w:szCs w:val="18"/>
              </w:rPr>
              <w:t>Repayment of borrowings</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(2,166)</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 </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(3,443)</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Cash flows relating to derivative financial instruments</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 xml:space="preserve">- </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68 </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(28)</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Finance lease payments</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 xml:space="preserve">- </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(20)</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(20)</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Purchase of treasury shares</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(237)</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(295)</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(500)</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color w:val="000000"/>
                <w:sz w:val="18"/>
                <w:szCs w:val="18"/>
              </w:rPr>
            </w:pPr>
            <w:r w:rsidRPr="001A209B">
              <w:rPr>
                <w:rFonts w:cs="Arial"/>
                <w:color w:val="000000"/>
                <w:sz w:val="18"/>
                <w:szCs w:val="18"/>
              </w:rPr>
              <w:t>Dividends paid to non-controlling interests</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(12)</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(3)</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(19)</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sz w:val="18"/>
                <w:szCs w:val="18"/>
              </w:rPr>
            </w:pPr>
            <w:r w:rsidRPr="001A209B">
              <w:rPr>
                <w:rFonts w:cs="Arial"/>
                <w:sz w:val="18"/>
                <w:szCs w:val="18"/>
              </w:rPr>
              <w:t>Dividends paid to owners of the parent</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(779)</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(724)</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(1,065)</w:t>
            </w:r>
          </w:p>
        </w:tc>
      </w:tr>
      <w:tr w:rsidR="00961E29" w:rsidRPr="001A209B" w:rsidTr="00632DB1">
        <w:trPr>
          <w:trHeight w:val="240"/>
        </w:trPr>
        <w:tc>
          <w:tcPr>
            <w:tcW w:w="5379" w:type="dxa"/>
            <w:tcBorders>
              <w:top w:val="single" w:sz="4" w:space="0" w:color="800000"/>
              <w:left w:val="nil"/>
              <w:bottom w:val="single" w:sz="4" w:space="0" w:color="800000"/>
              <w:right w:val="nil"/>
            </w:tcBorders>
            <w:shd w:val="clear" w:color="000000" w:fill="FFFFFF"/>
            <w:noWrap/>
            <w:vAlign w:val="center"/>
            <w:hideMark/>
          </w:tcPr>
          <w:p w:rsidR="00961E29" w:rsidRPr="001A209B" w:rsidRDefault="00961E29" w:rsidP="00632DB1">
            <w:pPr>
              <w:rPr>
                <w:rFonts w:cs="Arial"/>
                <w:b/>
                <w:bCs/>
                <w:color w:val="800000"/>
                <w:sz w:val="18"/>
                <w:szCs w:val="18"/>
              </w:rPr>
            </w:pPr>
            <w:r w:rsidRPr="001A209B">
              <w:rPr>
                <w:rFonts w:cs="Arial"/>
                <w:b/>
                <w:bCs/>
                <w:color w:val="800000"/>
                <w:sz w:val="18"/>
                <w:szCs w:val="18"/>
              </w:rPr>
              <w:t>Net cash (used in)/generated by financing activities</w:t>
            </w:r>
          </w:p>
        </w:tc>
        <w:tc>
          <w:tcPr>
            <w:tcW w:w="1320" w:type="dxa"/>
            <w:tcBorders>
              <w:top w:val="single" w:sz="4" w:space="0" w:color="800000"/>
              <w:left w:val="nil"/>
              <w:bottom w:val="single" w:sz="4" w:space="0" w:color="800000"/>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(541)</w:t>
            </w:r>
          </w:p>
        </w:tc>
        <w:tc>
          <w:tcPr>
            <w:tcW w:w="1120" w:type="dxa"/>
            <w:tcBorders>
              <w:top w:val="single" w:sz="4" w:space="0" w:color="800000"/>
              <w:left w:val="nil"/>
              <w:bottom w:val="single" w:sz="4" w:space="0" w:color="800000"/>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449 </w:t>
            </w:r>
          </w:p>
        </w:tc>
        <w:tc>
          <w:tcPr>
            <w:tcW w:w="1320" w:type="dxa"/>
            <w:tcBorders>
              <w:top w:val="single" w:sz="4" w:space="0" w:color="800000"/>
              <w:left w:val="nil"/>
              <w:bottom w:val="single" w:sz="4" w:space="0" w:color="800000"/>
              <w:right w:val="nil"/>
            </w:tcBorders>
            <w:shd w:val="clear" w:color="000000" w:fill="FFFFFF"/>
            <w:noWrap/>
            <w:vAlign w:val="center"/>
            <w:hideMark/>
          </w:tcPr>
          <w:p w:rsidR="00961E29" w:rsidRPr="001A209B" w:rsidRDefault="00961E29" w:rsidP="00632DB1">
            <w:pPr>
              <w:jc w:val="right"/>
              <w:rPr>
                <w:rFonts w:cs="Arial"/>
                <w:color w:val="000000"/>
                <w:sz w:val="18"/>
                <w:szCs w:val="18"/>
              </w:rPr>
            </w:pPr>
            <w:r w:rsidRPr="001A209B">
              <w:rPr>
                <w:rFonts w:cs="Arial"/>
                <w:color w:val="000000"/>
                <w:sz w:val="18"/>
                <w:szCs w:val="18"/>
              </w:rPr>
              <w:t>(713)</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b/>
                <w:bCs/>
                <w:color w:val="800000"/>
                <w:sz w:val="18"/>
                <w:szCs w:val="18"/>
              </w:rPr>
            </w:pPr>
            <w:r w:rsidRPr="001A209B">
              <w:rPr>
                <w:rFonts w:cs="Arial"/>
                <w:b/>
                <w:bCs/>
                <w:color w:val="800000"/>
                <w:sz w:val="18"/>
                <w:szCs w:val="18"/>
              </w:rPr>
              <w:t>Net (decrease)/increase in cash and cash equivalents</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(1,148)</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(43)</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color w:val="000000"/>
                <w:sz w:val="18"/>
                <w:szCs w:val="18"/>
              </w:rPr>
            </w:pPr>
            <w:r w:rsidRPr="001A209B">
              <w:rPr>
                <w:rFonts w:cs="Arial"/>
                <w:color w:val="000000"/>
                <w:sz w:val="18"/>
                <w:szCs w:val="18"/>
              </w:rPr>
              <w:t xml:space="preserve">1,323 </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b/>
                <w:bCs/>
                <w:color w:val="800000"/>
                <w:sz w:val="18"/>
                <w:szCs w:val="18"/>
              </w:rPr>
            </w:pPr>
            <w:r w:rsidRPr="001A209B">
              <w:rPr>
                <w:rFonts w:cs="Arial"/>
                <w:b/>
                <w:bCs/>
                <w:color w:val="800000"/>
                <w:sz w:val="18"/>
                <w:szCs w:val="18"/>
              </w:rPr>
              <w:t>Cash and cash equivalents at start of period</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 xml:space="preserve">1,809 </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631 </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631 </w:t>
            </w:r>
          </w:p>
        </w:tc>
      </w:tr>
      <w:tr w:rsidR="00961E29" w:rsidRPr="001A209B" w:rsidTr="00632DB1">
        <w:trPr>
          <w:trHeight w:val="240"/>
        </w:trPr>
        <w:tc>
          <w:tcPr>
            <w:tcW w:w="5379" w:type="dxa"/>
            <w:tcBorders>
              <w:top w:val="nil"/>
              <w:left w:val="nil"/>
              <w:bottom w:val="nil"/>
              <w:right w:val="nil"/>
            </w:tcBorders>
            <w:shd w:val="clear" w:color="000000" w:fill="FFFFFF"/>
            <w:noWrap/>
            <w:vAlign w:val="center"/>
            <w:hideMark/>
          </w:tcPr>
          <w:p w:rsidR="00961E29" w:rsidRPr="001A209B" w:rsidRDefault="00961E29" w:rsidP="00632DB1">
            <w:pPr>
              <w:rPr>
                <w:rFonts w:cs="Arial"/>
                <w:color w:val="000000"/>
                <w:sz w:val="18"/>
                <w:szCs w:val="18"/>
              </w:rPr>
            </w:pPr>
            <w:r w:rsidRPr="001A209B">
              <w:rPr>
                <w:rFonts w:cs="Arial"/>
                <w:color w:val="000000"/>
                <w:sz w:val="18"/>
                <w:szCs w:val="18"/>
              </w:rPr>
              <w:t>Effect of foreign exchange rates on cash and cash equivalents</w:t>
            </w:r>
          </w:p>
        </w:tc>
        <w:tc>
          <w:tcPr>
            <w:tcW w:w="1320" w:type="dxa"/>
            <w:tcBorders>
              <w:top w:val="nil"/>
              <w:left w:val="nil"/>
              <w:bottom w:val="nil"/>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(30)</w:t>
            </w:r>
          </w:p>
        </w:tc>
        <w:tc>
          <w:tcPr>
            <w:tcW w:w="11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 xml:space="preserve">61 </w:t>
            </w:r>
          </w:p>
        </w:tc>
        <w:tc>
          <w:tcPr>
            <w:tcW w:w="1320" w:type="dxa"/>
            <w:tcBorders>
              <w:top w:val="nil"/>
              <w:left w:val="nil"/>
              <w:bottom w:val="nil"/>
              <w:right w:val="nil"/>
            </w:tcBorders>
            <w:shd w:val="clear" w:color="000000" w:fill="FFFFFF"/>
            <w:noWrap/>
            <w:vAlign w:val="center"/>
            <w:hideMark/>
          </w:tcPr>
          <w:p w:rsidR="00961E29" w:rsidRPr="001A209B" w:rsidRDefault="00961E29" w:rsidP="00632DB1">
            <w:pPr>
              <w:jc w:val="right"/>
              <w:rPr>
                <w:rFonts w:cs="Arial"/>
                <w:sz w:val="18"/>
                <w:szCs w:val="18"/>
              </w:rPr>
            </w:pPr>
            <w:r w:rsidRPr="001A209B">
              <w:rPr>
                <w:rFonts w:cs="Arial"/>
                <w:sz w:val="18"/>
                <w:szCs w:val="18"/>
              </w:rPr>
              <w:t>(145)</w:t>
            </w:r>
          </w:p>
        </w:tc>
      </w:tr>
      <w:tr w:rsidR="00961E29" w:rsidRPr="001A209B" w:rsidTr="00632DB1">
        <w:trPr>
          <w:trHeight w:val="255"/>
        </w:trPr>
        <w:tc>
          <w:tcPr>
            <w:tcW w:w="5379" w:type="dxa"/>
            <w:tcBorders>
              <w:top w:val="single" w:sz="4" w:space="0" w:color="800000"/>
              <w:left w:val="nil"/>
              <w:bottom w:val="single" w:sz="8" w:space="0" w:color="800000"/>
              <w:right w:val="nil"/>
            </w:tcBorders>
            <w:shd w:val="clear" w:color="000000" w:fill="FFFFFF"/>
            <w:noWrap/>
            <w:vAlign w:val="center"/>
            <w:hideMark/>
          </w:tcPr>
          <w:p w:rsidR="00961E29" w:rsidRPr="001A209B" w:rsidRDefault="00961E29" w:rsidP="00632DB1">
            <w:pPr>
              <w:rPr>
                <w:rFonts w:cs="Arial"/>
                <w:b/>
                <w:bCs/>
                <w:color w:val="800000"/>
                <w:sz w:val="18"/>
                <w:szCs w:val="18"/>
              </w:rPr>
            </w:pPr>
            <w:r w:rsidRPr="001A209B">
              <w:rPr>
                <w:rFonts w:cs="Arial"/>
                <w:b/>
                <w:bCs/>
                <w:color w:val="800000"/>
                <w:sz w:val="18"/>
                <w:szCs w:val="18"/>
              </w:rPr>
              <w:t>Cash and cash equivalents at end of period</w:t>
            </w:r>
          </w:p>
        </w:tc>
        <w:tc>
          <w:tcPr>
            <w:tcW w:w="1320" w:type="dxa"/>
            <w:tcBorders>
              <w:top w:val="single" w:sz="4" w:space="0" w:color="800000"/>
              <w:left w:val="nil"/>
              <w:bottom w:val="single" w:sz="8" w:space="0" w:color="800000"/>
              <w:right w:val="nil"/>
            </w:tcBorders>
            <w:shd w:val="clear" w:color="000000" w:fill="C0C0C0"/>
            <w:noWrap/>
            <w:vAlign w:val="center"/>
            <w:hideMark/>
          </w:tcPr>
          <w:p w:rsidR="00961E29" w:rsidRPr="001A209B" w:rsidRDefault="00961E29" w:rsidP="00632DB1">
            <w:pPr>
              <w:jc w:val="right"/>
              <w:rPr>
                <w:rFonts w:cs="Arial"/>
                <w:b/>
                <w:bCs/>
                <w:color w:val="800000"/>
                <w:sz w:val="18"/>
                <w:szCs w:val="18"/>
              </w:rPr>
            </w:pPr>
            <w:r w:rsidRPr="001A209B">
              <w:rPr>
                <w:rFonts w:cs="Arial"/>
                <w:b/>
                <w:bCs/>
                <w:color w:val="800000"/>
                <w:sz w:val="18"/>
                <w:szCs w:val="18"/>
              </w:rPr>
              <w:t xml:space="preserve">631 </w:t>
            </w:r>
          </w:p>
        </w:tc>
        <w:tc>
          <w:tcPr>
            <w:tcW w:w="1120" w:type="dxa"/>
            <w:tcBorders>
              <w:top w:val="single" w:sz="4" w:space="0" w:color="800000"/>
              <w:left w:val="nil"/>
              <w:bottom w:val="single" w:sz="8" w:space="0" w:color="800000"/>
              <w:right w:val="nil"/>
            </w:tcBorders>
            <w:shd w:val="clear" w:color="000000" w:fill="FFFFFF"/>
            <w:noWrap/>
            <w:vAlign w:val="center"/>
            <w:hideMark/>
          </w:tcPr>
          <w:p w:rsidR="00961E29" w:rsidRPr="001A209B" w:rsidRDefault="00961E29" w:rsidP="00632DB1">
            <w:pPr>
              <w:jc w:val="right"/>
              <w:rPr>
                <w:rFonts w:cs="Arial"/>
                <w:color w:val="000000"/>
                <w:sz w:val="18"/>
                <w:szCs w:val="18"/>
              </w:rPr>
            </w:pPr>
            <w:r w:rsidRPr="001A209B">
              <w:rPr>
                <w:rFonts w:cs="Arial"/>
                <w:color w:val="000000"/>
                <w:sz w:val="18"/>
                <w:szCs w:val="18"/>
              </w:rPr>
              <w:t xml:space="preserve">649 </w:t>
            </w:r>
          </w:p>
        </w:tc>
        <w:tc>
          <w:tcPr>
            <w:tcW w:w="1320" w:type="dxa"/>
            <w:tcBorders>
              <w:top w:val="single" w:sz="4" w:space="0" w:color="800000"/>
              <w:left w:val="nil"/>
              <w:bottom w:val="single" w:sz="8" w:space="0" w:color="800000"/>
              <w:right w:val="nil"/>
            </w:tcBorders>
            <w:shd w:val="clear" w:color="000000" w:fill="FFFFFF"/>
            <w:noWrap/>
            <w:vAlign w:val="center"/>
            <w:hideMark/>
          </w:tcPr>
          <w:p w:rsidR="00961E29" w:rsidRPr="001A209B" w:rsidRDefault="00961E29" w:rsidP="00632DB1">
            <w:pPr>
              <w:jc w:val="right"/>
              <w:rPr>
                <w:rFonts w:cs="Arial"/>
                <w:color w:val="000000"/>
                <w:sz w:val="18"/>
                <w:szCs w:val="18"/>
              </w:rPr>
            </w:pPr>
            <w:r w:rsidRPr="001A209B">
              <w:rPr>
                <w:rFonts w:cs="Arial"/>
                <w:color w:val="000000"/>
                <w:sz w:val="18"/>
                <w:szCs w:val="18"/>
              </w:rPr>
              <w:t xml:space="preserve">1,809 </w:t>
            </w:r>
          </w:p>
        </w:tc>
      </w:tr>
    </w:tbl>
    <w:p w:rsidR="00961E29" w:rsidRPr="001A209B" w:rsidRDefault="00961E29" w:rsidP="009574AE">
      <w:pPr>
        <w:spacing w:before="20" w:after="20"/>
        <w:jc w:val="both"/>
        <w:rPr>
          <w:rFonts w:cs="Arial"/>
          <w:sz w:val="18"/>
          <w:szCs w:val="18"/>
        </w:rPr>
      </w:pPr>
    </w:p>
    <w:p w:rsidR="00E2295C" w:rsidRPr="001A209B" w:rsidRDefault="00E2295C" w:rsidP="009574AE">
      <w:pPr>
        <w:spacing w:before="20" w:after="20"/>
        <w:jc w:val="both"/>
        <w:rPr>
          <w:rFonts w:cs="Arial"/>
          <w:sz w:val="18"/>
          <w:szCs w:val="18"/>
        </w:rPr>
      </w:pPr>
    </w:p>
    <w:p w:rsidR="00E2295C" w:rsidRPr="001A209B" w:rsidRDefault="00E2295C" w:rsidP="009574AE">
      <w:pPr>
        <w:spacing w:before="20" w:after="20"/>
        <w:jc w:val="both"/>
        <w:rPr>
          <w:rFonts w:cs="Arial"/>
          <w:sz w:val="18"/>
          <w:szCs w:val="18"/>
        </w:rPr>
      </w:pPr>
    </w:p>
    <w:p w:rsidR="00E2295C" w:rsidRPr="001A209B" w:rsidRDefault="00E2295C" w:rsidP="009574AE">
      <w:pPr>
        <w:spacing w:before="20" w:after="20"/>
        <w:jc w:val="both"/>
        <w:rPr>
          <w:rFonts w:cs="Arial"/>
          <w:sz w:val="18"/>
          <w:szCs w:val="18"/>
        </w:rPr>
      </w:pPr>
    </w:p>
    <w:p w:rsidR="00E2295C" w:rsidRPr="001A209B" w:rsidRDefault="00E2295C" w:rsidP="009574AE">
      <w:pPr>
        <w:spacing w:before="20" w:after="20"/>
        <w:jc w:val="both"/>
        <w:rPr>
          <w:rFonts w:cs="Arial"/>
          <w:sz w:val="18"/>
          <w:szCs w:val="18"/>
        </w:rPr>
      </w:pPr>
    </w:p>
    <w:p w:rsidR="00961E29" w:rsidRPr="001A209B" w:rsidRDefault="00961E29" w:rsidP="00961E29">
      <w:pPr>
        <w:pBdr>
          <w:top w:val="single" w:sz="24" w:space="1" w:color="A60D1F"/>
          <w:left w:val="single" w:sz="24" w:space="4" w:color="A60D1F"/>
          <w:bottom w:val="single" w:sz="24" w:space="1" w:color="A60D1F"/>
          <w:right w:val="single" w:sz="24" w:space="4" w:color="A60D1F"/>
        </w:pBdr>
        <w:spacing w:before="20" w:after="20"/>
        <w:jc w:val="center"/>
        <w:rPr>
          <w:rFonts w:cs="Arial"/>
          <w:b/>
          <w:color w:val="A60D1F"/>
          <w:sz w:val="18"/>
          <w:szCs w:val="18"/>
        </w:rPr>
      </w:pPr>
      <w:r w:rsidRPr="001A209B">
        <w:rPr>
          <w:rFonts w:cs="Arial"/>
          <w:b/>
          <w:color w:val="A60D1F"/>
          <w:sz w:val="18"/>
          <w:szCs w:val="18"/>
        </w:rPr>
        <w:t>Notes to the Financial Statements</w:t>
      </w:r>
    </w:p>
    <w:p w:rsidR="00961E29" w:rsidRPr="001A209B" w:rsidRDefault="00961E29" w:rsidP="00961E29">
      <w:pPr>
        <w:spacing w:before="20" w:after="20"/>
        <w:jc w:val="both"/>
        <w:rPr>
          <w:rFonts w:cs="Arial"/>
          <w:sz w:val="18"/>
          <w:szCs w:val="18"/>
        </w:rPr>
      </w:pP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p>
    <w:p w:rsidR="00961E29" w:rsidRPr="001A209B" w:rsidRDefault="00961E29" w:rsidP="00961E29">
      <w:pPr>
        <w:spacing w:before="20" w:after="20"/>
        <w:jc w:val="both"/>
        <w:rPr>
          <w:rFonts w:cs="Arial"/>
          <w:b/>
          <w:color w:val="A60D1F"/>
          <w:sz w:val="18"/>
          <w:szCs w:val="18"/>
        </w:rPr>
      </w:pPr>
      <w:r w:rsidRPr="001A209B">
        <w:rPr>
          <w:rFonts w:cs="Arial"/>
          <w:b/>
          <w:color w:val="A60D1F"/>
          <w:sz w:val="18"/>
          <w:szCs w:val="18"/>
        </w:rPr>
        <w:t>1  Accounting Policies</w:t>
      </w:r>
    </w:p>
    <w:p w:rsidR="00961E29" w:rsidRPr="001A209B" w:rsidRDefault="00961E29" w:rsidP="00961E29">
      <w:pPr>
        <w:spacing w:before="20" w:after="20"/>
        <w:jc w:val="both"/>
        <w:rPr>
          <w:rFonts w:cs="Arial"/>
          <w:sz w:val="18"/>
          <w:szCs w:val="18"/>
        </w:rPr>
      </w:pPr>
      <w:r w:rsidRPr="001A209B">
        <w:rPr>
          <w:rFonts w:cs="Arial"/>
          <w:b/>
          <w:color w:val="A60D1F"/>
          <w:sz w:val="18"/>
          <w:szCs w:val="18"/>
        </w:rPr>
        <w:t>Basis of Preparation</w:t>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p>
    <w:p w:rsidR="00961E29" w:rsidRPr="001A209B" w:rsidRDefault="00961E29" w:rsidP="00961E29">
      <w:pPr>
        <w:spacing w:before="20" w:after="20"/>
        <w:jc w:val="both"/>
        <w:rPr>
          <w:rFonts w:cs="Arial"/>
          <w:sz w:val="18"/>
          <w:szCs w:val="18"/>
        </w:rPr>
      </w:pPr>
      <w:r w:rsidRPr="001A209B">
        <w:rPr>
          <w:rFonts w:cs="Arial"/>
          <w:sz w:val="18"/>
          <w:szCs w:val="18"/>
        </w:rPr>
        <w:t>The financial information comprises the unaudited results for the six months ended 31 March 2014 and 31 March 2013, together with the audited results for the year ended 30 September 2013.</w:t>
      </w:r>
      <w:r w:rsidRPr="001A209B">
        <w:rPr>
          <w:rFonts w:cs="Arial"/>
          <w:sz w:val="18"/>
          <w:szCs w:val="18"/>
        </w:rPr>
        <w:tab/>
      </w:r>
    </w:p>
    <w:p w:rsidR="00961E29" w:rsidRPr="001A209B" w:rsidRDefault="00961E29" w:rsidP="00961E29">
      <w:pPr>
        <w:spacing w:before="20" w:after="20"/>
        <w:jc w:val="both"/>
        <w:rPr>
          <w:rFonts w:cs="Arial"/>
          <w:sz w:val="18"/>
          <w:szCs w:val="18"/>
        </w:rPr>
      </w:pPr>
    </w:p>
    <w:p w:rsidR="00961E29" w:rsidRPr="001A209B" w:rsidRDefault="00961E29" w:rsidP="00961E29">
      <w:pPr>
        <w:spacing w:before="20" w:after="20"/>
        <w:jc w:val="both"/>
        <w:rPr>
          <w:rFonts w:cs="Arial"/>
          <w:sz w:val="18"/>
          <w:szCs w:val="18"/>
        </w:rPr>
      </w:pPr>
      <w:r w:rsidRPr="001A209B">
        <w:rPr>
          <w:rFonts w:cs="Arial"/>
          <w:sz w:val="18"/>
          <w:szCs w:val="18"/>
        </w:rPr>
        <w:t>The information shown for the year ended 30 September 2013 does not constitute statutory accounts within the meaning of section 434 of the Companies Act 2006, and is an abridged version of the Group's published financial statements for that year. The Auditors' Report on those statements was unqualified and did not contain any statements under section 498 of the Companies Act 2006. The financial statements for the year ended 30 September 2013 were approved by the Board of Directors on 5 November 2013 and filed with the Registrar of Companies.</w:t>
      </w:r>
    </w:p>
    <w:p w:rsidR="00961E29" w:rsidRPr="001A209B" w:rsidRDefault="00961E29" w:rsidP="00961E29">
      <w:pPr>
        <w:spacing w:before="20" w:after="20"/>
        <w:jc w:val="both"/>
        <w:rPr>
          <w:rFonts w:cs="Arial"/>
          <w:sz w:val="18"/>
          <w:szCs w:val="18"/>
        </w:rPr>
      </w:pPr>
    </w:p>
    <w:p w:rsidR="00961E29" w:rsidRPr="001A209B" w:rsidRDefault="00961E29" w:rsidP="00961E29">
      <w:pPr>
        <w:spacing w:before="20" w:after="20"/>
        <w:jc w:val="both"/>
        <w:rPr>
          <w:rFonts w:cs="Arial"/>
          <w:sz w:val="18"/>
          <w:szCs w:val="18"/>
        </w:rPr>
      </w:pPr>
      <w:r w:rsidRPr="001A209B">
        <w:rPr>
          <w:rFonts w:cs="Arial"/>
          <w:sz w:val="18"/>
          <w:szCs w:val="18"/>
        </w:rPr>
        <w:t>This condensed set of financial statements for the six months ended 31 March 2014 has been prepared in accordance with the Disclosure and Transparency Rules of the Financial Conduct Authority and with IAS 34 Interim Financial Reporting as adopted by the European Union. The condensed set of financial statements for the six months ended 31 March 2014 should be read in conjunction with the annual financial statements for the year ended 30 September 2013 which have been prepared in accordance with International Financial Reporting Standards (IFRSs) as adopted by the European Union.</w:t>
      </w:r>
    </w:p>
    <w:p w:rsidR="00961E29" w:rsidRPr="001A209B" w:rsidRDefault="00961E29" w:rsidP="00961E29">
      <w:pPr>
        <w:spacing w:before="20" w:after="20"/>
        <w:jc w:val="both"/>
        <w:rPr>
          <w:rFonts w:cs="Arial"/>
          <w:sz w:val="18"/>
          <w:szCs w:val="18"/>
        </w:rPr>
      </w:pPr>
    </w:p>
    <w:p w:rsidR="00961E29" w:rsidRPr="001A209B" w:rsidRDefault="00961E29" w:rsidP="00961E29">
      <w:pPr>
        <w:spacing w:before="20" w:after="20"/>
        <w:jc w:val="both"/>
        <w:rPr>
          <w:rFonts w:cs="Arial"/>
          <w:sz w:val="18"/>
          <w:szCs w:val="18"/>
        </w:rPr>
      </w:pPr>
      <w:r w:rsidRPr="001A209B">
        <w:rPr>
          <w:rFonts w:cs="Arial"/>
          <w:sz w:val="18"/>
          <w:szCs w:val="18"/>
        </w:rPr>
        <w:t>The Group's principal accounting policies used in preparing this information are as stated in the financial statements for the year ended 30 September 2013, which are available on our website www.imperial-tobacco.com</w:t>
      </w:r>
    </w:p>
    <w:p w:rsidR="00961E29" w:rsidRPr="001A209B" w:rsidRDefault="00961E29" w:rsidP="00961E29">
      <w:pPr>
        <w:spacing w:before="20" w:after="20"/>
        <w:jc w:val="both"/>
        <w:rPr>
          <w:rFonts w:cs="Arial"/>
          <w:b/>
          <w:color w:val="A60D1F"/>
          <w:sz w:val="18"/>
          <w:szCs w:val="18"/>
        </w:rPr>
      </w:pPr>
    </w:p>
    <w:p w:rsidR="00961E29" w:rsidRPr="001A209B" w:rsidRDefault="00961E29" w:rsidP="00961E29">
      <w:pPr>
        <w:spacing w:before="20" w:after="20"/>
        <w:jc w:val="both"/>
        <w:rPr>
          <w:rFonts w:cs="Arial"/>
          <w:b/>
          <w:color w:val="A60D1F"/>
          <w:sz w:val="18"/>
          <w:szCs w:val="18"/>
        </w:rPr>
      </w:pPr>
      <w:r w:rsidRPr="001A209B">
        <w:rPr>
          <w:rFonts w:cs="Arial"/>
          <w:b/>
          <w:color w:val="A60D1F"/>
          <w:sz w:val="18"/>
          <w:szCs w:val="18"/>
        </w:rPr>
        <w:t>New Accounting Standards and Interpretations</w:t>
      </w:r>
    </w:p>
    <w:p w:rsidR="00961E29" w:rsidRPr="001A209B" w:rsidRDefault="00961E29" w:rsidP="00961E29">
      <w:pPr>
        <w:spacing w:before="20" w:after="20"/>
        <w:jc w:val="both"/>
        <w:rPr>
          <w:rFonts w:cs="Arial"/>
          <w:b/>
          <w:color w:val="A60D1F"/>
          <w:sz w:val="18"/>
          <w:szCs w:val="18"/>
        </w:rPr>
      </w:pPr>
      <w:r w:rsidRPr="001A209B">
        <w:rPr>
          <w:rFonts w:cs="Arial"/>
          <w:color w:val="A60D1F"/>
          <w:sz w:val="18"/>
          <w:szCs w:val="18"/>
        </w:rPr>
        <w:t>IAS 19 (Revised)</w:t>
      </w:r>
      <w:r w:rsidRPr="001A209B">
        <w:rPr>
          <w:rFonts w:cs="Arial"/>
          <w:color w:val="A60D1F"/>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p>
    <w:p w:rsidR="00E2295C" w:rsidRPr="001A209B" w:rsidRDefault="00961E29" w:rsidP="00961E29">
      <w:pPr>
        <w:spacing w:before="20" w:after="20"/>
        <w:jc w:val="both"/>
        <w:rPr>
          <w:rFonts w:cs="Arial"/>
          <w:sz w:val="18"/>
          <w:szCs w:val="18"/>
        </w:rPr>
      </w:pPr>
      <w:r w:rsidRPr="001A209B">
        <w:rPr>
          <w:rFonts w:cs="Arial"/>
          <w:sz w:val="18"/>
          <w:szCs w:val="18"/>
        </w:rPr>
        <w:t>Under IAS 19 (Revised), which became mandatory for the Group in its 2014 accounts, the interest charge on retirement benefit liabilities and the expected return on pension plan assets have been replaced by a net interest income or expense on net defined benefit assets or liabilities based on high quality corporate bond rates.  The impact on the Group's results and net assets is as follows:</w:t>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p>
    <w:tbl>
      <w:tblPr>
        <w:tblW w:w="9087" w:type="dxa"/>
        <w:tblInd w:w="93" w:type="dxa"/>
        <w:tblLook w:val="04A0" w:firstRow="1" w:lastRow="0" w:firstColumn="1" w:lastColumn="0" w:noHBand="0" w:noVBand="1"/>
      </w:tblPr>
      <w:tblGrid>
        <w:gridCol w:w="2425"/>
        <w:gridCol w:w="1273"/>
        <w:gridCol w:w="1117"/>
        <w:gridCol w:w="937"/>
        <w:gridCol w:w="1047"/>
        <w:gridCol w:w="1154"/>
        <w:gridCol w:w="1134"/>
      </w:tblGrid>
      <w:tr w:rsidR="00961E29" w:rsidRPr="001A209B" w:rsidTr="00961E29">
        <w:trPr>
          <w:trHeight w:val="525"/>
        </w:trPr>
        <w:tc>
          <w:tcPr>
            <w:tcW w:w="2425" w:type="dxa"/>
            <w:tcBorders>
              <w:top w:val="nil"/>
              <w:left w:val="nil"/>
              <w:bottom w:val="nil"/>
              <w:right w:val="nil"/>
            </w:tcBorders>
            <w:shd w:val="clear" w:color="000000" w:fill="FFFFFF"/>
            <w:vAlign w:val="bottom"/>
            <w:hideMark/>
          </w:tcPr>
          <w:p w:rsidR="00961E29" w:rsidRPr="001A209B" w:rsidRDefault="00961E29" w:rsidP="00961E29">
            <w:pPr>
              <w:rPr>
                <w:rFonts w:cs="Arial"/>
                <w:sz w:val="18"/>
                <w:szCs w:val="18"/>
              </w:rPr>
            </w:pPr>
            <w:r w:rsidRPr="001A209B">
              <w:rPr>
                <w:rFonts w:cs="Arial"/>
                <w:sz w:val="18"/>
                <w:szCs w:val="18"/>
              </w:rPr>
              <w:t> </w:t>
            </w:r>
          </w:p>
        </w:tc>
        <w:tc>
          <w:tcPr>
            <w:tcW w:w="3327" w:type="dxa"/>
            <w:gridSpan w:val="3"/>
            <w:tcBorders>
              <w:top w:val="nil"/>
              <w:left w:val="nil"/>
              <w:bottom w:val="single" w:sz="4" w:space="0" w:color="800000"/>
              <w:right w:val="nil"/>
            </w:tcBorders>
            <w:shd w:val="clear" w:color="000000" w:fill="FFFFFF"/>
            <w:vAlign w:val="bottom"/>
            <w:hideMark/>
          </w:tcPr>
          <w:p w:rsidR="00961E29" w:rsidRPr="001A209B" w:rsidRDefault="00961E29" w:rsidP="00961E29">
            <w:pPr>
              <w:jc w:val="center"/>
              <w:rPr>
                <w:rFonts w:cs="Arial"/>
                <w:sz w:val="18"/>
                <w:szCs w:val="18"/>
              </w:rPr>
            </w:pPr>
            <w:r w:rsidRPr="001A209B">
              <w:rPr>
                <w:rFonts w:cs="Arial"/>
                <w:sz w:val="18"/>
                <w:szCs w:val="18"/>
              </w:rPr>
              <w:t>6 months ended</w:t>
            </w:r>
            <w:r w:rsidRPr="001A209B">
              <w:rPr>
                <w:rFonts w:cs="Arial"/>
                <w:sz w:val="18"/>
                <w:szCs w:val="18"/>
              </w:rPr>
              <w:br/>
              <w:t>31 March 2013</w:t>
            </w:r>
          </w:p>
        </w:tc>
        <w:tc>
          <w:tcPr>
            <w:tcW w:w="3335" w:type="dxa"/>
            <w:gridSpan w:val="3"/>
            <w:tcBorders>
              <w:top w:val="nil"/>
              <w:left w:val="nil"/>
              <w:bottom w:val="single" w:sz="4" w:space="0" w:color="800000"/>
              <w:right w:val="nil"/>
            </w:tcBorders>
            <w:shd w:val="clear" w:color="000000" w:fill="FFFFFF"/>
            <w:vAlign w:val="bottom"/>
            <w:hideMark/>
          </w:tcPr>
          <w:p w:rsidR="00961E29" w:rsidRPr="001A209B" w:rsidRDefault="00961E29" w:rsidP="00961E29">
            <w:pPr>
              <w:jc w:val="center"/>
              <w:rPr>
                <w:rFonts w:cs="Arial"/>
                <w:sz w:val="18"/>
                <w:szCs w:val="18"/>
              </w:rPr>
            </w:pPr>
            <w:r w:rsidRPr="001A209B">
              <w:rPr>
                <w:rFonts w:cs="Arial"/>
                <w:sz w:val="18"/>
                <w:szCs w:val="18"/>
              </w:rPr>
              <w:t>Year ended</w:t>
            </w:r>
            <w:r w:rsidRPr="001A209B">
              <w:rPr>
                <w:rFonts w:cs="Arial"/>
                <w:sz w:val="18"/>
                <w:szCs w:val="18"/>
              </w:rPr>
              <w:br/>
              <w:t>30 September 2013</w:t>
            </w:r>
          </w:p>
        </w:tc>
      </w:tr>
      <w:tr w:rsidR="00961E29" w:rsidRPr="001A209B" w:rsidTr="00961E29">
        <w:trPr>
          <w:trHeight w:val="240"/>
        </w:trPr>
        <w:tc>
          <w:tcPr>
            <w:tcW w:w="2425" w:type="dxa"/>
            <w:tcBorders>
              <w:top w:val="nil"/>
              <w:left w:val="nil"/>
              <w:bottom w:val="nil"/>
              <w:right w:val="nil"/>
            </w:tcBorders>
            <w:shd w:val="clear" w:color="000000" w:fill="FFFFFF"/>
            <w:noWrap/>
            <w:vAlign w:val="bottom"/>
            <w:hideMark/>
          </w:tcPr>
          <w:p w:rsidR="00961E29" w:rsidRPr="001A209B" w:rsidRDefault="00961E29" w:rsidP="00961E29">
            <w:pPr>
              <w:rPr>
                <w:rFonts w:cs="Arial"/>
                <w:sz w:val="18"/>
                <w:szCs w:val="18"/>
              </w:rPr>
            </w:pPr>
            <w:r w:rsidRPr="001A209B">
              <w:rPr>
                <w:rFonts w:cs="Arial"/>
                <w:sz w:val="18"/>
                <w:szCs w:val="18"/>
              </w:rPr>
              <w:t> </w:t>
            </w:r>
          </w:p>
        </w:tc>
        <w:tc>
          <w:tcPr>
            <w:tcW w:w="1273"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Previously </w:t>
            </w:r>
          </w:p>
        </w:tc>
        <w:tc>
          <w:tcPr>
            <w:tcW w:w="1117"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w:t>
            </w:r>
          </w:p>
        </w:tc>
        <w:tc>
          <w:tcPr>
            <w:tcW w:w="937"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w:t>
            </w:r>
          </w:p>
        </w:tc>
        <w:tc>
          <w:tcPr>
            <w:tcW w:w="1047"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Previously </w:t>
            </w:r>
          </w:p>
        </w:tc>
        <w:tc>
          <w:tcPr>
            <w:tcW w:w="1154"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w:t>
            </w:r>
          </w:p>
        </w:tc>
        <w:tc>
          <w:tcPr>
            <w:tcW w:w="1134"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w:t>
            </w:r>
          </w:p>
        </w:tc>
      </w:tr>
      <w:tr w:rsidR="00961E29" w:rsidRPr="001A209B" w:rsidTr="00961E29">
        <w:trPr>
          <w:trHeight w:val="240"/>
        </w:trPr>
        <w:tc>
          <w:tcPr>
            <w:tcW w:w="2425"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rPr>
                <w:rFonts w:cs="Arial"/>
                <w:sz w:val="18"/>
                <w:szCs w:val="18"/>
              </w:rPr>
            </w:pPr>
            <w:r w:rsidRPr="001A209B">
              <w:rPr>
                <w:rFonts w:cs="Arial"/>
                <w:sz w:val="18"/>
                <w:szCs w:val="18"/>
              </w:rPr>
              <w:t>£ million</w:t>
            </w:r>
          </w:p>
        </w:tc>
        <w:tc>
          <w:tcPr>
            <w:tcW w:w="1273"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reported </w:t>
            </w:r>
          </w:p>
        </w:tc>
        <w:tc>
          <w:tcPr>
            <w:tcW w:w="1117"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Adjustment </w:t>
            </w:r>
          </w:p>
        </w:tc>
        <w:tc>
          <w:tcPr>
            <w:tcW w:w="937"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Restated</w:t>
            </w:r>
          </w:p>
        </w:tc>
        <w:tc>
          <w:tcPr>
            <w:tcW w:w="1047"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reported </w:t>
            </w:r>
          </w:p>
        </w:tc>
        <w:tc>
          <w:tcPr>
            <w:tcW w:w="1154"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Adjustment </w:t>
            </w:r>
          </w:p>
        </w:tc>
        <w:tc>
          <w:tcPr>
            <w:tcW w:w="1134"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Restated</w:t>
            </w:r>
          </w:p>
        </w:tc>
      </w:tr>
      <w:tr w:rsidR="00961E29" w:rsidRPr="001A209B" w:rsidTr="00961E29">
        <w:trPr>
          <w:trHeight w:val="240"/>
        </w:trPr>
        <w:tc>
          <w:tcPr>
            <w:tcW w:w="2425" w:type="dxa"/>
            <w:tcBorders>
              <w:top w:val="nil"/>
              <w:left w:val="nil"/>
              <w:bottom w:val="nil"/>
              <w:right w:val="nil"/>
            </w:tcBorders>
            <w:shd w:val="clear" w:color="000000" w:fill="FFFFFF"/>
            <w:noWrap/>
            <w:vAlign w:val="bottom"/>
            <w:hideMark/>
          </w:tcPr>
          <w:p w:rsidR="00961E29" w:rsidRPr="001A209B" w:rsidRDefault="00961E29" w:rsidP="00961E29">
            <w:pPr>
              <w:rPr>
                <w:rFonts w:cs="Arial"/>
                <w:sz w:val="18"/>
                <w:szCs w:val="18"/>
              </w:rPr>
            </w:pPr>
            <w:r w:rsidRPr="001A209B">
              <w:rPr>
                <w:rFonts w:cs="Arial"/>
                <w:sz w:val="18"/>
                <w:szCs w:val="18"/>
              </w:rPr>
              <w:t>Investment income</w:t>
            </w:r>
          </w:p>
        </w:tc>
        <w:tc>
          <w:tcPr>
            <w:tcW w:w="1273"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473 </w:t>
            </w:r>
          </w:p>
        </w:tc>
        <w:tc>
          <w:tcPr>
            <w:tcW w:w="1117"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(19)</w:t>
            </w:r>
          </w:p>
        </w:tc>
        <w:tc>
          <w:tcPr>
            <w:tcW w:w="937"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454 </w:t>
            </w:r>
          </w:p>
        </w:tc>
        <w:tc>
          <w:tcPr>
            <w:tcW w:w="1047"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766 </w:t>
            </w:r>
          </w:p>
        </w:tc>
        <w:tc>
          <w:tcPr>
            <w:tcW w:w="1154"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(42)</w:t>
            </w:r>
          </w:p>
        </w:tc>
        <w:tc>
          <w:tcPr>
            <w:tcW w:w="1134"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724 </w:t>
            </w:r>
          </w:p>
        </w:tc>
      </w:tr>
      <w:tr w:rsidR="00961E29" w:rsidRPr="001A209B" w:rsidTr="00961E29">
        <w:trPr>
          <w:trHeight w:val="240"/>
        </w:trPr>
        <w:tc>
          <w:tcPr>
            <w:tcW w:w="2425"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rPr>
                <w:rFonts w:cs="Arial"/>
                <w:sz w:val="18"/>
                <w:szCs w:val="18"/>
              </w:rPr>
            </w:pPr>
            <w:r w:rsidRPr="001A209B">
              <w:rPr>
                <w:rFonts w:cs="Arial"/>
                <w:sz w:val="18"/>
                <w:szCs w:val="18"/>
              </w:rPr>
              <w:t>Finance costs</w:t>
            </w:r>
          </w:p>
        </w:tc>
        <w:tc>
          <w:tcPr>
            <w:tcW w:w="1273"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(825)</w:t>
            </w:r>
          </w:p>
        </w:tc>
        <w:tc>
          <w:tcPr>
            <w:tcW w:w="1117"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 </w:t>
            </w:r>
          </w:p>
        </w:tc>
        <w:tc>
          <w:tcPr>
            <w:tcW w:w="937"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(825)</w:t>
            </w:r>
          </w:p>
        </w:tc>
        <w:tc>
          <w:tcPr>
            <w:tcW w:w="1047"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(1,463)</w:t>
            </w:r>
          </w:p>
        </w:tc>
        <w:tc>
          <w:tcPr>
            <w:tcW w:w="1154"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 </w:t>
            </w:r>
          </w:p>
        </w:tc>
        <w:tc>
          <w:tcPr>
            <w:tcW w:w="1134"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(1,463)</w:t>
            </w:r>
          </w:p>
        </w:tc>
      </w:tr>
      <w:tr w:rsidR="00961E29" w:rsidRPr="001A209B" w:rsidTr="00961E29">
        <w:trPr>
          <w:trHeight w:val="240"/>
        </w:trPr>
        <w:tc>
          <w:tcPr>
            <w:tcW w:w="2425"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rPr>
                <w:rFonts w:cs="Arial"/>
                <w:sz w:val="18"/>
                <w:szCs w:val="18"/>
              </w:rPr>
            </w:pPr>
            <w:r w:rsidRPr="001A209B">
              <w:rPr>
                <w:rFonts w:cs="Arial"/>
                <w:sz w:val="18"/>
                <w:szCs w:val="18"/>
              </w:rPr>
              <w:t>Net finance costs</w:t>
            </w:r>
          </w:p>
        </w:tc>
        <w:tc>
          <w:tcPr>
            <w:tcW w:w="1273"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(352)</w:t>
            </w:r>
          </w:p>
        </w:tc>
        <w:tc>
          <w:tcPr>
            <w:tcW w:w="1117"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(19)</w:t>
            </w:r>
          </w:p>
        </w:tc>
        <w:tc>
          <w:tcPr>
            <w:tcW w:w="937"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(371)</w:t>
            </w:r>
          </w:p>
        </w:tc>
        <w:tc>
          <w:tcPr>
            <w:tcW w:w="1047"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(697)</w:t>
            </w:r>
          </w:p>
        </w:tc>
        <w:tc>
          <w:tcPr>
            <w:tcW w:w="1154"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(42)</w:t>
            </w:r>
          </w:p>
        </w:tc>
        <w:tc>
          <w:tcPr>
            <w:tcW w:w="1134"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(739)</w:t>
            </w:r>
          </w:p>
        </w:tc>
      </w:tr>
      <w:tr w:rsidR="00961E29" w:rsidRPr="001A209B" w:rsidTr="00961E29">
        <w:trPr>
          <w:trHeight w:val="240"/>
        </w:trPr>
        <w:tc>
          <w:tcPr>
            <w:tcW w:w="2425" w:type="dxa"/>
            <w:tcBorders>
              <w:top w:val="nil"/>
              <w:left w:val="nil"/>
              <w:bottom w:val="nil"/>
              <w:right w:val="nil"/>
            </w:tcBorders>
            <w:shd w:val="clear" w:color="000000" w:fill="FFFFFF"/>
            <w:noWrap/>
            <w:vAlign w:val="bottom"/>
            <w:hideMark/>
          </w:tcPr>
          <w:p w:rsidR="00961E29" w:rsidRPr="001A209B" w:rsidRDefault="00961E29" w:rsidP="00961E29">
            <w:pPr>
              <w:rPr>
                <w:rFonts w:cs="Arial"/>
                <w:sz w:val="18"/>
                <w:szCs w:val="18"/>
              </w:rPr>
            </w:pPr>
            <w:r w:rsidRPr="001A209B">
              <w:rPr>
                <w:rFonts w:cs="Arial"/>
                <w:sz w:val="18"/>
                <w:szCs w:val="18"/>
              </w:rPr>
              <w:t>Profit before taxation</w:t>
            </w:r>
          </w:p>
        </w:tc>
        <w:tc>
          <w:tcPr>
            <w:tcW w:w="1273"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849 </w:t>
            </w:r>
          </w:p>
        </w:tc>
        <w:tc>
          <w:tcPr>
            <w:tcW w:w="1117"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(19)</w:t>
            </w:r>
          </w:p>
        </w:tc>
        <w:tc>
          <w:tcPr>
            <w:tcW w:w="937"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830 </w:t>
            </w:r>
          </w:p>
        </w:tc>
        <w:tc>
          <w:tcPr>
            <w:tcW w:w="1047"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1,261 </w:t>
            </w:r>
          </w:p>
        </w:tc>
        <w:tc>
          <w:tcPr>
            <w:tcW w:w="1154"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(42)</w:t>
            </w:r>
          </w:p>
        </w:tc>
        <w:tc>
          <w:tcPr>
            <w:tcW w:w="1134"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1,219 </w:t>
            </w:r>
          </w:p>
        </w:tc>
      </w:tr>
      <w:tr w:rsidR="00961E29" w:rsidRPr="001A209B" w:rsidTr="00961E29">
        <w:trPr>
          <w:trHeight w:val="240"/>
        </w:trPr>
        <w:tc>
          <w:tcPr>
            <w:tcW w:w="2425"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rPr>
                <w:rFonts w:cs="Arial"/>
                <w:sz w:val="18"/>
                <w:szCs w:val="18"/>
              </w:rPr>
            </w:pPr>
            <w:r w:rsidRPr="001A209B">
              <w:rPr>
                <w:rFonts w:cs="Arial"/>
                <w:sz w:val="18"/>
                <w:szCs w:val="18"/>
              </w:rPr>
              <w:t>Taxation</w:t>
            </w:r>
          </w:p>
        </w:tc>
        <w:tc>
          <w:tcPr>
            <w:tcW w:w="1273"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(213)</w:t>
            </w:r>
          </w:p>
        </w:tc>
        <w:tc>
          <w:tcPr>
            <w:tcW w:w="1117"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5 </w:t>
            </w:r>
          </w:p>
        </w:tc>
        <w:tc>
          <w:tcPr>
            <w:tcW w:w="937"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(208)</w:t>
            </w:r>
          </w:p>
        </w:tc>
        <w:tc>
          <w:tcPr>
            <w:tcW w:w="1047"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(300)</w:t>
            </w:r>
          </w:p>
        </w:tc>
        <w:tc>
          <w:tcPr>
            <w:tcW w:w="1154"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10 </w:t>
            </w:r>
          </w:p>
        </w:tc>
        <w:tc>
          <w:tcPr>
            <w:tcW w:w="1134"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(290)</w:t>
            </w:r>
          </w:p>
        </w:tc>
      </w:tr>
      <w:tr w:rsidR="00961E29" w:rsidRPr="001A209B" w:rsidTr="00961E29">
        <w:trPr>
          <w:trHeight w:val="255"/>
        </w:trPr>
        <w:tc>
          <w:tcPr>
            <w:tcW w:w="2425" w:type="dxa"/>
            <w:tcBorders>
              <w:top w:val="nil"/>
              <w:left w:val="nil"/>
              <w:bottom w:val="single" w:sz="8" w:space="0" w:color="800000"/>
              <w:right w:val="nil"/>
            </w:tcBorders>
            <w:shd w:val="clear" w:color="000000" w:fill="FFFFFF"/>
            <w:noWrap/>
            <w:vAlign w:val="bottom"/>
            <w:hideMark/>
          </w:tcPr>
          <w:p w:rsidR="00961E29" w:rsidRPr="001A209B" w:rsidRDefault="00961E29" w:rsidP="00961E29">
            <w:pPr>
              <w:rPr>
                <w:rFonts w:cs="Arial"/>
                <w:sz w:val="18"/>
                <w:szCs w:val="18"/>
              </w:rPr>
            </w:pPr>
            <w:r w:rsidRPr="001A209B">
              <w:rPr>
                <w:rFonts w:cs="Arial"/>
                <w:sz w:val="18"/>
                <w:szCs w:val="18"/>
              </w:rPr>
              <w:t>Profit for the period</w:t>
            </w:r>
          </w:p>
        </w:tc>
        <w:tc>
          <w:tcPr>
            <w:tcW w:w="1273" w:type="dxa"/>
            <w:tcBorders>
              <w:top w:val="nil"/>
              <w:left w:val="nil"/>
              <w:bottom w:val="single" w:sz="8"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636 </w:t>
            </w:r>
          </w:p>
        </w:tc>
        <w:tc>
          <w:tcPr>
            <w:tcW w:w="1117" w:type="dxa"/>
            <w:tcBorders>
              <w:top w:val="nil"/>
              <w:left w:val="nil"/>
              <w:bottom w:val="single" w:sz="8"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(14)</w:t>
            </w:r>
          </w:p>
        </w:tc>
        <w:tc>
          <w:tcPr>
            <w:tcW w:w="937" w:type="dxa"/>
            <w:tcBorders>
              <w:top w:val="nil"/>
              <w:left w:val="nil"/>
              <w:bottom w:val="single" w:sz="8"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622 </w:t>
            </w:r>
          </w:p>
        </w:tc>
        <w:tc>
          <w:tcPr>
            <w:tcW w:w="1047" w:type="dxa"/>
            <w:tcBorders>
              <w:top w:val="nil"/>
              <w:left w:val="nil"/>
              <w:bottom w:val="single" w:sz="8"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961 </w:t>
            </w:r>
          </w:p>
        </w:tc>
        <w:tc>
          <w:tcPr>
            <w:tcW w:w="1154" w:type="dxa"/>
            <w:tcBorders>
              <w:top w:val="nil"/>
              <w:left w:val="nil"/>
              <w:bottom w:val="single" w:sz="8"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(32)</w:t>
            </w:r>
          </w:p>
        </w:tc>
        <w:tc>
          <w:tcPr>
            <w:tcW w:w="1134" w:type="dxa"/>
            <w:tcBorders>
              <w:top w:val="nil"/>
              <w:left w:val="nil"/>
              <w:bottom w:val="single" w:sz="8"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929 </w:t>
            </w:r>
          </w:p>
        </w:tc>
      </w:tr>
      <w:tr w:rsidR="00961E29" w:rsidRPr="001A209B" w:rsidTr="00961E29">
        <w:trPr>
          <w:trHeight w:val="240"/>
        </w:trPr>
        <w:tc>
          <w:tcPr>
            <w:tcW w:w="2425" w:type="dxa"/>
            <w:tcBorders>
              <w:top w:val="nil"/>
              <w:left w:val="nil"/>
              <w:bottom w:val="nil"/>
              <w:right w:val="nil"/>
            </w:tcBorders>
            <w:shd w:val="clear" w:color="000000" w:fill="FFFFFF"/>
            <w:noWrap/>
            <w:vAlign w:val="bottom"/>
            <w:hideMark/>
          </w:tcPr>
          <w:p w:rsidR="00961E29" w:rsidRPr="001A209B" w:rsidRDefault="00961E29" w:rsidP="00961E29">
            <w:pPr>
              <w:rPr>
                <w:rFonts w:cs="Arial"/>
                <w:sz w:val="18"/>
                <w:szCs w:val="18"/>
              </w:rPr>
            </w:pPr>
            <w:r w:rsidRPr="001A209B">
              <w:rPr>
                <w:rFonts w:cs="Arial"/>
                <w:sz w:val="18"/>
                <w:szCs w:val="18"/>
              </w:rPr>
              <w:t>EPS basic (pence)</w:t>
            </w:r>
          </w:p>
        </w:tc>
        <w:tc>
          <w:tcPr>
            <w:tcW w:w="1273"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63.8 </w:t>
            </w:r>
          </w:p>
        </w:tc>
        <w:tc>
          <w:tcPr>
            <w:tcW w:w="1117"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(1.4)</w:t>
            </w:r>
          </w:p>
        </w:tc>
        <w:tc>
          <w:tcPr>
            <w:tcW w:w="937"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62.4 </w:t>
            </w:r>
          </w:p>
        </w:tc>
        <w:tc>
          <w:tcPr>
            <w:tcW w:w="1047"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96.2 </w:t>
            </w:r>
          </w:p>
        </w:tc>
        <w:tc>
          <w:tcPr>
            <w:tcW w:w="1154"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(3.3)</w:t>
            </w:r>
          </w:p>
        </w:tc>
        <w:tc>
          <w:tcPr>
            <w:tcW w:w="1134"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92.9 </w:t>
            </w:r>
          </w:p>
        </w:tc>
      </w:tr>
      <w:tr w:rsidR="00961E29" w:rsidRPr="001A209B" w:rsidTr="00961E29">
        <w:trPr>
          <w:trHeight w:val="255"/>
        </w:trPr>
        <w:tc>
          <w:tcPr>
            <w:tcW w:w="2425" w:type="dxa"/>
            <w:tcBorders>
              <w:top w:val="nil"/>
              <w:left w:val="nil"/>
              <w:bottom w:val="single" w:sz="8" w:space="0" w:color="800000"/>
              <w:right w:val="nil"/>
            </w:tcBorders>
            <w:shd w:val="clear" w:color="000000" w:fill="FFFFFF"/>
            <w:noWrap/>
            <w:vAlign w:val="bottom"/>
            <w:hideMark/>
          </w:tcPr>
          <w:p w:rsidR="00961E29" w:rsidRPr="001A209B" w:rsidRDefault="00961E29" w:rsidP="00961E29">
            <w:pPr>
              <w:rPr>
                <w:rFonts w:cs="Arial"/>
                <w:sz w:val="18"/>
                <w:szCs w:val="18"/>
              </w:rPr>
            </w:pPr>
            <w:r w:rsidRPr="001A209B">
              <w:rPr>
                <w:rFonts w:cs="Arial"/>
                <w:sz w:val="18"/>
                <w:szCs w:val="18"/>
              </w:rPr>
              <w:t>EPS diluted (pence)</w:t>
            </w:r>
          </w:p>
        </w:tc>
        <w:tc>
          <w:tcPr>
            <w:tcW w:w="1273" w:type="dxa"/>
            <w:tcBorders>
              <w:top w:val="nil"/>
              <w:left w:val="nil"/>
              <w:bottom w:val="single" w:sz="8"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63.6 </w:t>
            </w:r>
          </w:p>
        </w:tc>
        <w:tc>
          <w:tcPr>
            <w:tcW w:w="1117" w:type="dxa"/>
            <w:tcBorders>
              <w:top w:val="nil"/>
              <w:left w:val="nil"/>
              <w:bottom w:val="single" w:sz="8"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(1.4)</w:t>
            </w:r>
          </w:p>
        </w:tc>
        <w:tc>
          <w:tcPr>
            <w:tcW w:w="937" w:type="dxa"/>
            <w:tcBorders>
              <w:top w:val="nil"/>
              <w:left w:val="nil"/>
              <w:bottom w:val="single" w:sz="8"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62.2 </w:t>
            </w:r>
          </w:p>
        </w:tc>
        <w:tc>
          <w:tcPr>
            <w:tcW w:w="1047" w:type="dxa"/>
            <w:tcBorders>
              <w:top w:val="nil"/>
              <w:left w:val="nil"/>
              <w:bottom w:val="single" w:sz="8"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96.0 </w:t>
            </w:r>
          </w:p>
        </w:tc>
        <w:tc>
          <w:tcPr>
            <w:tcW w:w="1154" w:type="dxa"/>
            <w:tcBorders>
              <w:top w:val="nil"/>
              <w:left w:val="nil"/>
              <w:bottom w:val="single" w:sz="8"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(3.3)</w:t>
            </w:r>
          </w:p>
        </w:tc>
        <w:tc>
          <w:tcPr>
            <w:tcW w:w="1134" w:type="dxa"/>
            <w:tcBorders>
              <w:top w:val="nil"/>
              <w:left w:val="nil"/>
              <w:bottom w:val="single" w:sz="8"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92.7 </w:t>
            </w:r>
          </w:p>
        </w:tc>
      </w:tr>
      <w:tr w:rsidR="00961E29" w:rsidRPr="001A209B" w:rsidTr="00961E29">
        <w:trPr>
          <w:trHeight w:val="240"/>
        </w:trPr>
        <w:tc>
          <w:tcPr>
            <w:tcW w:w="2425" w:type="dxa"/>
            <w:tcBorders>
              <w:top w:val="nil"/>
              <w:left w:val="nil"/>
              <w:bottom w:val="nil"/>
              <w:right w:val="nil"/>
            </w:tcBorders>
            <w:shd w:val="clear" w:color="000000" w:fill="FFFFFF"/>
            <w:noWrap/>
            <w:vAlign w:val="bottom"/>
            <w:hideMark/>
          </w:tcPr>
          <w:p w:rsidR="00961E29" w:rsidRPr="001A209B" w:rsidRDefault="00961E29" w:rsidP="00961E29">
            <w:pPr>
              <w:rPr>
                <w:rFonts w:cs="Arial"/>
                <w:sz w:val="18"/>
                <w:szCs w:val="18"/>
              </w:rPr>
            </w:pPr>
            <w:r w:rsidRPr="001A209B">
              <w:rPr>
                <w:rFonts w:cs="Arial"/>
                <w:sz w:val="18"/>
                <w:szCs w:val="18"/>
              </w:rPr>
              <w:t> </w:t>
            </w:r>
          </w:p>
        </w:tc>
        <w:tc>
          <w:tcPr>
            <w:tcW w:w="1273" w:type="dxa"/>
            <w:tcBorders>
              <w:top w:val="nil"/>
              <w:left w:val="nil"/>
              <w:bottom w:val="nil"/>
              <w:right w:val="nil"/>
            </w:tcBorders>
            <w:shd w:val="clear" w:color="000000" w:fill="FFFFFF"/>
            <w:noWrap/>
            <w:vAlign w:val="bottom"/>
            <w:hideMark/>
          </w:tcPr>
          <w:p w:rsidR="00961E29" w:rsidRPr="001A209B" w:rsidRDefault="00961E29" w:rsidP="00961E29">
            <w:pPr>
              <w:rPr>
                <w:rFonts w:cs="Arial"/>
                <w:sz w:val="18"/>
                <w:szCs w:val="18"/>
              </w:rPr>
            </w:pPr>
            <w:r w:rsidRPr="001A209B">
              <w:rPr>
                <w:rFonts w:cs="Arial"/>
                <w:sz w:val="18"/>
                <w:szCs w:val="18"/>
              </w:rPr>
              <w:t> </w:t>
            </w:r>
          </w:p>
        </w:tc>
        <w:tc>
          <w:tcPr>
            <w:tcW w:w="1117" w:type="dxa"/>
            <w:tcBorders>
              <w:top w:val="nil"/>
              <w:left w:val="nil"/>
              <w:bottom w:val="nil"/>
              <w:right w:val="nil"/>
            </w:tcBorders>
            <w:shd w:val="clear" w:color="000000" w:fill="FFFFFF"/>
            <w:noWrap/>
            <w:vAlign w:val="bottom"/>
            <w:hideMark/>
          </w:tcPr>
          <w:p w:rsidR="00961E29" w:rsidRPr="001A209B" w:rsidRDefault="00961E29" w:rsidP="00961E29">
            <w:pPr>
              <w:rPr>
                <w:rFonts w:cs="Arial"/>
                <w:sz w:val="18"/>
                <w:szCs w:val="18"/>
              </w:rPr>
            </w:pPr>
            <w:r w:rsidRPr="001A209B">
              <w:rPr>
                <w:rFonts w:cs="Arial"/>
                <w:sz w:val="18"/>
                <w:szCs w:val="18"/>
              </w:rPr>
              <w:t> </w:t>
            </w:r>
          </w:p>
        </w:tc>
        <w:tc>
          <w:tcPr>
            <w:tcW w:w="937" w:type="dxa"/>
            <w:tcBorders>
              <w:top w:val="nil"/>
              <w:left w:val="nil"/>
              <w:bottom w:val="nil"/>
              <w:right w:val="nil"/>
            </w:tcBorders>
            <w:shd w:val="clear" w:color="000000" w:fill="FFFFFF"/>
            <w:noWrap/>
            <w:vAlign w:val="bottom"/>
            <w:hideMark/>
          </w:tcPr>
          <w:p w:rsidR="00961E29" w:rsidRPr="001A209B" w:rsidRDefault="00961E29" w:rsidP="00961E29">
            <w:pPr>
              <w:rPr>
                <w:rFonts w:cs="Arial"/>
                <w:sz w:val="18"/>
                <w:szCs w:val="18"/>
              </w:rPr>
            </w:pPr>
            <w:r w:rsidRPr="001A209B">
              <w:rPr>
                <w:rFonts w:cs="Arial"/>
                <w:sz w:val="18"/>
                <w:szCs w:val="18"/>
              </w:rPr>
              <w:t> </w:t>
            </w:r>
          </w:p>
        </w:tc>
        <w:tc>
          <w:tcPr>
            <w:tcW w:w="1047" w:type="dxa"/>
            <w:tcBorders>
              <w:top w:val="nil"/>
              <w:left w:val="nil"/>
              <w:bottom w:val="nil"/>
              <w:right w:val="nil"/>
            </w:tcBorders>
            <w:shd w:val="clear" w:color="000000" w:fill="FFFFFF"/>
            <w:noWrap/>
            <w:vAlign w:val="bottom"/>
            <w:hideMark/>
          </w:tcPr>
          <w:p w:rsidR="00961E29" w:rsidRPr="001A209B" w:rsidRDefault="00961E29" w:rsidP="00961E29">
            <w:pPr>
              <w:rPr>
                <w:rFonts w:cs="Arial"/>
                <w:sz w:val="18"/>
                <w:szCs w:val="18"/>
              </w:rPr>
            </w:pPr>
            <w:r w:rsidRPr="001A209B">
              <w:rPr>
                <w:rFonts w:cs="Arial"/>
                <w:sz w:val="18"/>
                <w:szCs w:val="18"/>
              </w:rPr>
              <w:t> </w:t>
            </w:r>
          </w:p>
        </w:tc>
        <w:tc>
          <w:tcPr>
            <w:tcW w:w="1154" w:type="dxa"/>
            <w:tcBorders>
              <w:top w:val="nil"/>
              <w:left w:val="nil"/>
              <w:bottom w:val="nil"/>
              <w:right w:val="nil"/>
            </w:tcBorders>
            <w:shd w:val="clear" w:color="000000" w:fill="FFFFFF"/>
            <w:noWrap/>
            <w:vAlign w:val="bottom"/>
            <w:hideMark/>
          </w:tcPr>
          <w:p w:rsidR="00961E29" w:rsidRPr="001A209B" w:rsidRDefault="00961E29" w:rsidP="00961E29">
            <w:pPr>
              <w:rPr>
                <w:rFonts w:cs="Arial"/>
                <w:sz w:val="18"/>
                <w:szCs w:val="18"/>
              </w:rPr>
            </w:pPr>
            <w:r w:rsidRPr="001A209B">
              <w:rPr>
                <w:rFonts w:cs="Arial"/>
                <w:sz w:val="18"/>
                <w:szCs w:val="18"/>
              </w:rPr>
              <w:t> </w:t>
            </w:r>
          </w:p>
        </w:tc>
        <w:tc>
          <w:tcPr>
            <w:tcW w:w="1134" w:type="dxa"/>
            <w:tcBorders>
              <w:top w:val="nil"/>
              <w:left w:val="nil"/>
              <w:bottom w:val="nil"/>
              <w:right w:val="nil"/>
            </w:tcBorders>
            <w:shd w:val="clear" w:color="000000" w:fill="FFFFFF"/>
            <w:noWrap/>
            <w:vAlign w:val="bottom"/>
            <w:hideMark/>
          </w:tcPr>
          <w:p w:rsidR="00961E29" w:rsidRPr="001A209B" w:rsidRDefault="00961E29" w:rsidP="00961E29">
            <w:pPr>
              <w:rPr>
                <w:rFonts w:cs="Arial"/>
                <w:sz w:val="18"/>
                <w:szCs w:val="18"/>
              </w:rPr>
            </w:pPr>
            <w:r w:rsidRPr="001A209B">
              <w:rPr>
                <w:rFonts w:cs="Arial"/>
                <w:sz w:val="18"/>
                <w:szCs w:val="18"/>
              </w:rPr>
              <w:t> </w:t>
            </w:r>
          </w:p>
        </w:tc>
      </w:tr>
      <w:tr w:rsidR="00961E29" w:rsidRPr="001A209B" w:rsidTr="00961E29">
        <w:trPr>
          <w:trHeight w:val="240"/>
        </w:trPr>
        <w:tc>
          <w:tcPr>
            <w:tcW w:w="2425" w:type="dxa"/>
            <w:tcBorders>
              <w:top w:val="nil"/>
              <w:left w:val="nil"/>
              <w:bottom w:val="nil"/>
              <w:right w:val="nil"/>
            </w:tcBorders>
            <w:shd w:val="clear" w:color="000000" w:fill="FFFFFF"/>
            <w:noWrap/>
            <w:vAlign w:val="bottom"/>
            <w:hideMark/>
          </w:tcPr>
          <w:p w:rsidR="00961E29" w:rsidRPr="001A209B" w:rsidRDefault="00961E29" w:rsidP="00961E29">
            <w:pPr>
              <w:rPr>
                <w:rFonts w:cs="Arial"/>
                <w:sz w:val="18"/>
                <w:szCs w:val="18"/>
              </w:rPr>
            </w:pPr>
            <w:r w:rsidRPr="001A209B">
              <w:rPr>
                <w:rFonts w:cs="Arial"/>
                <w:sz w:val="18"/>
                <w:szCs w:val="18"/>
              </w:rPr>
              <w:t>Retirement benefit assets</w:t>
            </w:r>
          </w:p>
        </w:tc>
        <w:tc>
          <w:tcPr>
            <w:tcW w:w="1273"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 </w:t>
            </w:r>
          </w:p>
        </w:tc>
        <w:tc>
          <w:tcPr>
            <w:tcW w:w="1117"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 </w:t>
            </w:r>
          </w:p>
        </w:tc>
        <w:tc>
          <w:tcPr>
            <w:tcW w:w="937"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 </w:t>
            </w:r>
          </w:p>
        </w:tc>
        <w:tc>
          <w:tcPr>
            <w:tcW w:w="1047"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1 </w:t>
            </w:r>
          </w:p>
        </w:tc>
        <w:tc>
          <w:tcPr>
            <w:tcW w:w="1154"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4 </w:t>
            </w:r>
          </w:p>
        </w:tc>
        <w:tc>
          <w:tcPr>
            <w:tcW w:w="1134" w:type="dxa"/>
            <w:tcBorders>
              <w:top w:val="nil"/>
              <w:left w:val="nil"/>
              <w:bottom w:val="nil"/>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5 </w:t>
            </w:r>
          </w:p>
        </w:tc>
      </w:tr>
      <w:tr w:rsidR="00961E29" w:rsidRPr="001A209B" w:rsidTr="00961E29">
        <w:trPr>
          <w:trHeight w:val="240"/>
        </w:trPr>
        <w:tc>
          <w:tcPr>
            <w:tcW w:w="2425"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rPr>
                <w:rFonts w:cs="Arial"/>
                <w:sz w:val="18"/>
                <w:szCs w:val="18"/>
              </w:rPr>
            </w:pPr>
            <w:r w:rsidRPr="001A209B">
              <w:rPr>
                <w:rFonts w:cs="Arial"/>
                <w:sz w:val="18"/>
                <w:szCs w:val="18"/>
              </w:rPr>
              <w:t>Retirement benefit liabilities</w:t>
            </w:r>
          </w:p>
        </w:tc>
        <w:tc>
          <w:tcPr>
            <w:tcW w:w="1273"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(1,140)</w:t>
            </w:r>
          </w:p>
        </w:tc>
        <w:tc>
          <w:tcPr>
            <w:tcW w:w="1117"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4 </w:t>
            </w:r>
          </w:p>
        </w:tc>
        <w:tc>
          <w:tcPr>
            <w:tcW w:w="937"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(1,136)</w:t>
            </w:r>
          </w:p>
        </w:tc>
        <w:tc>
          <w:tcPr>
            <w:tcW w:w="1047"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(1,055)</w:t>
            </w:r>
          </w:p>
        </w:tc>
        <w:tc>
          <w:tcPr>
            <w:tcW w:w="1154"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 </w:t>
            </w:r>
          </w:p>
        </w:tc>
        <w:tc>
          <w:tcPr>
            <w:tcW w:w="1134" w:type="dxa"/>
            <w:tcBorders>
              <w:top w:val="nil"/>
              <w:left w:val="nil"/>
              <w:bottom w:val="single" w:sz="4"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(1,055)</w:t>
            </w:r>
          </w:p>
        </w:tc>
      </w:tr>
      <w:tr w:rsidR="00961E29" w:rsidRPr="001A209B" w:rsidTr="00961E29">
        <w:trPr>
          <w:trHeight w:val="255"/>
        </w:trPr>
        <w:tc>
          <w:tcPr>
            <w:tcW w:w="2425" w:type="dxa"/>
            <w:tcBorders>
              <w:top w:val="nil"/>
              <w:left w:val="nil"/>
              <w:bottom w:val="single" w:sz="8" w:space="0" w:color="800000"/>
              <w:right w:val="nil"/>
            </w:tcBorders>
            <w:shd w:val="clear" w:color="000000" w:fill="FFFFFF"/>
            <w:noWrap/>
            <w:vAlign w:val="bottom"/>
            <w:hideMark/>
          </w:tcPr>
          <w:p w:rsidR="00961E29" w:rsidRPr="001A209B" w:rsidRDefault="00961E29" w:rsidP="00961E29">
            <w:pPr>
              <w:rPr>
                <w:rFonts w:cs="Arial"/>
                <w:sz w:val="18"/>
                <w:szCs w:val="18"/>
              </w:rPr>
            </w:pPr>
            <w:r w:rsidRPr="001A209B">
              <w:rPr>
                <w:rFonts w:cs="Arial"/>
                <w:sz w:val="18"/>
                <w:szCs w:val="18"/>
              </w:rPr>
              <w:t>Net assets</w:t>
            </w:r>
          </w:p>
        </w:tc>
        <w:tc>
          <w:tcPr>
            <w:tcW w:w="1273" w:type="dxa"/>
            <w:tcBorders>
              <w:top w:val="nil"/>
              <w:left w:val="nil"/>
              <w:bottom w:val="single" w:sz="8"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6,250 </w:t>
            </w:r>
          </w:p>
        </w:tc>
        <w:tc>
          <w:tcPr>
            <w:tcW w:w="1117" w:type="dxa"/>
            <w:tcBorders>
              <w:top w:val="nil"/>
              <w:left w:val="nil"/>
              <w:bottom w:val="single" w:sz="8"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4 </w:t>
            </w:r>
          </w:p>
        </w:tc>
        <w:tc>
          <w:tcPr>
            <w:tcW w:w="937" w:type="dxa"/>
            <w:tcBorders>
              <w:top w:val="nil"/>
              <w:left w:val="nil"/>
              <w:bottom w:val="single" w:sz="8"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6,254 </w:t>
            </w:r>
          </w:p>
        </w:tc>
        <w:tc>
          <w:tcPr>
            <w:tcW w:w="1047" w:type="dxa"/>
            <w:tcBorders>
              <w:top w:val="nil"/>
              <w:left w:val="nil"/>
              <w:bottom w:val="single" w:sz="8"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5,648 </w:t>
            </w:r>
          </w:p>
        </w:tc>
        <w:tc>
          <w:tcPr>
            <w:tcW w:w="1154" w:type="dxa"/>
            <w:tcBorders>
              <w:top w:val="nil"/>
              <w:left w:val="nil"/>
              <w:bottom w:val="single" w:sz="8"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4 </w:t>
            </w:r>
          </w:p>
        </w:tc>
        <w:tc>
          <w:tcPr>
            <w:tcW w:w="1134" w:type="dxa"/>
            <w:tcBorders>
              <w:top w:val="nil"/>
              <w:left w:val="nil"/>
              <w:bottom w:val="single" w:sz="8" w:space="0" w:color="800000"/>
              <w:right w:val="nil"/>
            </w:tcBorders>
            <w:shd w:val="clear" w:color="000000" w:fill="FFFFFF"/>
            <w:noWrap/>
            <w:vAlign w:val="bottom"/>
            <w:hideMark/>
          </w:tcPr>
          <w:p w:rsidR="00961E29" w:rsidRPr="001A209B" w:rsidRDefault="00961E29" w:rsidP="00961E29">
            <w:pPr>
              <w:jc w:val="right"/>
              <w:rPr>
                <w:rFonts w:cs="Arial"/>
                <w:sz w:val="18"/>
                <w:szCs w:val="18"/>
              </w:rPr>
            </w:pPr>
            <w:r w:rsidRPr="001A209B">
              <w:rPr>
                <w:rFonts w:cs="Arial"/>
                <w:sz w:val="18"/>
                <w:szCs w:val="18"/>
              </w:rPr>
              <w:t xml:space="preserve">5,652 </w:t>
            </w:r>
          </w:p>
        </w:tc>
      </w:tr>
    </w:tbl>
    <w:p w:rsidR="00961E29" w:rsidRPr="001A209B" w:rsidRDefault="00961E29">
      <w:pPr>
        <w:rPr>
          <w:rFonts w:cs="Arial"/>
          <w:sz w:val="18"/>
          <w:szCs w:val="18"/>
        </w:rPr>
      </w:pPr>
    </w:p>
    <w:p w:rsidR="00961E29" w:rsidRPr="001A209B" w:rsidRDefault="00961E29" w:rsidP="00961E29">
      <w:pPr>
        <w:jc w:val="both"/>
        <w:rPr>
          <w:rFonts w:cs="Arial"/>
          <w:sz w:val="18"/>
          <w:szCs w:val="18"/>
        </w:rPr>
      </w:pPr>
      <w:r w:rsidRPr="001A209B">
        <w:rPr>
          <w:rFonts w:cs="Arial"/>
          <w:sz w:val="18"/>
          <w:szCs w:val="18"/>
        </w:rPr>
        <w:t>The effect in the six months ended 31 March 2014 has been to reduce reported investment income by £20 million and profit for the period by £16 million.</w:t>
      </w:r>
    </w:p>
    <w:p w:rsidR="00961E29" w:rsidRPr="001A209B" w:rsidRDefault="00961E29" w:rsidP="00961E29">
      <w:pPr>
        <w:jc w:val="both"/>
        <w:rPr>
          <w:rFonts w:cs="Arial"/>
          <w:sz w:val="18"/>
          <w:szCs w:val="18"/>
        </w:rPr>
      </w:pPr>
    </w:p>
    <w:p w:rsidR="00961E29" w:rsidRPr="001A209B" w:rsidRDefault="00961E29" w:rsidP="00961E29">
      <w:pPr>
        <w:jc w:val="both"/>
        <w:rPr>
          <w:rFonts w:cs="Arial"/>
          <w:sz w:val="18"/>
          <w:szCs w:val="18"/>
        </w:rPr>
      </w:pPr>
      <w:r w:rsidRPr="001A209B">
        <w:rPr>
          <w:rFonts w:cs="Arial"/>
          <w:color w:val="A60D1F"/>
          <w:sz w:val="18"/>
          <w:szCs w:val="18"/>
        </w:rPr>
        <w:t>Valuation of Derivative Financial Instruments</w:t>
      </w:r>
      <w:r w:rsidRPr="001A209B">
        <w:rPr>
          <w:rFonts w:cs="Arial"/>
          <w:color w:val="A60D1F"/>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p>
    <w:p w:rsidR="00961E29" w:rsidRPr="001A209B" w:rsidRDefault="00961E29" w:rsidP="00961E29">
      <w:pPr>
        <w:jc w:val="both"/>
        <w:rPr>
          <w:rFonts w:cs="Arial"/>
          <w:sz w:val="18"/>
          <w:szCs w:val="18"/>
        </w:rPr>
      </w:pPr>
      <w:r w:rsidRPr="001A209B">
        <w:rPr>
          <w:rFonts w:cs="Arial"/>
          <w:sz w:val="18"/>
          <w:szCs w:val="18"/>
        </w:rPr>
        <w:t>IFRS 13 Fair Value Measurement, which is mandatory for this financial year, has clarified the measurement criteria for Derivative Financial Instruments.  The impact has not had a material effect on the results or net assets of the Group.</w:t>
      </w:r>
    </w:p>
    <w:p w:rsidR="00961E29" w:rsidRPr="001A209B" w:rsidRDefault="00961E29" w:rsidP="00961E29">
      <w:pPr>
        <w:jc w:val="both"/>
        <w:rPr>
          <w:rFonts w:cs="Arial"/>
          <w:sz w:val="18"/>
          <w:szCs w:val="18"/>
        </w:rPr>
      </w:pPr>
    </w:p>
    <w:p w:rsidR="00961E29" w:rsidRPr="001A209B" w:rsidRDefault="00961E29" w:rsidP="00961E29">
      <w:pPr>
        <w:jc w:val="both"/>
        <w:rPr>
          <w:rFonts w:cs="Arial"/>
          <w:color w:val="A60D1F"/>
          <w:sz w:val="18"/>
          <w:szCs w:val="18"/>
        </w:rPr>
      </w:pPr>
    </w:p>
    <w:p w:rsidR="00970285" w:rsidRPr="001A209B" w:rsidRDefault="00970285">
      <w:pPr>
        <w:rPr>
          <w:rFonts w:cs="Arial"/>
          <w:color w:val="A60D1F"/>
          <w:sz w:val="18"/>
          <w:szCs w:val="18"/>
        </w:rPr>
      </w:pPr>
      <w:r w:rsidRPr="001A209B">
        <w:rPr>
          <w:rFonts w:cs="Arial"/>
          <w:color w:val="A60D1F"/>
          <w:sz w:val="18"/>
          <w:szCs w:val="18"/>
        </w:rPr>
        <w:br w:type="page"/>
      </w:r>
    </w:p>
    <w:p w:rsidR="00961E29" w:rsidRPr="001A209B" w:rsidRDefault="00961E29" w:rsidP="00961E29">
      <w:pPr>
        <w:jc w:val="both"/>
        <w:rPr>
          <w:rFonts w:cs="Arial"/>
          <w:color w:val="A60D1F"/>
          <w:sz w:val="18"/>
          <w:szCs w:val="18"/>
        </w:rPr>
      </w:pPr>
      <w:r w:rsidRPr="001A209B">
        <w:rPr>
          <w:rFonts w:cs="Arial"/>
          <w:color w:val="A60D1F"/>
          <w:sz w:val="18"/>
          <w:szCs w:val="18"/>
        </w:rPr>
        <w:t>Other new standards</w:t>
      </w:r>
    </w:p>
    <w:p w:rsidR="00961E29" w:rsidRPr="001A209B" w:rsidRDefault="00961E29" w:rsidP="00961E29">
      <w:pPr>
        <w:jc w:val="both"/>
        <w:rPr>
          <w:rFonts w:cs="Arial"/>
          <w:sz w:val="18"/>
          <w:szCs w:val="18"/>
        </w:rPr>
      </w:pPr>
      <w:r w:rsidRPr="001A209B">
        <w:rPr>
          <w:rFonts w:cs="Arial"/>
          <w:sz w:val="18"/>
          <w:szCs w:val="18"/>
        </w:rPr>
        <w:t>IFRS 11 will become mandatory for the Group in its 2015 accounts and will require the Group to equity account for its joint ventures which are currently proportionately consolidated.  It is not expected to have a material effect on the results or net assets of the Group.</w:t>
      </w:r>
    </w:p>
    <w:p w:rsidR="00961E29" w:rsidRPr="001A209B" w:rsidRDefault="00961E29" w:rsidP="00961E29">
      <w:pPr>
        <w:jc w:val="both"/>
        <w:rPr>
          <w:rFonts w:cs="Arial"/>
          <w:sz w:val="18"/>
          <w:szCs w:val="18"/>
        </w:rPr>
      </w:pPr>
    </w:p>
    <w:p w:rsidR="00961E29" w:rsidRPr="001A209B" w:rsidRDefault="00961E29" w:rsidP="00961E29">
      <w:pPr>
        <w:jc w:val="both"/>
        <w:rPr>
          <w:rFonts w:cs="Arial"/>
          <w:sz w:val="18"/>
          <w:szCs w:val="18"/>
        </w:rPr>
      </w:pPr>
      <w:r w:rsidRPr="001A209B">
        <w:rPr>
          <w:rFonts w:cs="Arial"/>
          <w:sz w:val="18"/>
          <w:szCs w:val="18"/>
        </w:rPr>
        <w:t>Other standards and interpretations issued, but not yet effective, are not expected to have a material effect on the Group's net assets or results.</w:t>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p>
    <w:p w:rsidR="00961E29" w:rsidRPr="001A209B" w:rsidRDefault="00961E29" w:rsidP="00961E29">
      <w:pPr>
        <w:jc w:val="both"/>
        <w:rPr>
          <w:rFonts w:cs="Arial"/>
          <w:sz w:val="18"/>
          <w:szCs w:val="18"/>
        </w:rPr>
      </w:pP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p>
    <w:p w:rsidR="00961E29" w:rsidRPr="001A209B" w:rsidRDefault="00961E29" w:rsidP="00961E29">
      <w:pPr>
        <w:jc w:val="both"/>
        <w:rPr>
          <w:rFonts w:cs="Arial"/>
          <w:b/>
          <w:sz w:val="18"/>
          <w:szCs w:val="18"/>
        </w:rPr>
      </w:pPr>
      <w:r w:rsidRPr="001A209B">
        <w:rPr>
          <w:rFonts w:cs="Arial"/>
          <w:b/>
          <w:color w:val="A60D1F"/>
          <w:sz w:val="18"/>
          <w:szCs w:val="18"/>
        </w:rPr>
        <w:t>2  Critical Accounting Estimates and Judgements</w:t>
      </w:r>
      <w:r w:rsidRPr="001A209B">
        <w:rPr>
          <w:rFonts w:cs="Arial"/>
          <w:b/>
          <w:sz w:val="18"/>
          <w:szCs w:val="18"/>
        </w:rPr>
        <w:tab/>
      </w:r>
    </w:p>
    <w:p w:rsidR="00961E29" w:rsidRPr="001A209B" w:rsidRDefault="00961E29" w:rsidP="00961E29">
      <w:pPr>
        <w:jc w:val="both"/>
        <w:rPr>
          <w:rFonts w:cs="Arial"/>
          <w:sz w:val="18"/>
          <w:szCs w:val="18"/>
        </w:rPr>
      </w:pPr>
      <w:r w:rsidRPr="001A209B">
        <w:rPr>
          <w:rFonts w:cs="Arial"/>
          <w:sz w:val="18"/>
          <w:szCs w:val="18"/>
        </w:rPr>
        <w:t>The Group makes estimates and judgements regarding the future. Estimates and judgements are continually evaluated based on historical experience, and other factors, including expectations of future events that are believed to be reasonable under the circumstances.</w:t>
      </w:r>
      <w:r w:rsidRPr="001A209B">
        <w:rPr>
          <w:rFonts w:cs="Arial"/>
          <w:sz w:val="18"/>
          <w:szCs w:val="18"/>
        </w:rPr>
        <w:tab/>
      </w:r>
    </w:p>
    <w:p w:rsidR="00961E29" w:rsidRPr="001A209B" w:rsidRDefault="00961E29" w:rsidP="00961E29">
      <w:pPr>
        <w:jc w:val="both"/>
        <w:rPr>
          <w:rFonts w:cs="Arial"/>
          <w:sz w:val="18"/>
          <w:szCs w:val="18"/>
        </w:rPr>
      </w:pPr>
    </w:p>
    <w:p w:rsidR="00961E29" w:rsidRPr="001A209B" w:rsidRDefault="00961E29" w:rsidP="00961E29">
      <w:pPr>
        <w:jc w:val="both"/>
        <w:rPr>
          <w:rFonts w:cs="Arial"/>
          <w:sz w:val="18"/>
          <w:szCs w:val="18"/>
        </w:rPr>
      </w:pPr>
      <w:r w:rsidRPr="001A209B">
        <w:rPr>
          <w:rFonts w:cs="Arial"/>
          <w:sz w:val="18"/>
          <w:szCs w:val="18"/>
        </w:rPr>
        <w:t>In the future, actual experience may deviate from these estimates and judgements. The estimates and judgements that have a significant risk of causing a material adjustment to the carrying amounts of assets and liabilities within the current financial year are discussed in the financial statements for the year ended 30 September 2013.</w:t>
      </w:r>
      <w:r w:rsidRPr="001A209B">
        <w:rPr>
          <w:rFonts w:cs="Arial"/>
          <w:sz w:val="18"/>
          <w:szCs w:val="18"/>
        </w:rPr>
        <w:tab/>
      </w:r>
    </w:p>
    <w:p w:rsidR="00961E29" w:rsidRPr="001A209B" w:rsidRDefault="00961E29" w:rsidP="00961E29">
      <w:pPr>
        <w:jc w:val="both"/>
        <w:rPr>
          <w:rFonts w:cs="Arial"/>
          <w:sz w:val="18"/>
          <w:szCs w:val="18"/>
        </w:rPr>
      </w:pPr>
    </w:p>
    <w:p w:rsidR="00961E29" w:rsidRPr="001A209B" w:rsidRDefault="00961E29" w:rsidP="00961E29">
      <w:pPr>
        <w:jc w:val="both"/>
        <w:rPr>
          <w:rFonts w:cs="Arial"/>
          <w:sz w:val="18"/>
          <w:szCs w:val="18"/>
        </w:rPr>
      </w:pPr>
      <w:r w:rsidRPr="001A209B">
        <w:rPr>
          <w:rFonts w:cs="Arial"/>
          <w:sz w:val="18"/>
          <w:szCs w:val="18"/>
        </w:rPr>
        <w:t>With effect from 1 October 2013 we have revised the estimated useful lives over which certain brands, trademarks and supply agreements in the Tobacco business will be amortised. In line with our strategy to focus on Growth and Specialist brands, we have reduced the estimated remaining useful lives for all other brands to a maximum of five years. The effect of this change in estimate has been to increase the charge for amortisation of acquired intangibles by £150 million to £326 million for the six months ended 31 March 2014.</w:t>
      </w:r>
      <w:r w:rsidRPr="001A209B">
        <w:rPr>
          <w:rFonts w:cs="Arial"/>
          <w:sz w:val="18"/>
          <w:szCs w:val="18"/>
        </w:rPr>
        <w:tab/>
      </w:r>
    </w:p>
    <w:p w:rsidR="00961E29" w:rsidRDefault="00961E29" w:rsidP="00961E29">
      <w:pPr>
        <w:jc w:val="both"/>
        <w:rPr>
          <w:rFonts w:cs="Arial"/>
          <w:sz w:val="18"/>
          <w:szCs w:val="18"/>
        </w:rPr>
      </w:pPr>
    </w:p>
    <w:p w:rsidR="004C4821" w:rsidRPr="001A209B" w:rsidRDefault="00961E29" w:rsidP="00961E29">
      <w:pPr>
        <w:jc w:val="both"/>
        <w:rPr>
          <w:rFonts w:cs="Arial"/>
          <w:b/>
          <w:sz w:val="18"/>
          <w:szCs w:val="18"/>
        </w:rPr>
      </w:pPr>
      <w:r w:rsidRPr="001A209B">
        <w:rPr>
          <w:rFonts w:cs="Arial"/>
          <w:b/>
          <w:color w:val="A60D1F"/>
          <w:sz w:val="18"/>
          <w:szCs w:val="18"/>
        </w:rPr>
        <w:t>3  Segment Information</w:t>
      </w:r>
    </w:p>
    <w:p w:rsidR="004C4821" w:rsidRPr="001A209B" w:rsidRDefault="004C4821" w:rsidP="00961E29">
      <w:pPr>
        <w:jc w:val="both"/>
        <w:rPr>
          <w:rFonts w:cs="Arial"/>
          <w:b/>
          <w:color w:val="A60D1F"/>
          <w:sz w:val="18"/>
          <w:szCs w:val="18"/>
        </w:rPr>
      </w:pPr>
    </w:p>
    <w:p w:rsidR="00E2295C" w:rsidRPr="001A209B" w:rsidRDefault="00961E29" w:rsidP="00961E29">
      <w:pPr>
        <w:jc w:val="both"/>
        <w:rPr>
          <w:rFonts w:cs="Arial"/>
          <w:b/>
          <w:color w:val="A60D1F"/>
          <w:sz w:val="18"/>
          <w:szCs w:val="18"/>
        </w:rPr>
      </w:pPr>
      <w:r w:rsidRPr="001A209B">
        <w:rPr>
          <w:rFonts w:cs="Arial"/>
          <w:b/>
          <w:color w:val="A60D1F"/>
          <w:sz w:val="18"/>
          <w:szCs w:val="18"/>
        </w:rPr>
        <w:t>Tobacco</w:t>
      </w:r>
    </w:p>
    <w:tbl>
      <w:tblPr>
        <w:tblW w:w="5000" w:type="pct"/>
        <w:tblLook w:val="04A0" w:firstRow="1" w:lastRow="0" w:firstColumn="1" w:lastColumn="0" w:noHBand="0" w:noVBand="1"/>
      </w:tblPr>
      <w:tblGrid>
        <w:gridCol w:w="5466"/>
        <w:gridCol w:w="1334"/>
        <w:gridCol w:w="1132"/>
        <w:gridCol w:w="1334"/>
      </w:tblGrid>
      <w:tr w:rsidR="004C4821" w:rsidRPr="001A209B" w:rsidTr="004C4821">
        <w:trPr>
          <w:trHeight w:val="960"/>
        </w:trPr>
        <w:tc>
          <w:tcPr>
            <w:tcW w:w="2948"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 million unless otherwise indicated</w:t>
            </w:r>
          </w:p>
        </w:tc>
        <w:tc>
          <w:tcPr>
            <w:tcW w:w="720" w:type="pct"/>
            <w:tcBorders>
              <w:top w:val="nil"/>
              <w:left w:val="nil"/>
              <w:bottom w:val="single" w:sz="4" w:space="0" w:color="800000"/>
              <w:right w:val="nil"/>
            </w:tcBorders>
            <w:shd w:val="clear" w:color="000000" w:fill="FFFFFF"/>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6 months </w:t>
            </w:r>
            <w:r w:rsidRPr="001A209B">
              <w:rPr>
                <w:rFonts w:cs="Arial"/>
                <w:b/>
                <w:bCs/>
                <w:color w:val="800000"/>
                <w:sz w:val="18"/>
                <w:szCs w:val="18"/>
              </w:rPr>
              <w:br/>
              <w:t xml:space="preserve">ended </w:t>
            </w:r>
            <w:r w:rsidRPr="001A209B">
              <w:rPr>
                <w:rFonts w:cs="Arial"/>
                <w:b/>
                <w:bCs/>
                <w:color w:val="800000"/>
                <w:sz w:val="18"/>
                <w:szCs w:val="18"/>
              </w:rPr>
              <w:br/>
              <w:t xml:space="preserve">31 March </w:t>
            </w:r>
            <w:r w:rsidRPr="001A209B">
              <w:rPr>
                <w:rFonts w:cs="Arial"/>
                <w:b/>
                <w:bCs/>
                <w:color w:val="800000"/>
                <w:sz w:val="18"/>
                <w:szCs w:val="18"/>
              </w:rPr>
              <w:br/>
              <w:t xml:space="preserve">2014 </w:t>
            </w:r>
          </w:p>
        </w:tc>
        <w:tc>
          <w:tcPr>
            <w:tcW w:w="611" w:type="pct"/>
            <w:tcBorders>
              <w:top w:val="nil"/>
              <w:left w:val="nil"/>
              <w:bottom w:val="single" w:sz="4" w:space="0" w:color="800000"/>
              <w:right w:val="nil"/>
            </w:tcBorders>
            <w:shd w:val="clear" w:color="000000" w:fill="FFFFFF"/>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 xml:space="preserve">6 months </w:t>
            </w:r>
            <w:r w:rsidRPr="001A209B">
              <w:rPr>
                <w:rFonts w:cs="Arial"/>
                <w:color w:val="000000"/>
                <w:sz w:val="18"/>
                <w:szCs w:val="18"/>
              </w:rPr>
              <w:br/>
              <w:t xml:space="preserve">ended </w:t>
            </w:r>
            <w:r w:rsidRPr="001A209B">
              <w:rPr>
                <w:rFonts w:cs="Arial"/>
                <w:color w:val="000000"/>
                <w:sz w:val="18"/>
                <w:szCs w:val="18"/>
              </w:rPr>
              <w:br/>
              <w:t xml:space="preserve">31 March </w:t>
            </w:r>
            <w:r w:rsidRPr="001A209B">
              <w:rPr>
                <w:rFonts w:cs="Arial"/>
                <w:color w:val="000000"/>
                <w:sz w:val="18"/>
                <w:szCs w:val="18"/>
              </w:rPr>
              <w:br/>
              <w:t xml:space="preserve">2013 </w:t>
            </w:r>
          </w:p>
        </w:tc>
        <w:tc>
          <w:tcPr>
            <w:tcW w:w="720" w:type="pct"/>
            <w:tcBorders>
              <w:top w:val="nil"/>
              <w:left w:val="nil"/>
              <w:bottom w:val="single" w:sz="4" w:space="0" w:color="800000"/>
              <w:right w:val="nil"/>
            </w:tcBorders>
            <w:shd w:val="clear" w:color="000000" w:fill="FFFFFF"/>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Year ended</w:t>
            </w:r>
            <w:r w:rsidRPr="001A209B">
              <w:rPr>
                <w:rFonts w:cs="Arial"/>
                <w:color w:val="000000"/>
                <w:sz w:val="18"/>
                <w:szCs w:val="18"/>
              </w:rPr>
              <w:br/>
              <w:t>30 September</w:t>
            </w:r>
            <w:r w:rsidRPr="001A209B">
              <w:rPr>
                <w:rFonts w:cs="Arial"/>
                <w:color w:val="000000"/>
                <w:sz w:val="18"/>
                <w:szCs w:val="18"/>
              </w:rPr>
              <w:br/>
              <w:t xml:space="preserve">2013 </w:t>
            </w:r>
          </w:p>
        </w:tc>
      </w:tr>
      <w:tr w:rsidR="004C4821" w:rsidRPr="001A209B" w:rsidTr="004C4821">
        <w:trPr>
          <w:trHeight w:val="240"/>
        </w:trPr>
        <w:tc>
          <w:tcPr>
            <w:tcW w:w="2948" w:type="pct"/>
            <w:tcBorders>
              <w:top w:val="nil"/>
              <w:left w:val="nil"/>
              <w:bottom w:val="nil"/>
              <w:right w:val="nil"/>
            </w:tcBorders>
            <w:shd w:val="clear" w:color="000000" w:fill="FFFFFF"/>
            <w:noWrap/>
            <w:vAlign w:val="bottom"/>
            <w:hideMark/>
          </w:tcPr>
          <w:p w:rsidR="004C4821" w:rsidRPr="001A209B" w:rsidRDefault="004C4821" w:rsidP="004C4821">
            <w:pPr>
              <w:rPr>
                <w:rFonts w:cs="Arial"/>
                <w:color w:val="000000"/>
                <w:sz w:val="18"/>
                <w:szCs w:val="18"/>
              </w:rPr>
            </w:pPr>
            <w:r w:rsidRPr="001A209B">
              <w:rPr>
                <w:rFonts w:cs="Arial"/>
                <w:color w:val="000000"/>
                <w:sz w:val="18"/>
                <w:szCs w:val="18"/>
              </w:rPr>
              <w:t>Revenue</w:t>
            </w:r>
          </w:p>
        </w:tc>
        <w:tc>
          <w:tcPr>
            <w:tcW w:w="720"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9,317 </w:t>
            </w:r>
          </w:p>
        </w:tc>
        <w:tc>
          <w:tcPr>
            <w:tcW w:w="611"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9,886 </w:t>
            </w:r>
          </w:p>
        </w:tc>
        <w:tc>
          <w:tcPr>
            <w:tcW w:w="720"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20,881 </w:t>
            </w:r>
          </w:p>
        </w:tc>
      </w:tr>
      <w:tr w:rsidR="004C4821" w:rsidRPr="001A209B" w:rsidTr="004C4821">
        <w:trPr>
          <w:trHeight w:val="240"/>
        </w:trPr>
        <w:tc>
          <w:tcPr>
            <w:tcW w:w="2948" w:type="pct"/>
            <w:tcBorders>
              <w:top w:val="nil"/>
              <w:left w:val="nil"/>
              <w:bottom w:val="nil"/>
              <w:right w:val="nil"/>
            </w:tcBorders>
            <w:shd w:val="clear" w:color="000000" w:fill="FFFFFF"/>
            <w:noWrap/>
            <w:vAlign w:val="bottom"/>
            <w:hideMark/>
          </w:tcPr>
          <w:p w:rsidR="004C4821" w:rsidRPr="001A209B" w:rsidRDefault="004C4821" w:rsidP="004C4821">
            <w:pPr>
              <w:rPr>
                <w:rFonts w:cs="Arial"/>
                <w:color w:val="000000"/>
                <w:sz w:val="18"/>
                <w:szCs w:val="18"/>
              </w:rPr>
            </w:pPr>
            <w:r w:rsidRPr="001A209B">
              <w:rPr>
                <w:rFonts w:cs="Arial"/>
                <w:color w:val="000000"/>
                <w:sz w:val="18"/>
                <w:szCs w:val="18"/>
              </w:rPr>
              <w:t>Net revenue</w:t>
            </w:r>
          </w:p>
        </w:tc>
        <w:tc>
          <w:tcPr>
            <w:tcW w:w="720"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3,134 </w:t>
            </w:r>
          </w:p>
        </w:tc>
        <w:tc>
          <w:tcPr>
            <w:tcW w:w="611"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3,284 </w:t>
            </w:r>
          </w:p>
        </w:tc>
        <w:tc>
          <w:tcPr>
            <w:tcW w:w="720"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7,007 </w:t>
            </w:r>
          </w:p>
        </w:tc>
      </w:tr>
      <w:tr w:rsidR="004C4821" w:rsidRPr="001A209B" w:rsidTr="004C4821">
        <w:trPr>
          <w:trHeight w:val="240"/>
        </w:trPr>
        <w:tc>
          <w:tcPr>
            <w:tcW w:w="2948" w:type="pct"/>
            <w:tcBorders>
              <w:top w:val="nil"/>
              <w:left w:val="nil"/>
              <w:bottom w:val="nil"/>
              <w:right w:val="nil"/>
            </w:tcBorders>
            <w:shd w:val="clear" w:color="000000" w:fill="FFFFFF"/>
            <w:noWrap/>
            <w:vAlign w:val="bottom"/>
            <w:hideMark/>
          </w:tcPr>
          <w:p w:rsidR="004C4821" w:rsidRPr="001A209B" w:rsidRDefault="004C4821" w:rsidP="004C4821">
            <w:pPr>
              <w:rPr>
                <w:rFonts w:cs="Arial"/>
                <w:color w:val="000000"/>
                <w:sz w:val="18"/>
                <w:szCs w:val="18"/>
              </w:rPr>
            </w:pPr>
            <w:r w:rsidRPr="001A209B">
              <w:rPr>
                <w:rFonts w:cs="Arial"/>
                <w:color w:val="000000"/>
                <w:sz w:val="18"/>
                <w:szCs w:val="18"/>
              </w:rPr>
              <w:t xml:space="preserve">Operating profit </w:t>
            </w:r>
          </w:p>
        </w:tc>
        <w:tc>
          <w:tcPr>
            <w:tcW w:w="720"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969 </w:t>
            </w:r>
          </w:p>
        </w:tc>
        <w:tc>
          <w:tcPr>
            <w:tcW w:w="611"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1,185 </w:t>
            </w:r>
          </w:p>
        </w:tc>
        <w:tc>
          <w:tcPr>
            <w:tcW w:w="720"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1,888 </w:t>
            </w:r>
          </w:p>
        </w:tc>
      </w:tr>
      <w:tr w:rsidR="004C4821" w:rsidRPr="001A209B" w:rsidTr="004C4821">
        <w:trPr>
          <w:trHeight w:val="240"/>
        </w:trPr>
        <w:tc>
          <w:tcPr>
            <w:tcW w:w="2948" w:type="pct"/>
            <w:tcBorders>
              <w:top w:val="nil"/>
              <w:left w:val="nil"/>
              <w:bottom w:val="nil"/>
              <w:right w:val="nil"/>
            </w:tcBorders>
            <w:shd w:val="clear" w:color="000000" w:fill="FFFFFF"/>
            <w:noWrap/>
            <w:vAlign w:val="bottom"/>
            <w:hideMark/>
          </w:tcPr>
          <w:p w:rsidR="004C4821" w:rsidRPr="001A209B" w:rsidRDefault="004C4821" w:rsidP="004C4821">
            <w:pPr>
              <w:rPr>
                <w:rFonts w:cs="Arial"/>
                <w:color w:val="000000"/>
                <w:sz w:val="18"/>
                <w:szCs w:val="18"/>
              </w:rPr>
            </w:pPr>
            <w:r w:rsidRPr="001A209B">
              <w:rPr>
                <w:rFonts w:cs="Arial"/>
                <w:color w:val="000000"/>
                <w:sz w:val="18"/>
                <w:szCs w:val="18"/>
              </w:rPr>
              <w:t>Adjusted operating profit</w:t>
            </w:r>
          </w:p>
        </w:tc>
        <w:tc>
          <w:tcPr>
            <w:tcW w:w="720"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1,296 </w:t>
            </w:r>
          </w:p>
        </w:tc>
        <w:tc>
          <w:tcPr>
            <w:tcW w:w="611"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1,359 </w:t>
            </w:r>
          </w:p>
        </w:tc>
        <w:tc>
          <w:tcPr>
            <w:tcW w:w="720"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3,003 </w:t>
            </w:r>
          </w:p>
        </w:tc>
      </w:tr>
      <w:tr w:rsidR="004C4821" w:rsidRPr="001A209B" w:rsidTr="004C4821">
        <w:trPr>
          <w:trHeight w:val="255"/>
        </w:trPr>
        <w:tc>
          <w:tcPr>
            <w:tcW w:w="2948" w:type="pct"/>
            <w:tcBorders>
              <w:top w:val="nil"/>
              <w:left w:val="nil"/>
              <w:bottom w:val="single" w:sz="8"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Adjusted operating margin %</w:t>
            </w:r>
          </w:p>
        </w:tc>
        <w:tc>
          <w:tcPr>
            <w:tcW w:w="720" w:type="pct"/>
            <w:tcBorders>
              <w:top w:val="nil"/>
              <w:left w:val="nil"/>
              <w:bottom w:val="single" w:sz="8" w:space="0" w:color="800000"/>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41.4 </w:t>
            </w:r>
          </w:p>
        </w:tc>
        <w:tc>
          <w:tcPr>
            <w:tcW w:w="611" w:type="pct"/>
            <w:tcBorders>
              <w:top w:val="nil"/>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41.4 </w:t>
            </w:r>
          </w:p>
        </w:tc>
        <w:tc>
          <w:tcPr>
            <w:tcW w:w="720" w:type="pct"/>
            <w:tcBorders>
              <w:top w:val="nil"/>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42.9 </w:t>
            </w:r>
          </w:p>
        </w:tc>
      </w:tr>
    </w:tbl>
    <w:p w:rsidR="004C4821" w:rsidRPr="001A209B" w:rsidRDefault="004C4821" w:rsidP="00961E29">
      <w:pPr>
        <w:jc w:val="both"/>
        <w:rPr>
          <w:rFonts w:cs="Arial"/>
          <w:b/>
          <w:color w:val="A60D1F"/>
          <w:sz w:val="18"/>
          <w:szCs w:val="18"/>
        </w:rPr>
      </w:pPr>
    </w:p>
    <w:p w:rsidR="004C4821" w:rsidRPr="001A209B" w:rsidRDefault="004C4821" w:rsidP="004C4821">
      <w:pPr>
        <w:jc w:val="both"/>
        <w:rPr>
          <w:rFonts w:cs="Arial"/>
          <w:b/>
          <w:color w:val="A60D1F"/>
          <w:sz w:val="18"/>
          <w:szCs w:val="18"/>
        </w:rPr>
      </w:pPr>
      <w:r w:rsidRPr="001A209B">
        <w:rPr>
          <w:rFonts w:cs="Arial"/>
          <w:b/>
          <w:color w:val="A60D1F"/>
          <w:sz w:val="18"/>
          <w:szCs w:val="18"/>
        </w:rPr>
        <w:t>Logistics</w:t>
      </w:r>
    </w:p>
    <w:tbl>
      <w:tblPr>
        <w:tblW w:w="5000" w:type="pct"/>
        <w:tblLook w:val="04A0" w:firstRow="1" w:lastRow="0" w:firstColumn="1" w:lastColumn="0" w:noHBand="0" w:noVBand="1"/>
      </w:tblPr>
      <w:tblGrid>
        <w:gridCol w:w="5466"/>
        <w:gridCol w:w="1334"/>
        <w:gridCol w:w="1132"/>
        <w:gridCol w:w="1334"/>
      </w:tblGrid>
      <w:tr w:rsidR="004C4821" w:rsidRPr="001A209B" w:rsidTr="004C4821">
        <w:trPr>
          <w:trHeight w:val="960"/>
        </w:trPr>
        <w:tc>
          <w:tcPr>
            <w:tcW w:w="2948"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 million unless otherwise indicated</w:t>
            </w:r>
          </w:p>
        </w:tc>
        <w:tc>
          <w:tcPr>
            <w:tcW w:w="720" w:type="pct"/>
            <w:tcBorders>
              <w:top w:val="nil"/>
              <w:left w:val="nil"/>
              <w:bottom w:val="single" w:sz="4" w:space="0" w:color="800000"/>
              <w:right w:val="nil"/>
            </w:tcBorders>
            <w:shd w:val="clear" w:color="000000" w:fill="FFFFFF"/>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6 months </w:t>
            </w:r>
            <w:r w:rsidRPr="001A209B">
              <w:rPr>
                <w:rFonts w:cs="Arial"/>
                <w:b/>
                <w:bCs/>
                <w:color w:val="800000"/>
                <w:sz w:val="18"/>
                <w:szCs w:val="18"/>
              </w:rPr>
              <w:br/>
              <w:t xml:space="preserve">ended </w:t>
            </w:r>
            <w:r w:rsidRPr="001A209B">
              <w:rPr>
                <w:rFonts w:cs="Arial"/>
                <w:b/>
                <w:bCs/>
                <w:color w:val="800000"/>
                <w:sz w:val="18"/>
                <w:szCs w:val="18"/>
              </w:rPr>
              <w:br/>
              <w:t xml:space="preserve">31 March </w:t>
            </w:r>
            <w:r w:rsidRPr="001A209B">
              <w:rPr>
                <w:rFonts w:cs="Arial"/>
                <w:b/>
                <w:bCs/>
                <w:color w:val="800000"/>
                <w:sz w:val="18"/>
                <w:szCs w:val="18"/>
              </w:rPr>
              <w:br/>
              <w:t xml:space="preserve">2014 </w:t>
            </w:r>
          </w:p>
        </w:tc>
        <w:tc>
          <w:tcPr>
            <w:tcW w:w="611" w:type="pct"/>
            <w:tcBorders>
              <w:top w:val="nil"/>
              <w:left w:val="nil"/>
              <w:bottom w:val="single" w:sz="4" w:space="0" w:color="800000"/>
              <w:right w:val="nil"/>
            </w:tcBorders>
            <w:shd w:val="clear" w:color="000000" w:fill="FFFFFF"/>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 xml:space="preserve">6 months </w:t>
            </w:r>
            <w:r w:rsidRPr="001A209B">
              <w:rPr>
                <w:rFonts w:cs="Arial"/>
                <w:color w:val="000000"/>
                <w:sz w:val="18"/>
                <w:szCs w:val="18"/>
              </w:rPr>
              <w:br/>
              <w:t xml:space="preserve">ended </w:t>
            </w:r>
            <w:r w:rsidRPr="001A209B">
              <w:rPr>
                <w:rFonts w:cs="Arial"/>
                <w:color w:val="000000"/>
                <w:sz w:val="18"/>
                <w:szCs w:val="18"/>
              </w:rPr>
              <w:br/>
              <w:t xml:space="preserve">31 March </w:t>
            </w:r>
            <w:r w:rsidRPr="001A209B">
              <w:rPr>
                <w:rFonts w:cs="Arial"/>
                <w:color w:val="000000"/>
                <w:sz w:val="18"/>
                <w:szCs w:val="18"/>
              </w:rPr>
              <w:br/>
              <w:t xml:space="preserve">2013 </w:t>
            </w:r>
          </w:p>
        </w:tc>
        <w:tc>
          <w:tcPr>
            <w:tcW w:w="720" w:type="pct"/>
            <w:tcBorders>
              <w:top w:val="nil"/>
              <w:left w:val="nil"/>
              <w:bottom w:val="single" w:sz="4" w:space="0" w:color="800000"/>
              <w:right w:val="nil"/>
            </w:tcBorders>
            <w:shd w:val="clear" w:color="000000" w:fill="FFFFFF"/>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Year ended</w:t>
            </w:r>
            <w:r w:rsidRPr="001A209B">
              <w:rPr>
                <w:rFonts w:cs="Arial"/>
                <w:color w:val="000000"/>
                <w:sz w:val="18"/>
                <w:szCs w:val="18"/>
              </w:rPr>
              <w:br/>
              <w:t>30 September</w:t>
            </w:r>
            <w:r w:rsidRPr="001A209B">
              <w:rPr>
                <w:rFonts w:cs="Arial"/>
                <w:color w:val="000000"/>
                <w:sz w:val="18"/>
                <w:szCs w:val="18"/>
              </w:rPr>
              <w:br/>
              <w:t xml:space="preserve">2013 </w:t>
            </w:r>
          </w:p>
        </w:tc>
      </w:tr>
      <w:tr w:rsidR="004C4821" w:rsidRPr="001A209B" w:rsidTr="004C4821">
        <w:trPr>
          <w:trHeight w:val="240"/>
        </w:trPr>
        <w:tc>
          <w:tcPr>
            <w:tcW w:w="2948" w:type="pct"/>
            <w:tcBorders>
              <w:top w:val="nil"/>
              <w:left w:val="nil"/>
              <w:bottom w:val="nil"/>
              <w:right w:val="nil"/>
            </w:tcBorders>
            <w:shd w:val="clear" w:color="000000" w:fill="FFFFFF"/>
            <w:noWrap/>
            <w:vAlign w:val="bottom"/>
            <w:hideMark/>
          </w:tcPr>
          <w:p w:rsidR="004C4821" w:rsidRPr="001A209B" w:rsidRDefault="004C4821" w:rsidP="004C4821">
            <w:pPr>
              <w:rPr>
                <w:rFonts w:cs="Arial"/>
                <w:color w:val="000000"/>
                <w:sz w:val="18"/>
                <w:szCs w:val="18"/>
              </w:rPr>
            </w:pPr>
            <w:r w:rsidRPr="001A209B">
              <w:rPr>
                <w:rFonts w:cs="Arial"/>
                <w:color w:val="000000"/>
                <w:sz w:val="18"/>
                <w:szCs w:val="18"/>
              </w:rPr>
              <w:t>Revenue</w:t>
            </w:r>
          </w:p>
        </w:tc>
        <w:tc>
          <w:tcPr>
            <w:tcW w:w="720"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3,822 </w:t>
            </w:r>
          </w:p>
        </w:tc>
        <w:tc>
          <w:tcPr>
            <w:tcW w:w="611"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3,928 </w:t>
            </w:r>
          </w:p>
        </w:tc>
        <w:tc>
          <w:tcPr>
            <w:tcW w:w="720"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8,288 </w:t>
            </w:r>
          </w:p>
        </w:tc>
      </w:tr>
      <w:tr w:rsidR="004C4821" w:rsidRPr="001A209B" w:rsidTr="004C4821">
        <w:trPr>
          <w:trHeight w:val="240"/>
        </w:trPr>
        <w:tc>
          <w:tcPr>
            <w:tcW w:w="2948" w:type="pct"/>
            <w:tcBorders>
              <w:top w:val="nil"/>
              <w:left w:val="nil"/>
              <w:bottom w:val="nil"/>
              <w:right w:val="nil"/>
            </w:tcBorders>
            <w:shd w:val="clear" w:color="000000" w:fill="FFFFFF"/>
            <w:noWrap/>
            <w:vAlign w:val="bottom"/>
            <w:hideMark/>
          </w:tcPr>
          <w:p w:rsidR="004C4821" w:rsidRPr="001A209B" w:rsidRDefault="004C4821" w:rsidP="004C4821">
            <w:pPr>
              <w:rPr>
                <w:rFonts w:cs="Arial"/>
                <w:color w:val="000000"/>
                <w:sz w:val="18"/>
                <w:szCs w:val="18"/>
              </w:rPr>
            </w:pPr>
            <w:r w:rsidRPr="001A209B">
              <w:rPr>
                <w:rFonts w:cs="Arial"/>
                <w:color w:val="000000"/>
                <w:sz w:val="18"/>
                <w:szCs w:val="18"/>
              </w:rPr>
              <w:t>Distribution fees</w:t>
            </w:r>
          </w:p>
        </w:tc>
        <w:tc>
          <w:tcPr>
            <w:tcW w:w="720"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430 </w:t>
            </w:r>
          </w:p>
        </w:tc>
        <w:tc>
          <w:tcPr>
            <w:tcW w:w="611"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 xml:space="preserve">413 </w:t>
            </w:r>
          </w:p>
        </w:tc>
        <w:tc>
          <w:tcPr>
            <w:tcW w:w="720"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 xml:space="preserve">850 </w:t>
            </w:r>
          </w:p>
        </w:tc>
      </w:tr>
      <w:tr w:rsidR="004C4821" w:rsidRPr="001A209B" w:rsidTr="004C4821">
        <w:trPr>
          <w:trHeight w:val="240"/>
        </w:trPr>
        <w:tc>
          <w:tcPr>
            <w:tcW w:w="2948" w:type="pct"/>
            <w:tcBorders>
              <w:top w:val="nil"/>
              <w:left w:val="nil"/>
              <w:bottom w:val="nil"/>
              <w:right w:val="nil"/>
            </w:tcBorders>
            <w:shd w:val="clear" w:color="000000" w:fill="FFFFFF"/>
            <w:noWrap/>
            <w:vAlign w:val="bottom"/>
            <w:hideMark/>
          </w:tcPr>
          <w:p w:rsidR="004C4821" w:rsidRPr="001A209B" w:rsidRDefault="004C4821" w:rsidP="004C4821">
            <w:pPr>
              <w:rPr>
                <w:rFonts w:cs="Arial"/>
                <w:color w:val="000000"/>
                <w:sz w:val="18"/>
                <w:szCs w:val="18"/>
              </w:rPr>
            </w:pPr>
            <w:r w:rsidRPr="001A209B">
              <w:rPr>
                <w:rFonts w:cs="Arial"/>
                <w:color w:val="000000"/>
                <w:sz w:val="18"/>
                <w:szCs w:val="18"/>
              </w:rPr>
              <w:t xml:space="preserve">Operating profit </w:t>
            </w:r>
          </w:p>
        </w:tc>
        <w:tc>
          <w:tcPr>
            <w:tcW w:w="720"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32 </w:t>
            </w:r>
          </w:p>
        </w:tc>
        <w:tc>
          <w:tcPr>
            <w:tcW w:w="611"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 xml:space="preserve">24 </w:t>
            </w:r>
          </w:p>
        </w:tc>
        <w:tc>
          <w:tcPr>
            <w:tcW w:w="720"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 xml:space="preserve">69 </w:t>
            </w:r>
          </w:p>
        </w:tc>
      </w:tr>
      <w:tr w:rsidR="004C4821" w:rsidRPr="001A209B" w:rsidTr="004C4821">
        <w:trPr>
          <w:trHeight w:val="240"/>
        </w:trPr>
        <w:tc>
          <w:tcPr>
            <w:tcW w:w="2948" w:type="pct"/>
            <w:tcBorders>
              <w:top w:val="nil"/>
              <w:left w:val="nil"/>
              <w:bottom w:val="nil"/>
              <w:right w:val="nil"/>
            </w:tcBorders>
            <w:shd w:val="clear" w:color="000000" w:fill="FFFFFF"/>
            <w:noWrap/>
            <w:vAlign w:val="bottom"/>
            <w:hideMark/>
          </w:tcPr>
          <w:p w:rsidR="004C4821" w:rsidRPr="001A209B" w:rsidRDefault="004C4821" w:rsidP="004C4821">
            <w:pPr>
              <w:rPr>
                <w:rFonts w:cs="Arial"/>
                <w:color w:val="000000"/>
                <w:sz w:val="18"/>
                <w:szCs w:val="18"/>
              </w:rPr>
            </w:pPr>
            <w:r w:rsidRPr="001A209B">
              <w:rPr>
                <w:rFonts w:cs="Arial"/>
                <w:color w:val="000000"/>
                <w:sz w:val="18"/>
                <w:szCs w:val="18"/>
              </w:rPr>
              <w:t>Adjusted operating profit</w:t>
            </w:r>
          </w:p>
        </w:tc>
        <w:tc>
          <w:tcPr>
            <w:tcW w:w="720"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73 </w:t>
            </w:r>
          </w:p>
        </w:tc>
        <w:tc>
          <w:tcPr>
            <w:tcW w:w="611"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 xml:space="preserve">74 </w:t>
            </w:r>
          </w:p>
        </w:tc>
        <w:tc>
          <w:tcPr>
            <w:tcW w:w="720"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 xml:space="preserve">176 </w:t>
            </w:r>
          </w:p>
        </w:tc>
      </w:tr>
      <w:tr w:rsidR="004C4821" w:rsidRPr="001A209B" w:rsidTr="004C4821">
        <w:trPr>
          <w:trHeight w:val="255"/>
        </w:trPr>
        <w:tc>
          <w:tcPr>
            <w:tcW w:w="2948" w:type="pct"/>
            <w:tcBorders>
              <w:top w:val="nil"/>
              <w:left w:val="nil"/>
              <w:bottom w:val="single" w:sz="8"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Adjusted distribution margin %</w:t>
            </w:r>
          </w:p>
        </w:tc>
        <w:tc>
          <w:tcPr>
            <w:tcW w:w="720" w:type="pct"/>
            <w:tcBorders>
              <w:top w:val="nil"/>
              <w:left w:val="nil"/>
              <w:bottom w:val="single" w:sz="8" w:space="0" w:color="800000"/>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17.0 </w:t>
            </w:r>
          </w:p>
        </w:tc>
        <w:tc>
          <w:tcPr>
            <w:tcW w:w="611" w:type="pct"/>
            <w:tcBorders>
              <w:top w:val="nil"/>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17.9 </w:t>
            </w:r>
          </w:p>
        </w:tc>
        <w:tc>
          <w:tcPr>
            <w:tcW w:w="720" w:type="pct"/>
            <w:tcBorders>
              <w:top w:val="nil"/>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20.7 </w:t>
            </w:r>
          </w:p>
        </w:tc>
      </w:tr>
    </w:tbl>
    <w:p w:rsidR="004C4821" w:rsidRPr="001A209B" w:rsidRDefault="004C4821" w:rsidP="00961E29">
      <w:pPr>
        <w:jc w:val="both"/>
        <w:rPr>
          <w:rFonts w:cs="Arial"/>
          <w:b/>
          <w:color w:val="A60D1F"/>
          <w:sz w:val="18"/>
          <w:szCs w:val="18"/>
        </w:rPr>
      </w:pPr>
    </w:p>
    <w:p w:rsidR="004C4821" w:rsidRPr="001A209B" w:rsidRDefault="004C4821" w:rsidP="004C4821">
      <w:pPr>
        <w:jc w:val="both"/>
        <w:rPr>
          <w:rFonts w:cs="Arial"/>
          <w:b/>
          <w:color w:val="A60D1F"/>
          <w:sz w:val="18"/>
          <w:szCs w:val="18"/>
        </w:rPr>
      </w:pPr>
      <w:r w:rsidRPr="001A209B">
        <w:rPr>
          <w:rFonts w:cs="Arial"/>
          <w:b/>
          <w:color w:val="A60D1F"/>
          <w:sz w:val="18"/>
          <w:szCs w:val="18"/>
        </w:rPr>
        <w:t>Revenue</w:t>
      </w:r>
    </w:p>
    <w:tbl>
      <w:tblPr>
        <w:tblW w:w="5000" w:type="pct"/>
        <w:tblLook w:val="04A0" w:firstRow="1" w:lastRow="0" w:firstColumn="1" w:lastColumn="0" w:noHBand="0" w:noVBand="1"/>
      </w:tblPr>
      <w:tblGrid>
        <w:gridCol w:w="2511"/>
        <w:gridCol w:w="1175"/>
        <w:gridCol w:w="1281"/>
        <w:gridCol w:w="1067"/>
        <w:gridCol w:w="1180"/>
        <w:gridCol w:w="899"/>
        <w:gridCol w:w="1153"/>
      </w:tblGrid>
      <w:tr w:rsidR="004C4821" w:rsidRPr="001A209B" w:rsidTr="004C4821">
        <w:trPr>
          <w:trHeight w:val="510"/>
        </w:trPr>
        <w:tc>
          <w:tcPr>
            <w:tcW w:w="1355" w:type="pct"/>
            <w:tcBorders>
              <w:top w:val="nil"/>
              <w:left w:val="nil"/>
              <w:bottom w:val="nil"/>
              <w:right w:val="nil"/>
            </w:tcBorders>
            <w:shd w:val="clear" w:color="000000" w:fill="FFFFFF"/>
            <w:vAlign w:val="bottom"/>
            <w:hideMark/>
          </w:tcPr>
          <w:p w:rsidR="004C4821" w:rsidRPr="001A209B" w:rsidRDefault="004C4821" w:rsidP="004C4821">
            <w:pPr>
              <w:rPr>
                <w:rFonts w:cs="Arial"/>
                <w:color w:val="000000"/>
                <w:sz w:val="18"/>
                <w:szCs w:val="18"/>
              </w:rPr>
            </w:pPr>
            <w:r w:rsidRPr="001A209B">
              <w:rPr>
                <w:rFonts w:cs="Arial"/>
                <w:color w:val="000000"/>
                <w:sz w:val="18"/>
                <w:szCs w:val="18"/>
              </w:rPr>
              <w:t> </w:t>
            </w:r>
          </w:p>
        </w:tc>
        <w:tc>
          <w:tcPr>
            <w:tcW w:w="1325" w:type="pct"/>
            <w:gridSpan w:val="2"/>
            <w:tcBorders>
              <w:top w:val="nil"/>
              <w:left w:val="nil"/>
              <w:bottom w:val="single" w:sz="4" w:space="0" w:color="800000"/>
              <w:right w:val="nil"/>
            </w:tcBorders>
            <w:shd w:val="clear" w:color="000000" w:fill="FFFFFF"/>
            <w:vAlign w:val="bottom"/>
            <w:hideMark/>
          </w:tcPr>
          <w:p w:rsidR="004C4821" w:rsidRPr="001A209B" w:rsidRDefault="004C4821" w:rsidP="004C4821">
            <w:pPr>
              <w:jc w:val="center"/>
              <w:rPr>
                <w:rFonts w:cs="Arial"/>
                <w:b/>
                <w:bCs/>
                <w:color w:val="800000"/>
                <w:sz w:val="18"/>
                <w:szCs w:val="18"/>
              </w:rPr>
            </w:pPr>
            <w:r w:rsidRPr="001A209B">
              <w:rPr>
                <w:rFonts w:cs="Arial"/>
                <w:b/>
                <w:bCs/>
                <w:color w:val="800000"/>
                <w:sz w:val="18"/>
                <w:szCs w:val="18"/>
              </w:rPr>
              <w:t>6 months ended</w:t>
            </w:r>
            <w:r w:rsidRPr="001A209B">
              <w:rPr>
                <w:rFonts w:cs="Arial"/>
                <w:b/>
                <w:bCs/>
                <w:color w:val="800000"/>
                <w:sz w:val="18"/>
                <w:szCs w:val="18"/>
              </w:rPr>
              <w:br/>
              <w:t>31 March 2014</w:t>
            </w:r>
          </w:p>
        </w:tc>
        <w:tc>
          <w:tcPr>
            <w:tcW w:w="1212" w:type="pct"/>
            <w:gridSpan w:val="2"/>
            <w:tcBorders>
              <w:top w:val="nil"/>
              <w:left w:val="nil"/>
              <w:bottom w:val="single" w:sz="4" w:space="0" w:color="800000"/>
              <w:right w:val="nil"/>
            </w:tcBorders>
            <w:shd w:val="clear" w:color="000000" w:fill="FFFFFF"/>
            <w:vAlign w:val="bottom"/>
            <w:hideMark/>
          </w:tcPr>
          <w:p w:rsidR="004C4821" w:rsidRPr="001A209B" w:rsidRDefault="004C4821" w:rsidP="004C4821">
            <w:pPr>
              <w:jc w:val="center"/>
              <w:rPr>
                <w:rFonts w:cs="Arial"/>
                <w:sz w:val="18"/>
                <w:szCs w:val="18"/>
              </w:rPr>
            </w:pPr>
            <w:r w:rsidRPr="001A209B">
              <w:rPr>
                <w:rFonts w:cs="Arial"/>
                <w:sz w:val="18"/>
                <w:szCs w:val="18"/>
              </w:rPr>
              <w:t>6 months ended</w:t>
            </w:r>
            <w:r w:rsidRPr="001A209B">
              <w:rPr>
                <w:rFonts w:cs="Arial"/>
                <w:sz w:val="18"/>
                <w:szCs w:val="18"/>
              </w:rPr>
              <w:br/>
              <w:t>31 March 2013</w:t>
            </w:r>
          </w:p>
        </w:tc>
        <w:tc>
          <w:tcPr>
            <w:tcW w:w="1107" w:type="pct"/>
            <w:gridSpan w:val="2"/>
            <w:tcBorders>
              <w:top w:val="nil"/>
              <w:left w:val="nil"/>
              <w:bottom w:val="single" w:sz="4" w:space="0" w:color="800000"/>
              <w:right w:val="nil"/>
            </w:tcBorders>
            <w:shd w:val="clear" w:color="000000" w:fill="FFFFFF"/>
            <w:vAlign w:val="bottom"/>
            <w:hideMark/>
          </w:tcPr>
          <w:p w:rsidR="004C4821" w:rsidRPr="001A209B" w:rsidRDefault="004C4821" w:rsidP="004C4821">
            <w:pPr>
              <w:jc w:val="center"/>
              <w:rPr>
                <w:rFonts w:cs="Arial"/>
                <w:sz w:val="18"/>
                <w:szCs w:val="18"/>
              </w:rPr>
            </w:pPr>
            <w:r w:rsidRPr="001A209B">
              <w:rPr>
                <w:rFonts w:cs="Arial"/>
                <w:sz w:val="18"/>
                <w:szCs w:val="18"/>
              </w:rPr>
              <w:t>Year ended</w:t>
            </w:r>
            <w:r w:rsidRPr="001A209B">
              <w:rPr>
                <w:rFonts w:cs="Arial"/>
                <w:sz w:val="18"/>
                <w:szCs w:val="18"/>
              </w:rPr>
              <w:br/>
              <w:t>30 September 2013</w:t>
            </w:r>
          </w:p>
        </w:tc>
      </w:tr>
      <w:tr w:rsidR="004C4821" w:rsidRPr="001A209B" w:rsidTr="004C4821">
        <w:trPr>
          <w:trHeight w:val="240"/>
        </w:trPr>
        <w:tc>
          <w:tcPr>
            <w:tcW w:w="1355" w:type="pct"/>
            <w:tcBorders>
              <w:top w:val="nil"/>
              <w:left w:val="nil"/>
              <w:bottom w:val="nil"/>
              <w:right w:val="nil"/>
            </w:tcBorders>
            <w:shd w:val="clear" w:color="000000" w:fill="FFFFFF"/>
            <w:noWrap/>
            <w:vAlign w:val="bottom"/>
            <w:hideMark/>
          </w:tcPr>
          <w:p w:rsidR="004C4821" w:rsidRPr="001A209B" w:rsidRDefault="004C4821" w:rsidP="004C4821">
            <w:pPr>
              <w:rPr>
                <w:rFonts w:cs="Arial"/>
                <w:color w:val="000000"/>
                <w:sz w:val="18"/>
                <w:szCs w:val="18"/>
              </w:rPr>
            </w:pPr>
            <w:r w:rsidRPr="001A209B">
              <w:rPr>
                <w:rFonts w:cs="Arial"/>
                <w:color w:val="000000"/>
                <w:sz w:val="18"/>
                <w:szCs w:val="18"/>
              </w:rPr>
              <w:t> </w:t>
            </w:r>
          </w:p>
        </w:tc>
        <w:tc>
          <w:tcPr>
            <w:tcW w:w="634"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Total </w:t>
            </w:r>
          </w:p>
        </w:tc>
        <w:tc>
          <w:tcPr>
            <w:tcW w:w="691"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External </w:t>
            </w:r>
          </w:p>
        </w:tc>
        <w:tc>
          <w:tcPr>
            <w:tcW w:w="576"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Total </w:t>
            </w:r>
          </w:p>
        </w:tc>
        <w:tc>
          <w:tcPr>
            <w:tcW w:w="637"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External </w:t>
            </w:r>
          </w:p>
        </w:tc>
        <w:tc>
          <w:tcPr>
            <w:tcW w:w="48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Total </w:t>
            </w:r>
          </w:p>
        </w:tc>
        <w:tc>
          <w:tcPr>
            <w:tcW w:w="622"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External </w:t>
            </w:r>
          </w:p>
        </w:tc>
      </w:tr>
      <w:tr w:rsidR="004C4821" w:rsidRPr="001A209B" w:rsidTr="004C4821">
        <w:trPr>
          <w:trHeight w:val="240"/>
        </w:trPr>
        <w:tc>
          <w:tcPr>
            <w:tcW w:w="135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 million</w:t>
            </w:r>
          </w:p>
        </w:tc>
        <w:tc>
          <w:tcPr>
            <w:tcW w:w="634"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revenue </w:t>
            </w:r>
          </w:p>
        </w:tc>
        <w:tc>
          <w:tcPr>
            <w:tcW w:w="691"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revenue </w:t>
            </w:r>
          </w:p>
        </w:tc>
        <w:tc>
          <w:tcPr>
            <w:tcW w:w="576"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revenue </w:t>
            </w:r>
          </w:p>
        </w:tc>
        <w:tc>
          <w:tcPr>
            <w:tcW w:w="637"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revenue </w:t>
            </w:r>
          </w:p>
        </w:tc>
        <w:tc>
          <w:tcPr>
            <w:tcW w:w="48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revenue </w:t>
            </w:r>
          </w:p>
        </w:tc>
        <w:tc>
          <w:tcPr>
            <w:tcW w:w="622"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revenue </w:t>
            </w:r>
          </w:p>
        </w:tc>
      </w:tr>
      <w:tr w:rsidR="004C4821" w:rsidRPr="001A209B" w:rsidTr="004C4821">
        <w:trPr>
          <w:trHeight w:val="240"/>
        </w:trPr>
        <w:tc>
          <w:tcPr>
            <w:tcW w:w="135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Tobacco</w:t>
            </w:r>
          </w:p>
        </w:tc>
        <w:tc>
          <w:tcPr>
            <w:tcW w:w="634" w:type="pct"/>
            <w:tcBorders>
              <w:top w:val="nil"/>
              <w:left w:val="nil"/>
              <w:bottom w:val="nil"/>
              <w:right w:val="nil"/>
            </w:tcBorders>
            <w:shd w:val="clear" w:color="000000" w:fill="C0C0C0"/>
            <w:noWrap/>
            <w:vAlign w:val="bottom"/>
            <w:hideMark/>
          </w:tcPr>
          <w:p w:rsidR="004C4821" w:rsidRPr="001A209B" w:rsidRDefault="004C4821" w:rsidP="004C4821">
            <w:pPr>
              <w:rPr>
                <w:rFonts w:cs="Arial"/>
                <w:b/>
                <w:bCs/>
                <w:color w:val="800000"/>
                <w:sz w:val="18"/>
                <w:szCs w:val="18"/>
              </w:rPr>
            </w:pPr>
            <w:r w:rsidRPr="001A209B">
              <w:rPr>
                <w:rFonts w:cs="Arial"/>
                <w:b/>
                <w:bCs/>
                <w:color w:val="800000"/>
                <w:sz w:val="18"/>
                <w:szCs w:val="18"/>
              </w:rPr>
              <w:t> </w:t>
            </w:r>
          </w:p>
        </w:tc>
        <w:tc>
          <w:tcPr>
            <w:tcW w:w="691" w:type="pct"/>
            <w:tcBorders>
              <w:top w:val="nil"/>
              <w:left w:val="nil"/>
              <w:bottom w:val="nil"/>
              <w:right w:val="nil"/>
            </w:tcBorders>
            <w:shd w:val="clear" w:color="000000" w:fill="C0C0C0"/>
            <w:noWrap/>
            <w:vAlign w:val="bottom"/>
            <w:hideMark/>
          </w:tcPr>
          <w:p w:rsidR="004C4821" w:rsidRPr="001A209B" w:rsidRDefault="004C4821" w:rsidP="004C4821">
            <w:pPr>
              <w:rPr>
                <w:rFonts w:cs="Arial"/>
                <w:b/>
                <w:bCs/>
                <w:color w:val="800000"/>
                <w:sz w:val="18"/>
                <w:szCs w:val="18"/>
              </w:rPr>
            </w:pPr>
            <w:r w:rsidRPr="001A209B">
              <w:rPr>
                <w:rFonts w:cs="Arial"/>
                <w:b/>
                <w:bCs/>
                <w:color w:val="800000"/>
                <w:sz w:val="18"/>
                <w:szCs w:val="18"/>
              </w:rPr>
              <w:t> </w:t>
            </w:r>
          </w:p>
        </w:tc>
        <w:tc>
          <w:tcPr>
            <w:tcW w:w="576" w:type="pct"/>
            <w:tcBorders>
              <w:top w:val="nil"/>
              <w:left w:val="nil"/>
              <w:bottom w:val="nil"/>
              <w:right w:val="nil"/>
            </w:tcBorders>
            <w:shd w:val="clear" w:color="000000" w:fill="FFFFFF"/>
            <w:noWrap/>
            <w:vAlign w:val="bottom"/>
            <w:hideMark/>
          </w:tcPr>
          <w:p w:rsidR="004C4821" w:rsidRPr="001A209B" w:rsidRDefault="004C4821" w:rsidP="004C4821">
            <w:pPr>
              <w:rPr>
                <w:rFonts w:cs="Arial"/>
                <w:b/>
                <w:bCs/>
                <w:color w:val="008000"/>
                <w:sz w:val="18"/>
                <w:szCs w:val="18"/>
              </w:rPr>
            </w:pPr>
            <w:r w:rsidRPr="001A209B">
              <w:rPr>
                <w:rFonts w:cs="Arial"/>
                <w:b/>
                <w:bCs/>
                <w:color w:val="008000"/>
                <w:sz w:val="18"/>
                <w:szCs w:val="18"/>
              </w:rPr>
              <w:t> </w:t>
            </w:r>
          </w:p>
        </w:tc>
        <w:tc>
          <w:tcPr>
            <w:tcW w:w="637" w:type="pct"/>
            <w:tcBorders>
              <w:top w:val="nil"/>
              <w:left w:val="nil"/>
              <w:bottom w:val="nil"/>
              <w:right w:val="nil"/>
            </w:tcBorders>
            <w:shd w:val="clear" w:color="000000" w:fill="FFFFFF"/>
            <w:noWrap/>
            <w:vAlign w:val="bottom"/>
            <w:hideMark/>
          </w:tcPr>
          <w:p w:rsidR="004C4821" w:rsidRPr="001A209B" w:rsidRDefault="004C4821" w:rsidP="004C4821">
            <w:pPr>
              <w:rPr>
                <w:rFonts w:cs="Arial"/>
                <w:b/>
                <w:bCs/>
                <w:color w:val="008000"/>
                <w:sz w:val="18"/>
                <w:szCs w:val="18"/>
              </w:rPr>
            </w:pPr>
            <w:r w:rsidRPr="001A209B">
              <w:rPr>
                <w:rFonts w:cs="Arial"/>
                <w:b/>
                <w:bCs/>
                <w:color w:val="008000"/>
                <w:sz w:val="18"/>
                <w:szCs w:val="18"/>
              </w:rPr>
              <w:t> </w:t>
            </w:r>
          </w:p>
        </w:tc>
        <w:tc>
          <w:tcPr>
            <w:tcW w:w="485" w:type="pct"/>
            <w:tcBorders>
              <w:top w:val="nil"/>
              <w:left w:val="nil"/>
              <w:bottom w:val="nil"/>
              <w:right w:val="nil"/>
            </w:tcBorders>
            <w:shd w:val="clear" w:color="000000" w:fill="FFFFFF"/>
            <w:noWrap/>
            <w:vAlign w:val="bottom"/>
            <w:hideMark/>
          </w:tcPr>
          <w:p w:rsidR="004C4821" w:rsidRPr="001A209B" w:rsidRDefault="004C4821" w:rsidP="004C4821">
            <w:pPr>
              <w:rPr>
                <w:rFonts w:cs="Arial"/>
                <w:b/>
                <w:bCs/>
                <w:color w:val="008000"/>
                <w:sz w:val="18"/>
                <w:szCs w:val="18"/>
              </w:rPr>
            </w:pPr>
            <w:r w:rsidRPr="001A209B">
              <w:rPr>
                <w:rFonts w:cs="Arial"/>
                <w:b/>
                <w:bCs/>
                <w:color w:val="008000"/>
                <w:sz w:val="18"/>
                <w:szCs w:val="18"/>
              </w:rPr>
              <w:t> </w:t>
            </w:r>
          </w:p>
        </w:tc>
        <w:tc>
          <w:tcPr>
            <w:tcW w:w="622" w:type="pct"/>
            <w:tcBorders>
              <w:top w:val="nil"/>
              <w:left w:val="nil"/>
              <w:bottom w:val="nil"/>
              <w:right w:val="nil"/>
            </w:tcBorders>
            <w:shd w:val="clear" w:color="000000" w:fill="FFFFFF"/>
            <w:noWrap/>
            <w:vAlign w:val="bottom"/>
            <w:hideMark/>
          </w:tcPr>
          <w:p w:rsidR="004C4821" w:rsidRPr="001A209B" w:rsidRDefault="004C4821" w:rsidP="004C4821">
            <w:pPr>
              <w:rPr>
                <w:rFonts w:cs="Arial"/>
                <w:b/>
                <w:bCs/>
                <w:color w:val="008000"/>
                <w:sz w:val="18"/>
                <w:szCs w:val="18"/>
              </w:rPr>
            </w:pPr>
            <w:r w:rsidRPr="001A209B">
              <w:rPr>
                <w:rFonts w:cs="Arial"/>
                <w:b/>
                <w:bCs/>
                <w:color w:val="008000"/>
                <w:sz w:val="18"/>
                <w:szCs w:val="18"/>
              </w:rPr>
              <w:t> </w:t>
            </w:r>
          </w:p>
        </w:tc>
      </w:tr>
      <w:tr w:rsidR="004C4821" w:rsidRPr="001A209B" w:rsidTr="004C4821">
        <w:trPr>
          <w:trHeight w:val="240"/>
        </w:trPr>
        <w:tc>
          <w:tcPr>
            <w:tcW w:w="135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Growth Markets</w:t>
            </w:r>
          </w:p>
        </w:tc>
        <w:tc>
          <w:tcPr>
            <w:tcW w:w="634"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1,686 </w:t>
            </w:r>
          </w:p>
        </w:tc>
        <w:tc>
          <w:tcPr>
            <w:tcW w:w="691"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1,662 </w:t>
            </w:r>
          </w:p>
        </w:tc>
        <w:tc>
          <w:tcPr>
            <w:tcW w:w="576"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1,889 </w:t>
            </w:r>
          </w:p>
        </w:tc>
        <w:tc>
          <w:tcPr>
            <w:tcW w:w="637"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1,867 </w:t>
            </w:r>
          </w:p>
        </w:tc>
        <w:tc>
          <w:tcPr>
            <w:tcW w:w="48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4,303 </w:t>
            </w:r>
          </w:p>
        </w:tc>
        <w:tc>
          <w:tcPr>
            <w:tcW w:w="622"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4,253 </w:t>
            </w:r>
          </w:p>
        </w:tc>
      </w:tr>
      <w:tr w:rsidR="004C4821" w:rsidRPr="001A209B" w:rsidTr="004C4821">
        <w:trPr>
          <w:trHeight w:val="240"/>
        </w:trPr>
        <w:tc>
          <w:tcPr>
            <w:tcW w:w="135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Returns Markets North</w:t>
            </w:r>
          </w:p>
        </w:tc>
        <w:tc>
          <w:tcPr>
            <w:tcW w:w="634"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6,202 </w:t>
            </w:r>
          </w:p>
        </w:tc>
        <w:tc>
          <w:tcPr>
            <w:tcW w:w="691"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6,202 </w:t>
            </w:r>
          </w:p>
        </w:tc>
        <w:tc>
          <w:tcPr>
            <w:tcW w:w="576"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6,531 </w:t>
            </w:r>
          </w:p>
        </w:tc>
        <w:tc>
          <w:tcPr>
            <w:tcW w:w="637"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6,530 </w:t>
            </w:r>
          </w:p>
        </w:tc>
        <w:tc>
          <w:tcPr>
            <w:tcW w:w="48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13,527 </w:t>
            </w:r>
          </w:p>
        </w:tc>
        <w:tc>
          <w:tcPr>
            <w:tcW w:w="622"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13,506 </w:t>
            </w:r>
          </w:p>
        </w:tc>
      </w:tr>
      <w:tr w:rsidR="004C4821" w:rsidRPr="001A209B" w:rsidTr="004C4821">
        <w:trPr>
          <w:trHeight w:val="240"/>
        </w:trPr>
        <w:tc>
          <w:tcPr>
            <w:tcW w:w="135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Returns Markets South</w:t>
            </w:r>
          </w:p>
        </w:tc>
        <w:tc>
          <w:tcPr>
            <w:tcW w:w="634" w:type="pct"/>
            <w:tcBorders>
              <w:top w:val="nil"/>
              <w:left w:val="nil"/>
              <w:bottom w:val="single" w:sz="4" w:space="0" w:color="800000"/>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1,429 </w:t>
            </w:r>
          </w:p>
        </w:tc>
        <w:tc>
          <w:tcPr>
            <w:tcW w:w="691" w:type="pct"/>
            <w:tcBorders>
              <w:top w:val="nil"/>
              <w:left w:val="nil"/>
              <w:bottom w:val="single" w:sz="4" w:space="0" w:color="800000"/>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1,031 </w:t>
            </w:r>
          </w:p>
        </w:tc>
        <w:tc>
          <w:tcPr>
            <w:tcW w:w="576"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1,466 </w:t>
            </w:r>
          </w:p>
        </w:tc>
        <w:tc>
          <w:tcPr>
            <w:tcW w:w="637"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1,051 </w:t>
            </w:r>
          </w:p>
        </w:tc>
        <w:tc>
          <w:tcPr>
            <w:tcW w:w="48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3,051 </w:t>
            </w:r>
          </w:p>
        </w:tc>
        <w:tc>
          <w:tcPr>
            <w:tcW w:w="622"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2,222 </w:t>
            </w:r>
          </w:p>
        </w:tc>
      </w:tr>
      <w:tr w:rsidR="004C4821" w:rsidRPr="001A209B" w:rsidTr="004C4821">
        <w:trPr>
          <w:trHeight w:val="240"/>
        </w:trPr>
        <w:tc>
          <w:tcPr>
            <w:tcW w:w="1355" w:type="pct"/>
            <w:tcBorders>
              <w:top w:val="single" w:sz="4" w:space="0" w:color="800000"/>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Total Tobacco</w:t>
            </w:r>
          </w:p>
        </w:tc>
        <w:tc>
          <w:tcPr>
            <w:tcW w:w="634"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9,317 </w:t>
            </w:r>
          </w:p>
        </w:tc>
        <w:tc>
          <w:tcPr>
            <w:tcW w:w="691"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8,895 </w:t>
            </w:r>
          </w:p>
        </w:tc>
        <w:tc>
          <w:tcPr>
            <w:tcW w:w="576"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9,886 </w:t>
            </w:r>
          </w:p>
        </w:tc>
        <w:tc>
          <w:tcPr>
            <w:tcW w:w="637"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9,448 </w:t>
            </w:r>
          </w:p>
        </w:tc>
        <w:tc>
          <w:tcPr>
            <w:tcW w:w="48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20,881 </w:t>
            </w:r>
          </w:p>
        </w:tc>
        <w:tc>
          <w:tcPr>
            <w:tcW w:w="622"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19,981 </w:t>
            </w:r>
          </w:p>
        </w:tc>
      </w:tr>
      <w:tr w:rsidR="004C4821" w:rsidRPr="001A209B" w:rsidTr="004C4821">
        <w:trPr>
          <w:trHeight w:val="240"/>
        </w:trPr>
        <w:tc>
          <w:tcPr>
            <w:tcW w:w="135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Logistics</w:t>
            </w:r>
          </w:p>
        </w:tc>
        <w:tc>
          <w:tcPr>
            <w:tcW w:w="634"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3,822 </w:t>
            </w:r>
          </w:p>
        </w:tc>
        <w:tc>
          <w:tcPr>
            <w:tcW w:w="691"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3,822 </w:t>
            </w:r>
          </w:p>
        </w:tc>
        <w:tc>
          <w:tcPr>
            <w:tcW w:w="576"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3,928 </w:t>
            </w:r>
          </w:p>
        </w:tc>
        <w:tc>
          <w:tcPr>
            <w:tcW w:w="637"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3,928 </w:t>
            </w:r>
          </w:p>
        </w:tc>
        <w:tc>
          <w:tcPr>
            <w:tcW w:w="48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8,288 </w:t>
            </w:r>
          </w:p>
        </w:tc>
        <w:tc>
          <w:tcPr>
            <w:tcW w:w="622"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8,288 </w:t>
            </w:r>
          </w:p>
        </w:tc>
      </w:tr>
      <w:tr w:rsidR="004C4821" w:rsidRPr="001A209B" w:rsidTr="004C4821">
        <w:trPr>
          <w:trHeight w:val="240"/>
        </w:trPr>
        <w:tc>
          <w:tcPr>
            <w:tcW w:w="135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Eliminations</w:t>
            </w:r>
          </w:p>
        </w:tc>
        <w:tc>
          <w:tcPr>
            <w:tcW w:w="634" w:type="pct"/>
            <w:tcBorders>
              <w:top w:val="nil"/>
              <w:left w:val="nil"/>
              <w:bottom w:val="single" w:sz="4" w:space="0" w:color="800000"/>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(422)</w:t>
            </w:r>
          </w:p>
        </w:tc>
        <w:tc>
          <w:tcPr>
            <w:tcW w:w="691" w:type="pct"/>
            <w:tcBorders>
              <w:top w:val="nil"/>
              <w:left w:val="nil"/>
              <w:bottom w:val="single" w:sz="4" w:space="0" w:color="800000"/>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 </w:t>
            </w:r>
          </w:p>
        </w:tc>
        <w:tc>
          <w:tcPr>
            <w:tcW w:w="576"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(438)</w:t>
            </w:r>
          </w:p>
        </w:tc>
        <w:tc>
          <w:tcPr>
            <w:tcW w:w="637"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 </w:t>
            </w:r>
          </w:p>
        </w:tc>
        <w:tc>
          <w:tcPr>
            <w:tcW w:w="48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(900)</w:t>
            </w:r>
          </w:p>
        </w:tc>
        <w:tc>
          <w:tcPr>
            <w:tcW w:w="622"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 </w:t>
            </w:r>
          </w:p>
        </w:tc>
      </w:tr>
      <w:tr w:rsidR="004C4821" w:rsidRPr="001A209B" w:rsidTr="004C4821">
        <w:trPr>
          <w:trHeight w:val="255"/>
        </w:trPr>
        <w:tc>
          <w:tcPr>
            <w:tcW w:w="1355" w:type="pct"/>
            <w:tcBorders>
              <w:top w:val="nil"/>
              <w:left w:val="nil"/>
              <w:bottom w:val="single" w:sz="8"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Total Group</w:t>
            </w:r>
          </w:p>
        </w:tc>
        <w:tc>
          <w:tcPr>
            <w:tcW w:w="634" w:type="pct"/>
            <w:tcBorders>
              <w:top w:val="nil"/>
              <w:left w:val="nil"/>
              <w:bottom w:val="single" w:sz="8" w:space="0" w:color="800000"/>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12,717 </w:t>
            </w:r>
          </w:p>
        </w:tc>
        <w:tc>
          <w:tcPr>
            <w:tcW w:w="691" w:type="pct"/>
            <w:tcBorders>
              <w:top w:val="nil"/>
              <w:left w:val="nil"/>
              <w:bottom w:val="single" w:sz="8" w:space="0" w:color="800000"/>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12,717 </w:t>
            </w:r>
          </w:p>
        </w:tc>
        <w:tc>
          <w:tcPr>
            <w:tcW w:w="576" w:type="pct"/>
            <w:tcBorders>
              <w:top w:val="nil"/>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13,376 </w:t>
            </w:r>
          </w:p>
        </w:tc>
        <w:tc>
          <w:tcPr>
            <w:tcW w:w="637" w:type="pct"/>
            <w:tcBorders>
              <w:top w:val="nil"/>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13,376 </w:t>
            </w:r>
          </w:p>
        </w:tc>
        <w:tc>
          <w:tcPr>
            <w:tcW w:w="485" w:type="pct"/>
            <w:tcBorders>
              <w:top w:val="nil"/>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28,269 </w:t>
            </w:r>
          </w:p>
        </w:tc>
        <w:tc>
          <w:tcPr>
            <w:tcW w:w="622" w:type="pct"/>
            <w:tcBorders>
              <w:top w:val="nil"/>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28,269 </w:t>
            </w:r>
          </w:p>
        </w:tc>
      </w:tr>
    </w:tbl>
    <w:p w:rsidR="00970285" w:rsidRPr="001A209B" w:rsidRDefault="00970285" w:rsidP="004C4821">
      <w:pPr>
        <w:jc w:val="both"/>
        <w:rPr>
          <w:rFonts w:cs="Arial"/>
          <w:b/>
          <w:color w:val="A60D1F"/>
          <w:sz w:val="18"/>
          <w:szCs w:val="18"/>
        </w:rPr>
      </w:pPr>
    </w:p>
    <w:p w:rsidR="004C4821" w:rsidRPr="001A209B" w:rsidRDefault="004C4821" w:rsidP="004C4821">
      <w:pPr>
        <w:jc w:val="both"/>
        <w:rPr>
          <w:rFonts w:cs="Arial"/>
          <w:b/>
          <w:color w:val="A60D1F"/>
          <w:sz w:val="18"/>
          <w:szCs w:val="18"/>
        </w:rPr>
      </w:pPr>
      <w:r w:rsidRPr="001A209B">
        <w:rPr>
          <w:rFonts w:cs="Arial"/>
          <w:b/>
          <w:color w:val="A60D1F"/>
          <w:sz w:val="18"/>
          <w:szCs w:val="18"/>
        </w:rPr>
        <w:t>Tobacco Net Revenue</w:t>
      </w:r>
    </w:p>
    <w:tbl>
      <w:tblPr>
        <w:tblW w:w="5000" w:type="pct"/>
        <w:tblLook w:val="04A0" w:firstRow="1" w:lastRow="0" w:firstColumn="1" w:lastColumn="0" w:noHBand="0" w:noVBand="1"/>
      </w:tblPr>
      <w:tblGrid>
        <w:gridCol w:w="5755"/>
        <w:gridCol w:w="1232"/>
        <w:gridCol w:w="1047"/>
        <w:gridCol w:w="1232"/>
      </w:tblGrid>
      <w:tr w:rsidR="004C4821" w:rsidRPr="001A209B" w:rsidTr="004C4821">
        <w:trPr>
          <w:trHeight w:val="960"/>
        </w:trPr>
        <w:tc>
          <w:tcPr>
            <w:tcW w:w="310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 million</w:t>
            </w:r>
          </w:p>
        </w:tc>
        <w:tc>
          <w:tcPr>
            <w:tcW w:w="665" w:type="pct"/>
            <w:tcBorders>
              <w:top w:val="nil"/>
              <w:left w:val="nil"/>
              <w:bottom w:val="single" w:sz="4" w:space="0" w:color="800000"/>
              <w:right w:val="nil"/>
            </w:tcBorders>
            <w:shd w:val="clear" w:color="000000" w:fill="FFFFFF"/>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6 months </w:t>
            </w:r>
            <w:r w:rsidRPr="001A209B">
              <w:rPr>
                <w:rFonts w:cs="Arial"/>
                <w:b/>
                <w:bCs/>
                <w:color w:val="800000"/>
                <w:sz w:val="18"/>
                <w:szCs w:val="18"/>
              </w:rPr>
              <w:br/>
              <w:t xml:space="preserve">ended </w:t>
            </w:r>
            <w:r w:rsidRPr="001A209B">
              <w:rPr>
                <w:rFonts w:cs="Arial"/>
                <w:b/>
                <w:bCs/>
                <w:color w:val="800000"/>
                <w:sz w:val="18"/>
                <w:szCs w:val="18"/>
              </w:rPr>
              <w:br/>
              <w:t xml:space="preserve">31 March </w:t>
            </w:r>
            <w:r w:rsidRPr="001A209B">
              <w:rPr>
                <w:rFonts w:cs="Arial"/>
                <w:b/>
                <w:bCs/>
                <w:color w:val="800000"/>
                <w:sz w:val="18"/>
                <w:szCs w:val="18"/>
              </w:rPr>
              <w:br/>
              <w:t xml:space="preserve">2014 </w:t>
            </w:r>
          </w:p>
        </w:tc>
        <w:tc>
          <w:tcPr>
            <w:tcW w:w="565" w:type="pct"/>
            <w:tcBorders>
              <w:top w:val="nil"/>
              <w:left w:val="nil"/>
              <w:bottom w:val="single" w:sz="4" w:space="0" w:color="800000"/>
              <w:right w:val="nil"/>
            </w:tcBorders>
            <w:shd w:val="clear" w:color="000000" w:fill="FFFFFF"/>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 xml:space="preserve">6 months </w:t>
            </w:r>
            <w:r w:rsidRPr="001A209B">
              <w:rPr>
                <w:rFonts w:cs="Arial"/>
                <w:color w:val="000000"/>
                <w:sz w:val="18"/>
                <w:szCs w:val="18"/>
              </w:rPr>
              <w:br/>
              <w:t xml:space="preserve">ended </w:t>
            </w:r>
            <w:r w:rsidRPr="001A209B">
              <w:rPr>
                <w:rFonts w:cs="Arial"/>
                <w:color w:val="000000"/>
                <w:sz w:val="18"/>
                <w:szCs w:val="18"/>
              </w:rPr>
              <w:br/>
              <w:t xml:space="preserve">31 March </w:t>
            </w:r>
            <w:r w:rsidRPr="001A209B">
              <w:rPr>
                <w:rFonts w:cs="Arial"/>
                <w:color w:val="000000"/>
                <w:sz w:val="18"/>
                <w:szCs w:val="18"/>
              </w:rPr>
              <w:br/>
              <w:t xml:space="preserve">2013 </w:t>
            </w:r>
          </w:p>
        </w:tc>
        <w:tc>
          <w:tcPr>
            <w:tcW w:w="665" w:type="pct"/>
            <w:tcBorders>
              <w:top w:val="nil"/>
              <w:left w:val="nil"/>
              <w:bottom w:val="single" w:sz="4" w:space="0" w:color="800000"/>
              <w:right w:val="nil"/>
            </w:tcBorders>
            <w:shd w:val="clear" w:color="000000" w:fill="FFFFFF"/>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Year ended</w:t>
            </w:r>
            <w:r w:rsidRPr="001A209B">
              <w:rPr>
                <w:rFonts w:cs="Arial"/>
                <w:color w:val="000000"/>
                <w:sz w:val="18"/>
                <w:szCs w:val="18"/>
              </w:rPr>
              <w:br/>
              <w:t>30 September</w:t>
            </w:r>
            <w:r w:rsidRPr="001A209B">
              <w:rPr>
                <w:rFonts w:cs="Arial"/>
                <w:color w:val="000000"/>
                <w:sz w:val="18"/>
                <w:szCs w:val="18"/>
              </w:rPr>
              <w:br/>
              <w:t xml:space="preserve">2013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Growth Markets</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914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988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2,254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Returns Markets North</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1,368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1,406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2,929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Returns Markets South</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852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890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1,824 </w:t>
            </w:r>
          </w:p>
        </w:tc>
      </w:tr>
      <w:tr w:rsidR="004C4821" w:rsidRPr="001A209B" w:rsidTr="004C4821">
        <w:trPr>
          <w:trHeight w:val="255"/>
        </w:trPr>
        <w:tc>
          <w:tcPr>
            <w:tcW w:w="3105" w:type="pct"/>
            <w:tcBorders>
              <w:top w:val="single" w:sz="4" w:space="0" w:color="800000"/>
              <w:left w:val="nil"/>
              <w:bottom w:val="single" w:sz="8"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Total Tobacco</w:t>
            </w:r>
          </w:p>
        </w:tc>
        <w:tc>
          <w:tcPr>
            <w:tcW w:w="665" w:type="pct"/>
            <w:tcBorders>
              <w:top w:val="single" w:sz="4" w:space="0" w:color="800000"/>
              <w:left w:val="nil"/>
              <w:bottom w:val="single" w:sz="8" w:space="0" w:color="800000"/>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3,134 </w:t>
            </w:r>
          </w:p>
        </w:tc>
        <w:tc>
          <w:tcPr>
            <w:tcW w:w="565" w:type="pct"/>
            <w:tcBorders>
              <w:top w:val="single" w:sz="4" w:space="0" w:color="800000"/>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3,284 </w:t>
            </w:r>
          </w:p>
        </w:tc>
        <w:tc>
          <w:tcPr>
            <w:tcW w:w="665" w:type="pct"/>
            <w:tcBorders>
              <w:top w:val="single" w:sz="4" w:space="0" w:color="800000"/>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7,007 </w:t>
            </w:r>
          </w:p>
        </w:tc>
      </w:tr>
    </w:tbl>
    <w:p w:rsidR="004C4821" w:rsidRPr="001A209B" w:rsidRDefault="004C4821">
      <w:pPr>
        <w:rPr>
          <w:rFonts w:cs="Arial"/>
          <w:b/>
          <w:sz w:val="18"/>
          <w:szCs w:val="18"/>
        </w:rPr>
      </w:pPr>
    </w:p>
    <w:p w:rsidR="004C4821" w:rsidRPr="001A209B" w:rsidRDefault="004C4821" w:rsidP="004C4821">
      <w:pPr>
        <w:jc w:val="both"/>
        <w:rPr>
          <w:rFonts w:cs="Arial"/>
          <w:sz w:val="18"/>
          <w:szCs w:val="18"/>
        </w:rPr>
      </w:pPr>
      <w:r w:rsidRPr="001A209B">
        <w:rPr>
          <w:rFonts w:cs="Arial"/>
          <w:sz w:val="18"/>
          <w:szCs w:val="18"/>
        </w:rPr>
        <w:t>Tobacco net revenue excludes revenue from the sale of peripheral and non-tobacco related products of £89 million (2013 6 months: £97 million).</w:t>
      </w:r>
    </w:p>
    <w:p w:rsidR="004C4821" w:rsidRPr="001A209B" w:rsidRDefault="004C4821" w:rsidP="004C4821">
      <w:pPr>
        <w:rPr>
          <w:rFonts w:cs="Arial"/>
          <w:sz w:val="18"/>
          <w:szCs w:val="18"/>
        </w:rPr>
      </w:pPr>
    </w:p>
    <w:p w:rsidR="004C4821" w:rsidRPr="001A209B" w:rsidRDefault="004C4821" w:rsidP="004C4821">
      <w:pPr>
        <w:rPr>
          <w:rFonts w:cs="Arial"/>
          <w:b/>
          <w:sz w:val="18"/>
          <w:szCs w:val="18"/>
        </w:rPr>
      </w:pPr>
      <w:r w:rsidRPr="001A209B">
        <w:rPr>
          <w:rFonts w:cs="Arial"/>
          <w:b/>
          <w:color w:val="A60D1F"/>
          <w:sz w:val="18"/>
          <w:szCs w:val="18"/>
        </w:rPr>
        <w:t>Adjusted operating profit and reconciliation to profit before tax</w:t>
      </w:r>
      <w:r w:rsidRPr="001A209B">
        <w:rPr>
          <w:rFonts w:cs="Arial"/>
          <w:b/>
          <w:sz w:val="18"/>
          <w:szCs w:val="18"/>
        </w:rPr>
        <w:t xml:space="preserve"> </w:t>
      </w:r>
    </w:p>
    <w:tbl>
      <w:tblPr>
        <w:tblW w:w="5000" w:type="pct"/>
        <w:tblLook w:val="04A0" w:firstRow="1" w:lastRow="0" w:firstColumn="1" w:lastColumn="0" w:noHBand="0" w:noVBand="1"/>
      </w:tblPr>
      <w:tblGrid>
        <w:gridCol w:w="5755"/>
        <w:gridCol w:w="1232"/>
        <w:gridCol w:w="1047"/>
        <w:gridCol w:w="1232"/>
      </w:tblGrid>
      <w:tr w:rsidR="004C4821" w:rsidRPr="001A209B" w:rsidTr="004C4821">
        <w:trPr>
          <w:trHeight w:val="960"/>
        </w:trPr>
        <w:tc>
          <w:tcPr>
            <w:tcW w:w="310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 million</w:t>
            </w:r>
          </w:p>
        </w:tc>
        <w:tc>
          <w:tcPr>
            <w:tcW w:w="665" w:type="pct"/>
            <w:tcBorders>
              <w:top w:val="nil"/>
              <w:left w:val="nil"/>
              <w:bottom w:val="single" w:sz="4" w:space="0" w:color="800000"/>
              <w:right w:val="nil"/>
            </w:tcBorders>
            <w:shd w:val="clear" w:color="000000" w:fill="FFFFFF"/>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6 months </w:t>
            </w:r>
            <w:r w:rsidRPr="001A209B">
              <w:rPr>
                <w:rFonts w:cs="Arial"/>
                <w:b/>
                <w:bCs/>
                <w:color w:val="800000"/>
                <w:sz w:val="18"/>
                <w:szCs w:val="18"/>
              </w:rPr>
              <w:br/>
              <w:t xml:space="preserve">ended </w:t>
            </w:r>
            <w:r w:rsidRPr="001A209B">
              <w:rPr>
                <w:rFonts w:cs="Arial"/>
                <w:b/>
                <w:bCs/>
                <w:color w:val="800000"/>
                <w:sz w:val="18"/>
                <w:szCs w:val="18"/>
              </w:rPr>
              <w:br/>
              <w:t xml:space="preserve">31 March </w:t>
            </w:r>
            <w:r w:rsidRPr="001A209B">
              <w:rPr>
                <w:rFonts w:cs="Arial"/>
                <w:b/>
                <w:bCs/>
                <w:color w:val="800000"/>
                <w:sz w:val="18"/>
                <w:szCs w:val="18"/>
              </w:rPr>
              <w:br/>
              <w:t xml:space="preserve">2014 </w:t>
            </w:r>
          </w:p>
        </w:tc>
        <w:tc>
          <w:tcPr>
            <w:tcW w:w="565" w:type="pct"/>
            <w:tcBorders>
              <w:top w:val="nil"/>
              <w:left w:val="nil"/>
              <w:bottom w:val="single" w:sz="4" w:space="0" w:color="800000"/>
              <w:right w:val="nil"/>
            </w:tcBorders>
            <w:shd w:val="clear" w:color="000000" w:fill="FFFFFF"/>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 xml:space="preserve">6 months </w:t>
            </w:r>
            <w:r w:rsidRPr="001A209B">
              <w:rPr>
                <w:rFonts w:cs="Arial"/>
                <w:color w:val="000000"/>
                <w:sz w:val="18"/>
                <w:szCs w:val="18"/>
              </w:rPr>
              <w:br/>
              <w:t xml:space="preserve">ended </w:t>
            </w:r>
            <w:r w:rsidRPr="001A209B">
              <w:rPr>
                <w:rFonts w:cs="Arial"/>
                <w:color w:val="000000"/>
                <w:sz w:val="18"/>
                <w:szCs w:val="18"/>
              </w:rPr>
              <w:br/>
              <w:t xml:space="preserve">31 March </w:t>
            </w:r>
            <w:r w:rsidRPr="001A209B">
              <w:rPr>
                <w:rFonts w:cs="Arial"/>
                <w:color w:val="000000"/>
                <w:sz w:val="18"/>
                <w:szCs w:val="18"/>
              </w:rPr>
              <w:br/>
              <w:t xml:space="preserve">2013 </w:t>
            </w:r>
          </w:p>
        </w:tc>
        <w:tc>
          <w:tcPr>
            <w:tcW w:w="665" w:type="pct"/>
            <w:tcBorders>
              <w:top w:val="nil"/>
              <w:left w:val="nil"/>
              <w:bottom w:val="single" w:sz="4" w:space="0" w:color="800000"/>
              <w:right w:val="nil"/>
            </w:tcBorders>
            <w:shd w:val="clear" w:color="000000" w:fill="FFFFFF"/>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Year ended</w:t>
            </w:r>
            <w:r w:rsidRPr="001A209B">
              <w:rPr>
                <w:rFonts w:cs="Arial"/>
                <w:color w:val="000000"/>
                <w:sz w:val="18"/>
                <w:szCs w:val="18"/>
              </w:rPr>
              <w:br/>
              <w:t>30 September</w:t>
            </w:r>
            <w:r w:rsidRPr="001A209B">
              <w:rPr>
                <w:rFonts w:cs="Arial"/>
                <w:color w:val="000000"/>
                <w:sz w:val="18"/>
                <w:szCs w:val="18"/>
              </w:rPr>
              <w:br/>
              <w:t xml:space="preserve">2013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Tobacco</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rPr>
                <w:rFonts w:cs="Arial"/>
                <w:b/>
                <w:bCs/>
                <w:color w:val="800000"/>
                <w:sz w:val="18"/>
                <w:szCs w:val="18"/>
              </w:rPr>
            </w:pPr>
            <w:r w:rsidRPr="001A209B">
              <w:rPr>
                <w:rFonts w:cs="Arial"/>
                <w:b/>
                <w:bCs/>
                <w:color w:val="800000"/>
                <w:sz w:val="18"/>
                <w:szCs w:val="18"/>
              </w:rPr>
              <w:t>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rPr>
                <w:rFonts w:cs="Arial"/>
                <w:color w:val="000000"/>
                <w:sz w:val="18"/>
                <w:szCs w:val="18"/>
              </w:rPr>
            </w:pPr>
            <w:r w:rsidRPr="001A209B">
              <w:rPr>
                <w:rFonts w:cs="Arial"/>
                <w:color w:val="000000"/>
                <w:sz w:val="18"/>
                <w:szCs w:val="18"/>
              </w:rPr>
              <w:t>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rPr>
                <w:rFonts w:cs="Arial"/>
                <w:color w:val="000000"/>
                <w:sz w:val="18"/>
                <w:szCs w:val="18"/>
              </w:rPr>
            </w:pPr>
            <w:r w:rsidRPr="001A209B">
              <w:rPr>
                <w:rFonts w:cs="Arial"/>
                <w:color w:val="000000"/>
                <w:sz w:val="18"/>
                <w:szCs w:val="18"/>
              </w:rPr>
              <w:t>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Growth Markets</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207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247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668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Returns Markets North</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728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731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1,543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Returns Markets South</w:t>
            </w:r>
          </w:p>
        </w:tc>
        <w:tc>
          <w:tcPr>
            <w:tcW w:w="665" w:type="pct"/>
            <w:tcBorders>
              <w:top w:val="nil"/>
              <w:left w:val="nil"/>
              <w:bottom w:val="single" w:sz="4" w:space="0" w:color="800000"/>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361 </w:t>
            </w:r>
          </w:p>
        </w:tc>
        <w:tc>
          <w:tcPr>
            <w:tcW w:w="56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381 </w:t>
            </w:r>
          </w:p>
        </w:tc>
        <w:tc>
          <w:tcPr>
            <w:tcW w:w="66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792 </w:t>
            </w:r>
          </w:p>
        </w:tc>
      </w:tr>
      <w:tr w:rsidR="004C4821" w:rsidRPr="001A209B" w:rsidTr="004C4821">
        <w:trPr>
          <w:trHeight w:val="240"/>
        </w:trPr>
        <w:tc>
          <w:tcPr>
            <w:tcW w:w="3105" w:type="pct"/>
            <w:tcBorders>
              <w:top w:val="single" w:sz="4" w:space="0" w:color="800000"/>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Total Tobacco</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1,296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1,359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3,003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Logistics</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73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74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176 </w:t>
            </w:r>
          </w:p>
        </w:tc>
      </w:tr>
      <w:tr w:rsidR="004C4821" w:rsidRPr="001A209B" w:rsidTr="004C4821">
        <w:trPr>
          <w:trHeight w:val="240"/>
        </w:trPr>
        <w:tc>
          <w:tcPr>
            <w:tcW w:w="310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Eliminations</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(2)</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(8)</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Adjusted operating profit</w:t>
            </w:r>
          </w:p>
        </w:tc>
        <w:tc>
          <w:tcPr>
            <w:tcW w:w="665" w:type="pct"/>
            <w:tcBorders>
              <w:top w:val="single" w:sz="4" w:space="0" w:color="800000"/>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1,367 </w:t>
            </w:r>
          </w:p>
        </w:tc>
        <w:tc>
          <w:tcPr>
            <w:tcW w:w="565" w:type="pct"/>
            <w:tcBorders>
              <w:top w:val="single" w:sz="4" w:space="0" w:color="800000"/>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1,425 </w:t>
            </w:r>
          </w:p>
        </w:tc>
        <w:tc>
          <w:tcPr>
            <w:tcW w:w="665" w:type="pct"/>
            <w:tcBorders>
              <w:top w:val="single" w:sz="4" w:space="0" w:color="800000"/>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3,180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Amortisation of acquired intangibles - Tobacco</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(285)</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(143)</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(288)</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Amortisation of acquired intangibles - Logistics</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(41)</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(41)</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(84)</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Impairment of acquired intangibles - Tobacco</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(580)</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 xml:space="preserve">Restructuring costs - Tobacco </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(42)</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(31)</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(247)</w:t>
            </w:r>
          </w:p>
        </w:tc>
      </w:tr>
      <w:tr w:rsidR="004C4821" w:rsidRPr="001A209B" w:rsidTr="004C4821">
        <w:trPr>
          <w:trHeight w:val="240"/>
        </w:trPr>
        <w:tc>
          <w:tcPr>
            <w:tcW w:w="310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Restructuring costs - Logistics</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 </w:t>
            </w:r>
          </w:p>
        </w:tc>
        <w:tc>
          <w:tcPr>
            <w:tcW w:w="56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(9)</w:t>
            </w:r>
          </w:p>
        </w:tc>
        <w:tc>
          <w:tcPr>
            <w:tcW w:w="66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(23)</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Operating profit</w:t>
            </w:r>
          </w:p>
        </w:tc>
        <w:tc>
          <w:tcPr>
            <w:tcW w:w="665" w:type="pct"/>
            <w:tcBorders>
              <w:top w:val="single" w:sz="4" w:space="0" w:color="800000"/>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999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1,201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1,958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Net finance costs</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(351)</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(371)</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(739)</w:t>
            </w:r>
          </w:p>
        </w:tc>
      </w:tr>
      <w:tr w:rsidR="004C4821" w:rsidRPr="001A209B" w:rsidTr="004C4821">
        <w:trPr>
          <w:trHeight w:val="255"/>
        </w:trPr>
        <w:tc>
          <w:tcPr>
            <w:tcW w:w="3105" w:type="pct"/>
            <w:tcBorders>
              <w:top w:val="single" w:sz="4" w:space="0" w:color="800000"/>
              <w:left w:val="nil"/>
              <w:bottom w:val="single" w:sz="8"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Profit before tax</w:t>
            </w:r>
          </w:p>
        </w:tc>
        <w:tc>
          <w:tcPr>
            <w:tcW w:w="665" w:type="pct"/>
            <w:tcBorders>
              <w:top w:val="single" w:sz="4" w:space="0" w:color="800000"/>
              <w:left w:val="nil"/>
              <w:bottom w:val="single" w:sz="8" w:space="0" w:color="800000"/>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648 </w:t>
            </w:r>
          </w:p>
        </w:tc>
        <w:tc>
          <w:tcPr>
            <w:tcW w:w="565" w:type="pct"/>
            <w:tcBorders>
              <w:top w:val="single" w:sz="4" w:space="0" w:color="800000"/>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830 </w:t>
            </w:r>
          </w:p>
        </w:tc>
        <w:tc>
          <w:tcPr>
            <w:tcW w:w="665" w:type="pct"/>
            <w:tcBorders>
              <w:top w:val="single" w:sz="4" w:space="0" w:color="800000"/>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1,219 </w:t>
            </w:r>
          </w:p>
        </w:tc>
      </w:tr>
    </w:tbl>
    <w:p w:rsidR="004C4821" w:rsidRPr="001A209B" w:rsidRDefault="004C4821" w:rsidP="00961E29">
      <w:pPr>
        <w:jc w:val="both"/>
        <w:rPr>
          <w:rFonts w:cs="Arial"/>
          <w:b/>
          <w:sz w:val="18"/>
          <w:szCs w:val="18"/>
        </w:rPr>
      </w:pPr>
    </w:p>
    <w:p w:rsidR="004C4821" w:rsidRPr="001A209B" w:rsidRDefault="004C4821" w:rsidP="00961E29">
      <w:pPr>
        <w:jc w:val="both"/>
        <w:rPr>
          <w:rFonts w:cs="Arial"/>
          <w:b/>
          <w:sz w:val="18"/>
          <w:szCs w:val="18"/>
        </w:rPr>
      </w:pPr>
    </w:p>
    <w:p w:rsidR="004C4821" w:rsidRPr="001A209B" w:rsidRDefault="004C4821" w:rsidP="004C4821">
      <w:pPr>
        <w:jc w:val="both"/>
        <w:rPr>
          <w:rFonts w:cs="Arial"/>
          <w:b/>
          <w:color w:val="A60D1F"/>
          <w:sz w:val="18"/>
          <w:szCs w:val="18"/>
        </w:rPr>
      </w:pPr>
      <w:r w:rsidRPr="001A209B">
        <w:rPr>
          <w:rFonts w:cs="Arial"/>
          <w:b/>
          <w:color w:val="A60D1F"/>
          <w:sz w:val="18"/>
          <w:szCs w:val="18"/>
        </w:rPr>
        <w:t>4  Restructuring Costs and Provisions</w:t>
      </w:r>
    </w:p>
    <w:p w:rsidR="004C4821" w:rsidRPr="001A209B" w:rsidRDefault="004C4821" w:rsidP="004C4821">
      <w:pPr>
        <w:jc w:val="both"/>
        <w:rPr>
          <w:rFonts w:cs="Arial"/>
          <w:b/>
          <w:color w:val="A60D1F"/>
          <w:sz w:val="18"/>
          <w:szCs w:val="18"/>
        </w:rPr>
      </w:pPr>
      <w:r w:rsidRPr="001A209B">
        <w:rPr>
          <w:rFonts w:cs="Arial"/>
          <w:b/>
          <w:color w:val="A60D1F"/>
          <w:sz w:val="18"/>
          <w:szCs w:val="18"/>
        </w:rPr>
        <w:t>Restructuring costs</w:t>
      </w:r>
    </w:p>
    <w:tbl>
      <w:tblPr>
        <w:tblW w:w="5000" w:type="pct"/>
        <w:tblLook w:val="04A0" w:firstRow="1" w:lastRow="0" w:firstColumn="1" w:lastColumn="0" w:noHBand="0" w:noVBand="1"/>
      </w:tblPr>
      <w:tblGrid>
        <w:gridCol w:w="5755"/>
        <w:gridCol w:w="1232"/>
        <w:gridCol w:w="1047"/>
        <w:gridCol w:w="1232"/>
      </w:tblGrid>
      <w:tr w:rsidR="004C4821" w:rsidRPr="001A209B" w:rsidTr="004C4821">
        <w:trPr>
          <w:trHeight w:val="960"/>
        </w:trPr>
        <w:tc>
          <w:tcPr>
            <w:tcW w:w="310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 million</w:t>
            </w:r>
          </w:p>
        </w:tc>
        <w:tc>
          <w:tcPr>
            <w:tcW w:w="665" w:type="pct"/>
            <w:tcBorders>
              <w:top w:val="nil"/>
              <w:left w:val="nil"/>
              <w:bottom w:val="single" w:sz="4" w:space="0" w:color="800000"/>
              <w:right w:val="nil"/>
            </w:tcBorders>
            <w:shd w:val="clear" w:color="000000" w:fill="FFFFFF"/>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6 months </w:t>
            </w:r>
            <w:r w:rsidRPr="001A209B">
              <w:rPr>
                <w:rFonts w:cs="Arial"/>
                <w:b/>
                <w:bCs/>
                <w:color w:val="800000"/>
                <w:sz w:val="18"/>
                <w:szCs w:val="18"/>
              </w:rPr>
              <w:br/>
              <w:t xml:space="preserve">ended </w:t>
            </w:r>
            <w:r w:rsidRPr="001A209B">
              <w:rPr>
                <w:rFonts w:cs="Arial"/>
                <w:b/>
                <w:bCs/>
                <w:color w:val="800000"/>
                <w:sz w:val="18"/>
                <w:szCs w:val="18"/>
              </w:rPr>
              <w:br/>
              <w:t xml:space="preserve">31 March </w:t>
            </w:r>
            <w:r w:rsidRPr="001A209B">
              <w:rPr>
                <w:rFonts w:cs="Arial"/>
                <w:b/>
                <w:bCs/>
                <w:color w:val="800000"/>
                <w:sz w:val="18"/>
                <w:szCs w:val="18"/>
              </w:rPr>
              <w:br/>
              <w:t xml:space="preserve">2014 </w:t>
            </w:r>
          </w:p>
        </w:tc>
        <w:tc>
          <w:tcPr>
            <w:tcW w:w="565" w:type="pct"/>
            <w:tcBorders>
              <w:top w:val="nil"/>
              <w:left w:val="nil"/>
              <w:bottom w:val="single" w:sz="4" w:space="0" w:color="800000"/>
              <w:right w:val="nil"/>
            </w:tcBorders>
            <w:shd w:val="clear" w:color="000000" w:fill="FFFFFF"/>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 xml:space="preserve">6 months </w:t>
            </w:r>
            <w:r w:rsidRPr="001A209B">
              <w:rPr>
                <w:rFonts w:cs="Arial"/>
                <w:color w:val="000000"/>
                <w:sz w:val="18"/>
                <w:szCs w:val="18"/>
              </w:rPr>
              <w:br/>
              <w:t xml:space="preserve">ended </w:t>
            </w:r>
            <w:r w:rsidRPr="001A209B">
              <w:rPr>
                <w:rFonts w:cs="Arial"/>
                <w:color w:val="000000"/>
                <w:sz w:val="18"/>
                <w:szCs w:val="18"/>
              </w:rPr>
              <w:br/>
              <w:t xml:space="preserve">31 March </w:t>
            </w:r>
            <w:r w:rsidRPr="001A209B">
              <w:rPr>
                <w:rFonts w:cs="Arial"/>
                <w:color w:val="000000"/>
                <w:sz w:val="18"/>
                <w:szCs w:val="18"/>
              </w:rPr>
              <w:br/>
              <w:t xml:space="preserve">2013 </w:t>
            </w:r>
          </w:p>
        </w:tc>
        <w:tc>
          <w:tcPr>
            <w:tcW w:w="665" w:type="pct"/>
            <w:tcBorders>
              <w:top w:val="nil"/>
              <w:left w:val="nil"/>
              <w:bottom w:val="single" w:sz="4" w:space="0" w:color="800000"/>
              <w:right w:val="nil"/>
            </w:tcBorders>
            <w:shd w:val="clear" w:color="000000" w:fill="FFFFFF"/>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Year ended</w:t>
            </w:r>
            <w:r w:rsidRPr="001A209B">
              <w:rPr>
                <w:rFonts w:cs="Arial"/>
                <w:color w:val="000000"/>
                <w:sz w:val="18"/>
                <w:szCs w:val="18"/>
              </w:rPr>
              <w:br/>
              <w:t>30 September</w:t>
            </w:r>
            <w:r w:rsidRPr="001A209B">
              <w:rPr>
                <w:rFonts w:cs="Arial"/>
                <w:color w:val="000000"/>
                <w:sz w:val="18"/>
                <w:szCs w:val="18"/>
              </w:rPr>
              <w:br/>
              <w:t xml:space="preserve">2013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 xml:space="preserve">Employment related </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16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25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107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Asset impairments</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83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Other charges</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26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15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80 </w:t>
            </w:r>
          </w:p>
        </w:tc>
      </w:tr>
      <w:tr w:rsidR="004C4821" w:rsidRPr="001A209B" w:rsidTr="004C4821">
        <w:trPr>
          <w:trHeight w:val="255"/>
        </w:trPr>
        <w:tc>
          <w:tcPr>
            <w:tcW w:w="3105" w:type="pct"/>
            <w:tcBorders>
              <w:top w:val="single" w:sz="4" w:space="0" w:color="800000"/>
              <w:left w:val="nil"/>
              <w:bottom w:val="single" w:sz="8" w:space="0" w:color="800000"/>
              <w:right w:val="nil"/>
            </w:tcBorders>
            <w:shd w:val="clear" w:color="000000" w:fill="FFFFFF"/>
            <w:noWrap/>
            <w:vAlign w:val="bottom"/>
            <w:hideMark/>
          </w:tcPr>
          <w:p w:rsidR="004C4821" w:rsidRPr="001A209B" w:rsidRDefault="004C4821" w:rsidP="004C4821">
            <w:pPr>
              <w:rPr>
                <w:rFonts w:cs="Arial"/>
                <w:b/>
                <w:bCs/>
                <w:sz w:val="18"/>
                <w:szCs w:val="18"/>
              </w:rPr>
            </w:pPr>
            <w:r w:rsidRPr="001A209B">
              <w:rPr>
                <w:rFonts w:cs="Arial"/>
                <w:b/>
                <w:bCs/>
                <w:sz w:val="18"/>
                <w:szCs w:val="18"/>
              </w:rPr>
              <w:t> </w:t>
            </w:r>
          </w:p>
        </w:tc>
        <w:tc>
          <w:tcPr>
            <w:tcW w:w="665" w:type="pct"/>
            <w:tcBorders>
              <w:top w:val="single" w:sz="4" w:space="0" w:color="800000"/>
              <w:left w:val="nil"/>
              <w:bottom w:val="single" w:sz="8" w:space="0" w:color="800000"/>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42 </w:t>
            </w:r>
          </w:p>
        </w:tc>
        <w:tc>
          <w:tcPr>
            <w:tcW w:w="565" w:type="pct"/>
            <w:tcBorders>
              <w:top w:val="single" w:sz="4" w:space="0" w:color="800000"/>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40 </w:t>
            </w:r>
          </w:p>
        </w:tc>
        <w:tc>
          <w:tcPr>
            <w:tcW w:w="665" w:type="pct"/>
            <w:tcBorders>
              <w:top w:val="single" w:sz="4" w:space="0" w:color="800000"/>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270 </w:t>
            </w:r>
          </w:p>
        </w:tc>
      </w:tr>
    </w:tbl>
    <w:p w:rsidR="004C4821" w:rsidRPr="001A209B" w:rsidRDefault="004C4821">
      <w:pPr>
        <w:rPr>
          <w:rFonts w:cs="Arial"/>
          <w:b/>
          <w:color w:val="A60D1F"/>
          <w:sz w:val="18"/>
          <w:szCs w:val="18"/>
        </w:rPr>
      </w:pPr>
    </w:p>
    <w:p w:rsidR="004C4821" w:rsidRPr="001A209B" w:rsidRDefault="004C4821" w:rsidP="004C4821">
      <w:pPr>
        <w:jc w:val="both"/>
        <w:rPr>
          <w:rFonts w:cs="Arial"/>
          <w:color w:val="A60D1F"/>
          <w:sz w:val="18"/>
          <w:szCs w:val="18"/>
        </w:rPr>
      </w:pPr>
      <w:r w:rsidRPr="001A209B">
        <w:rPr>
          <w:rFonts w:cs="Arial"/>
          <w:sz w:val="18"/>
          <w:szCs w:val="18"/>
        </w:rPr>
        <w:t>The restructuring charge in the six months ended 31 March 2014 was £42 million, of which £30 million was in respect of the cost optimisation programme and £12 million related to legacy projects.  The charge comprised £10 million of additional provisions and £32 million charged directly to the consolidated income statement as incurred.</w:t>
      </w:r>
      <w:r w:rsidRPr="001A209B">
        <w:rPr>
          <w:rFonts w:cs="Arial"/>
          <w:sz w:val="18"/>
          <w:szCs w:val="18"/>
        </w:rPr>
        <w:tab/>
      </w:r>
      <w:r w:rsidRPr="001A209B">
        <w:rPr>
          <w:rFonts w:cs="Arial"/>
          <w:color w:val="A60D1F"/>
          <w:sz w:val="18"/>
          <w:szCs w:val="18"/>
        </w:rPr>
        <w:tab/>
      </w:r>
      <w:r w:rsidRPr="001A209B">
        <w:rPr>
          <w:rFonts w:cs="Arial"/>
          <w:color w:val="A60D1F"/>
          <w:sz w:val="18"/>
          <w:szCs w:val="18"/>
        </w:rPr>
        <w:tab/>
      </w:r>
      <w:r w:rsidRPr="001A209B">
        <w:rPr>
          <w:rFonts w:cs="Arial"/>
          <w:color w:val="A60D1F"/>
          <w:sz w:val="18"/>
          <w:szCs w:val="18"/>
        </w:rPr>
        <w:tab/>
      </w:r>
      <w:r w:rsidRPr="001A209B">
        <w:rPr>
          <w:rFonts w:cs="Arial"/>
          <w:color w:val="A60D1F"/>
          <w:sz w:val="18"/>
          <w:szCs w:val="18"/>
        </w:rPr>
        <w:tab/>
      </w:r>
      <w:r w:rsidRPr="001A209B">
        <w:rPr>
          <w:rFonts w:cs="Arial"/>
          <w:color w:val="A60D1F"/>
          <w:sz w:val="18"/>
          <w:szCs w:val="18"/>
        </w:rPr>
        <w:tab/>
      </w:r>
      <w:r w:rsidRPr="001A209B">
        <w:rPr>
          <w:rFonts w:cs="Arial"/>
          <w:color w:val="A60D1F"/>
          <w:sz w:val="18"/>
          <w:szCs w:val="18"/>
        </w:rPr>
        <w:tab/>
      </w:r>
    </w:p>
    <w:p w:rsidR="004C4821" w:rsidRPr="001A209B" w:rsidRDefault="004C4821" w:rsidP="004C4821">
      <w:pPr>
        <w:jc w:val="both"/>
        <w:rPr>
          <w:rFonts w:cs="Arial"/>
          <w:b/>
          <w:color w:val="A60D1F"/>
          <w:sz w:val="18"/>
          <w:szCs w:val="18"/>
        </w:rPr>
      </w:pPr>
      <w:r w:rsidRPr="001A209B">
        <w:rPr>
          <w:rFonts w:cs="Arial"/>
          <w:b/>
          <w:color w:val="A60D1F"/>
          <w:sz w:val="18"/>
          <w:szCs w:val="18"/>
        </w:rPr>
        <w:tab/>
      </w:r>
      <w:r w:rsidRPr="001A209B">
        <w:rPr>
          <w:rFonts w:cs="Arial"/>
          <w:b/>
          <w:color w:val="A60D1F"/>
          <w:sz w:val="18"/>
          <w:szCs w:val="18"/>
        </w:rPr>
        <w:tab/>
      </w:r>
      <w:r w:rsidRPr="001A209B">
        <w:rPr>
          <w:rFonts w:cs="Arial"/>
          <w:b/>
          <w:color w:val="A60D1F"/>
          <w:sz w:val="18"/>
          <w:szCs w:val="18"/>
        </w:rPr>
        <w:tab/>
      </w:r>
      <w:r w:rsidRPr="001A209B">
        <w:rPr>
          <w:rFonts w:cs="Arial"/>
          <w:b/>
          <w:color w:val="A60D1F"/>
          <w:sz w:val="18"/>
          <w:szCs w:val="18"/>
        </w:rPr>
        <w:tab/>
      </w:r>
      <w:r w:rsidRPr="001A209B">
        <w:rPr>
          <w:rFonts w:cs="Arial"/>
          <w:b/>
          <w:color w:val="A60D1F"/>
          <w:sz w:val="18"/>
          <w:szCs w:val="18"/>
        </w:rPr>
        <w:tab/>
      </w:r>
      <w:r w:rsidRPr="001A209B">
        <w:rPr>
          <w:rFonts w:cs="Arial"/>
          <w:b/>
          <w:color w:val="A60D1F"/>
          <w:sz w:val="18"/>
          <w:szCs w:val="18"/>
        </w:rPr>
        <w:tab/>
      </w:r>
      <w:r w:rsidRPr="001A209B">
        <w:rPr>
          <w:rFonts w:cs="Arial"/>
          <w:b/>
          <w:color w:val="A60D1F"/>
          <w:sz w:val="18"/>
          <w:szCs w:val="18"/>
        </w:rPr>
        <w:tab/>
      </w:r>
    </w:p>
    <w:p w:rsidR="004C4821" w:rsidRPr="001A209B" w:rsidRDefault="004C4821" w:rsidP="004C4821">
      <w:pPr>
        <w:jc w:val="both"/>
        <w:rPr>
          <w:rFonts w:cs="Arial"/>
          <w:sz w:val="18"/>
          <w:szCs w:val="18"/>
        </w:rPr>
      </w:pPr>
      <w:r w:rsidRPr="001A209B">
        <w:rPr>
          <w:rFonts w:cs="Arial"/>
          <w:sz w:val="18"/>
          <w:szCs w:val="18"/>
        </w:rPr>
        <w:t>No provision has been made at the balance sheet date for the European restructuring projects announced on 15 April 2014. Provisions will be recognised in the second half of the year to the extent that provisioning criteria are met by 30 September 2014.</w:t>
      </w:r>
    </w:p>
    <w:p w:rsidR="004C4821" w:rsidRPr="001A209B" w:rsidRDefault="004C4821" w:rsidP="004C4821">
      <w:pPr>
        <w:jc w:val="both"/>
        <w:rPr>
          <w:rFonts w:cs="Arial"/>
          <w:sz w:val="18"/>
          <w:szCs w:val="18"/>
        </w:rPr>
      </w:pPr>
    </w:p>
    <w:p w:rsidR="004C4821" w:rsidRPr="001A209B" w:rsidRDefault="004C4821" w:rsidP="004C4821">
      <w:pPr>
        <w:jc w:val="both"/>
        <w:rPr>
          <w:rFonts w:cs="Arial"/>
          <w:color w:val="008000"/>
          <w:sz w:val="18"/>
          <w:szCs w:val="18"/>
        </w:rPr>
      </w:pPr>
    </w:p>
    <w:p w:rsidR="00970285" w:rsidRPr="001A209B" w:rsidRDefault="00970285">
      <w:pPr>
        <w:rPr>
          <w:rFonts w:cs="Arial"/>
          <w:color w:val="008000"/>
          <w:sz w:val="18"/>
          <w:szCs w:val="18"/>
        </w:rPr>
      </w:pPr>
      <w:r w:rsidRPr="001A209B">
        <w:rPr>
          <w:rFonts w:cs="Arial"/>
          <w:color w:val="008000"/>
          <w:sz w:val="18"/>
          <w:szCs w:val="18"/>
        </w:rPr>
        <w:br w:type="page"/>
      </w:r>
    </w:p>
    <w:tbl>
      <w:tblPr>
        <w:tblW w:w="5000" w:type="pct"/>
        <w:tblCellMar>
          <w:top w:w="28" w:type="dxa"/>
          <w:left w:w="85" w:type="dxa"/>
          <w:right w:w="85" w:type="dxa"/>
        </w:tblCellMar>
        <w:tblLook w:val="04A0" w:firstRow="1" w:lastRow="0" w:firstColumn="1" w:lastColumn="0" w:noHBand="0" w:noVBand="1"/>
      </w:tblPr>
      <w:tblGrid>
        <w:gridCol w:w="5659"/>
        <w:gridCol w:w="1352"/>
        <w:gridCol w:w="1012"/>
        <w:gridCol w:w="1197"/>
      </w:tblGrid>
      <w:tr w:rsidR="004C4821" w:rsidRPr="001A209B" w:rsidTr="009719C4">
        <w:trPr>
          <w:trHeight w:val="240"/>
        </w:trPr>
        <w:tc>
          <w:tcPr>
            <w:tcW w:w="3069" w:type="pct"/>
            <w:tcBorders>
              <w:top w:val="nil"/>
              <w:left w:val="nil"/>
              <w:bottom w:val="nil"/>
              <w:right w:val="nil"/>
            </w:tcBorders>
            <w:shd w:val="clear" w:color="000000" w:fill="FFFFFF"/>
            <w:hideMark/>
          </w:tcPr>
          <w:p w:rsidR="004C4821" w:rsidRPr="001A209B" w:rsidRDefault="004C4821" w:rsidP="004C4821">
            <w:pPr>
              <w:rPr>
                <w:rFonts w:cs="Arial"/>
                <w:b/>
                <w:bCs/>
                <w:color w:val="800000"/>
                <w:sz w:val="18"/>
                <w:szCs w:val="18"/>
              </w:rPr>
            </w:pPr>
            <w:r w:rsidRPr="001A209B">
              <w:rPr>
                <w:rFonts w:cs="Arial"/>
                <w:b/>
                <w:bCs/>
                <w:color w:val="800000"/>
                <w:sz w:val="18"/>
                <w:szCs w:val="18"/>
              </w:rPr>
              <w:t>Provisions</w:t>
            </w:r>
          </w:p>
        </w:tc>
        <w:tc>
          <w:tcPr>
            <w:tcW w:w="733" w:type="pct"/>
            <w:tcBorders>
              <w:top w:val="nil"/>
              <w:left w:val="nil"/>
              <w:bottom w:val="nil"/>
              <w:right w:val="nil"/>
            </w:tcBorders>
            <w:shd w:val="clear" w:color="000000" w:fill="FFFFFF"/>
            <w:hideMark/>
          </w:tcPr>
          <w:p w:rsidR="004C4821" w:rsidRPr="001A209B" w:rsidRDefault="004C4821" w:rsidP="004C4821">
            <w:pPr>
              <w:rPr>
                <w:rFonts w:cs="Arial"/>
                <w:color w:val="0000FF"/>
                <w:sz w:val="18"/>
                <w:szCs w:val="18"/>
              </w:rPr>
            </w:pPr>
            <w:r w:rsidRPr="001A209B">
              <w:rPr>
                <w:rFonts w:cs="Arial"/>
                <w:color w:val="0000FF"/>
                <w:sz w:val="18"/>
                <w:szCs w:val="18"/>
              </w:rPr>
              <w:t> </w:t>
            </w:r>
          </w:p>
        </w:tc>
        <w:tc>
          <w:tcPr>
            <w:tcW w:w="549" w:type="pct"/>
            <w:tcBorders>
              <w:top w:val="nil"/>
              <w:left w:val="nil"/>
              <w:bottom w:val="nil"/>
              <w:right w:val="nil"/>
            </w:tcBorders>
            <w:shd w:val="clear" w:color="000000" w:fill="FFFFFF"/>
            <w:hideMark/>
          </w:tcPr>
          <w:p w:rsidR="004C4821" w:rsidRPr="001A209B" w:rsidRDefault="004C4821" w:rsidP="004C4821">
            <w:pPr>
              <w:rPr>
                <w:rFonts w:cs="Arial"/>
                <w:color w:val="0000FF"/>
                <w:sz w:val="18"/>
                <w:szCs w:val="18"/>
              </w:rPr>
            </w:pPr>
            <w:r w:rsidRPr="001A209B">
              <w:rPr>
                <w:rFonts w:cs="Arial"/>
                <w:color w:val="0000FF"/>
                <w:sz w:val="18"/>
                <w:szCs w:val="18"/>
              </w:rPr>
              <w:t> </w:t>
            </w:r>
          </w:p>
        </w:tc>
        <w:tc>
          <w:tcPr>
            <w:tcW w:w="649" w:type="pct"/>
            <w:tcBorders>
              <w:top w:val="nil"/>
              <w:left w:val="nil"/>
              <w:bottom w:val="nil"/>
              <w:right w:val="nil"/>
            </w:tcBorders>
            <w:shd w:val="clear" w:color="000000" w:fill="FFFFFF"/>
            <w:hideMark/>
          </w:tcPr>
          <w:p w:rsidR="004C4821" w:rsidRPr="001A209B" w:rsidRDefault="004C4821" w:rsidP="004C4821">
            <w:pPr>
              <w:rPr>
                <w:rFonts w:cs="Arial"/>
                <w:color w:val="0000FF"/>
                <w:sz w:val="18"/>
                <w:szCs w:val="18"/>
              </w:rPr>
            </w:pPr>
            <w:r w:rsidRPr="001A209B">
              <w:rPr>
                <w:rFonts w:cs="Arial"/>
                <w:color w:val="0000FF"/>
                <w:sz w:val="18"/>
                <w:szCs w:val="18"/>
              </w:rPr>
              <w:t> </w:t>
            </w:r>
          </w:p>
        </w:tc>
      </w:tr>
      <w:tr w:rsidR="004C4821" w:rsidRPr="001A209B" w:rsidTr="009719C4">
        <w:trPr>
          <w:trHeight w:val="240"/>
        </w:trPr>
        <w:tc>
          <w:tcPr>
            <w:tcW w:w="3069"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 million</w:t>
            </w:r>
          </w:p>
        </w:tc>
        <w:tc>
          <w:tcPr>
            <w:tcW w:w="733"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Restructuring </w:t>
            </w:r>
          </w:p>
        </w:tc>
        <w:tc>
          <w:tcPr>
            <w:tcW w:w="549"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Other </w:t>
            </w:r>
          </w:p>
        </w:tc>
        <w:tc>
          <w:tcPr>
            <w:tcW w:w="649"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Total </w:t>
            </w:r>
          </w:p>
        </w:tc>
      </w:tr>
      <w:tr w:rsidR="004C4821" w:rsidRPr="001A209B" w:rsidTr="00632DB1">
        <w:trPr>
          <w:trHeight w:val="240"/>
        </w:trPr>
        <w:tc>
          <w:tcPr>
            <w:tcW w:w="3069" w:type="pct"/>
            <w:tcBorders>
              <w:top w:val="nil"/>
              <w:left w:val="nil"/>
              <w:bottom w:val="nil"/>
              <w:right w:val="nil"/>
            </w:tcBorders>
            <w:shd w:val="clear" w:color="000000" w:fill="FFFFFF"/>
            <w:noWrap/>
            <w:vAlign w:val="center"/>
            <w:hideMark/>
          </w:tcPr>
          <w:p w:rsidR="004C4821" w:rsidRPr="001A209B" w:rsidRDefault="004C4821" w:rsidP="00632DB1">
            <w:pPr>
              <w:rPr>
                <w:rFonts w:cs="Arial"/>
                <w:color w:val="000000"/>
                <w:sz w:val="18"/>
                <w:szCs w:val="18"/>
              </w:rPr>
            </w:pPr>
            <w:r w:rsidRPr="001A209B">
              <w:rPr>
                <w:rFonts w:cs="Arial"/>
                <w:color w:val="000000"/>
                <w:sz w:val="18"/>
                <w:szCs w:val="18"/>
              </w:rPr>
              <w:t>At 1 October 2013</w:t>
            </w:r>
          </w:p>
        </w:tc>
        <w:tc>
          <w:tcPr>
            <w:tcW w:w="733" w:type="pct"/>
            <w:tcBorders>
              <w:top w:val="nil"/>
              <w:left w:val="nil"/>
              <w:bottom w:val="nil"/>
              <w:right w:val="nil"/>
            </w:tcBorders>
            <w:shd w:val="clear" w:color="000000" w:fill="C0C0C0"/>
            <w:noWrap/>
            <w:vAlign w:val="center"/>
            <w:hideMark/>
          </w:tcPr>
          <w:p w:rsidR="004C4821" w:rsidRPr="001A209B" w:rsidRDefault="004C4821" w:rsidP="00632DB1">
            <w:pPr>
              <w:jc w:val="right"/>
              <w:rPr>
                <w:rFonts w:cs="Arial"/>
                <w:b/>
                <w:bCs/>
                <w:color w:val="800000"/>
                <w:sz w:val="18"/>
                <w:szCs w:val="18"/>
              </w:rPr>
            </w:pPr>
            <w:r w:rsidRPr="001A209B">
              <w:rPr>
                <w:rFonts w:cs="Arial"/>
                <w:b/>
                <w:bCs/>
                <w:color w:val="800000"/>
                <w:sz w:val="18"/>
                <w:szCs w:val="18"/>
              </w:rPr>
              <w:t xml:space="preserve">222 </w:t>
            </w:r>
          </w:p>
        </w:tc>
        <w:tc>
          <w:tcPr>
            <w:tcW w:w="549" w:type="pct"/>
            <w:tcBorders>
              <w:top w:val="nil"/>
              <w:left w:val="nil"/>
              <w:bottom w:val="nil"/>
              <w:right w:val="nil"/>
            </w:tcBorders>
            <w:shd w:val="clear" w:color="000000" w:fill="C0C0C0"/>
            <w:noWrap/>
            <w:vAlign w:val="center"/>
            <w:hideMark/>
          </w:tcPr>
          <w:p w:rsidR="004C4821" w:rsidRPr="001A209B" w:rsidRDefault="004C4821" w:rsidP="00632DB1">
            <w:pPr>
              <w:jc w:val="right"/>
              <w:rPr>
                <w:rFonts w:cs="Arial"/>
                <w:b/>
                <w:bCs/>
                <w:color w:val="800000"/>
                <w:sz w:val="18"/>
                <w:szCs w:val="18"/>
              </w:rPr>
            </w:pPr>
            <w:r w:rsidRPr="001A209B">
              <w:rPr>
                <w:rFonts w:cs="Arial"/>
                <w:b/>
                <w:bCs/>
                <w:color w:val="800000"/>
                <w:sz w:val="18"/>
                <w:szCs w:val="18"/>
              </w:rPr>
              <w:t xml:space="preserve">277 </w:t>
            </w:r>
          </w:p>
        </w:tc>
        <w:tc>
          <w:tcPr>
            <w:tcW w:w="649" w:type="pct"/>
            <w:tcBorders>
              <w:top w:val="nil"/>
              <w:left w:val="nil"/>
              <w:bottom w:val="nil"/>
              <w:right w:val="nil"/>
            </w:tcBorders>
            <w:shd w:val="clear" w:color="000000" w:fill="C0C0C0"/>
            <w:noWrap/>
            <w:vAlign w:val="center"/>
            <w:hideMark/>
          </w:tcPr>
          <w:p w:rsidR="004C4821" w:rsidRPr="001A209B" w:rsidRDefault="004C4821" w:rsidP="00632DB1">
            <w:pPr>
              <w:jc w:val="right"/>
              <w:rPr>
                <w:rFonts w:cs="Arial"/>
                <w:b/>
                <w:bCs/>
                <w:color w:val="800000"/>
                <w:sz w:val="18"/>
                <w:szCs w:val="18"/>
              </w:rPr>
            </w:pPr>
            <w:r w:rsidRPr="001A209B">
              <w:rPr>
                <w:rFonts w:cs="Arial"/>
                <w:b/>
                <w:bCs/>
                <w:color w:val="800000"/>
                <w:sz w:val="18"/>
                <w:szCs w:val="18"/>
              </w:rPr>
              <w:t xml:space="preserve">499 </w:t>
            </w:r>
          </w:p>
        </w:tc>
      </w:tr>
      <w:tr w:rsidR="004C4821" w:rsidRPr="001A209B" w:rsidTr="00632DB1">
        <w:trPr>
          <w:trHeight w:val="240"/>
        </w:trPr>
        <w:tc>
          <w:tcPr>
            <w:tcW w:w="3069" w:type="pct"/>
            <w:tcBorders>
              <w:top w:val="nil"/>
              <w:left w:val="nil"/>
              <w:bottom w:val="nil"/>
              <w:right w:val="nil"/>
            </w:tcBorders>
            <w:shd w:val="clear" w:color="000000" w:fill="FFFFFF"/>
            <w:noWrap/>
            <w:vAlign w:val="center"/>
            <w:hideMark/>
          </w:tcPr>
          <w:p w:rsidR="004C4821" w:rsidRPr="001A209B" w:rsidRDefault="004C4821" w:rsidP="00632DB1">
            <w:pPr>
              <w:rPr>
                <w:rFonts w:cs="Arial"/>
                <w:sz w:val="18"/>
                <w:szCs w:val="18"/>
              </w:rPr>
            </w:pPr>
            <w:r w:rsidRPr="001A209B">
              <w:rPr>
                <w:rFonts w:cs="Arial"/>
                <w:sz w:val="18"/>
                <w:szCs w:val="18"/>
              </w:rPr>
              <w:t>Additional provisions charged to the consolidated income statement</w:t>
            </w:r>
          </w:p>
        </w:tc>
        <w:tc>
          <w:tcPr>
            <w:tcW w:w="733" w:type="pct"/>
            <w:tcBorders>
              <w:top w:val="nil"/>
              <w:left w:val="nil"/>
              <w:bottom w:val="nil"/>
              <w:right w:val="nil"/>
            </w:tcBorders>
            <w:shd w:val="clear" w:color="000000" w:fill="C0C0C0"/>
            <w:noWrap/>
            <w:vAlign w:val="center"/>
            <w:hideMark/>
          </w:tcPr>
          <w:p w:rsidR="004C4821" w:rsidRPr="001A209B" w:rsidRDefault="004C4821" w:rsidP="00632DB1">
            <w:pPr>
              <w:jc w:val="right"/>
              <w:rPr>
                <w:rFonts w:cs="Arial"/>
                <w:b/>
                <w:bCs/>
                <w:color w:val="800000"/>
                <w:sz w:val="18"/>
                <w:szCs w:val="18"/>
              </w:rPr>
            </w:pPr>
            <w:r w:rsidRPr="001A209B">
              <w:rPr>
                <w:rFonts w:cs="Arial"/>
                <w:b/>
                <w:bCs/>
                <w:color w:val="800000"/>
                <w:sz w:val="18"/>
                <w:szCs w:val="18"/>
              </w:rPr>
              <w:t xml:space="preserve">10 </w:t>
            </w:r>
          </w:p>
        </w:tc>
        <w:tc>
          <w:tcPr>
            <w:tcW w:w="549" w:type="pct"/>
            <w:tcBorders>
              <w:top w:val="nil"/>
              <w:left w:val="nil"/>
              <w:bottom w:val="nil"/>
              <w:right w:val="nil"/>
            </w:tcBorders>
            <w:shd w:val="clear" w:color="000000" w:fill="C0C0C0"/>
            <w:noWrap/>
            <w:vAlign w:val="center"/>
            <w:hideMark/>
          </w:tcPr>
          <w:p w:rsidR="004C4821" w:rsidRPr="001A209B" w:rsidRDefault="004C4821" w:rsidP="00632DB1">
            <w:pPr>
              <w:jc w:val="right"/>
              <w:rPr>
                <w:rFonts w:cs="Arial"/>
                <w:b/>
                <w:bCs/>
                <w:color w:val="800000"/>
                <w:sz w:val="18"/>
                <w:szCs w:val="18"/>
              </w:rPr>
            </w:pPr>
            <w:r w:rsidRPr="001A209B">
              <w:rPr>
                <w:rFonts w:cs="Arial"/>
                <w:b/>
                <w:bCs/>
                <w:color w:val="800000"/>
                <w:sz w:val="18"/>
                <w:szCs w:val="18"/>
              </w:rPr>
              <w:t xml:space="preserve">26 </w:t>
            </w:r>
          </w:p>
        </w:tc>
        <w:tc>
          <w:tcPr>
            <w:tcW w:w="649" w:type="pct"/>
            <w:tcBorders>
              <w:top w:val="nil"/>
              <w:left w:val="nil"/>
              <w:bottom w:val="nil"/>
              <w:right w:val="nil"/>
            </w:tcBorders>
            <w:shd w:val="clear" w:color="000000" w:fill="C0C0C0"/>
            <w:noWrap/>
            <w:vAlign w:val="center"/>
            <w:hideMark/>
          </w:tcPr>
          <w:p w:rsidR="004C4821" w:rsidRPr="001A209B" w:rsidRDefault="004C4821" w:rsidP="00632DB1">
            <w:pPr>
              <w:jc w:val="right"/>
              <w:rPr>
                <w:rFonts w:cs="Arial"/>
                <w:b/>
                <w:bCs/>
                <w:color w:val="800000"/>
                <w:sz w:val="18"/>
                <w:szCs w:val="18"/>
              </w:rPr>
            </w:pPr>
            <w:r w:rsidRPr="001A209B">
              <w:rPr>
                <w:rFonts w:cs="Arial"/>
                <w:b/>
                <w:bCs/>
                <w:color w:val="800000"/>
                <w:sz w:val="18"/>
                <w:szCs w:val="18"/>
              </w:rPr>
              <w:t xml:space="preserve">36 </w:t>
            </w:r>
          </w:p>
        </w:tc>
      </w:tr>
      <w:tr w:rsidR="004C4821" w:rsidRPr="001A209B" w:rsidTr="00632DB1">
        <w:trPr>
          <w:trHeight w:val="240"/>
        </w:trPr>
        <w:tc>
          <w:tcPr>
            <w:tcW w:w="3069" w:type="pct"/>
            <w:tcBorders>
              <w:top w:val="nil"/>
              <w:left w:val="nil"/>
              <w:bottom w:val="nil"/>
              <w:right w:val="nil"/>
            </w:tcBorders>
            <w:shd w:val="clear" w:color="000000" w:fill="FFFFFF"/>
            <w:vAlign w:val="center"/>
            <w:hideMark/>
          </w:tcPr>
          <w:p w:rsidR="004C4821" w:rsidRPr="001A209B" w:rsidRDefault="004C4821" w:rsidP="00632DB1">
            <w:pPr>
              <w:rPr>
                <w:rFonts w:cs="Arial"/>
                <w:color w:val="000000"/>
                <w:sz w:val="18"/>
                <w:szCs w:val="18"/>
              </w:rPr>
            </w:pPr>
            <w:r w:rsidRPr="001A209B">
              <w:rPr>
                <w:rFonts w:cs="Arial"/>
                <w:color w:val="000000"/>
                <w:sz w:val="18"/>
                <w:szCs w:val="18"/>
              </w:rPr>
              <w:t>Unwind of discount on redundancy and other long-term provisions</w:t>
            </w:r>
          </w:p>
        </w:tc>
        <w:tc>
          <w:tcPr>
            <w:tcW w:w="733" w:type="pct"/>
            <w:tcBorders>
              <w:top w:val="nil"/>
              <w:left w:val="nil"/>
              <w:bottom w:val="nil"/>
              <w:right w:val="nil"/>
            </w:tcBorders>
            <w:shd w:val="clear" w:color="000000" w:fill="C0C0C0"/>
            <w:noWrap/>
            <w:vAlign w:val="center"/>
            <w:hideMark/>
          </w:tcPr>
          <w:p w:rsidR="004C4821" w:rsidRPr="001A209B" w:rsidRDefault="004C4821" w:rsidP="00632DB1">
            <w:pPr>
              <w:jc w:val="right"/>
              <w:rPr>
                <w:rFonts w:cs="Arial"/>
                <w:b/>
                <w:bCs/>
                <w:color w:val="800000"/>
                <w:sz w:val="18"/>
                <w:szCs w:val="18"/>
              </w:rPr>
            </w:pPr>
            <w:r w:rsidRPr="001A209B">
              <w:rPr>
                <w:rFonts w:cs="Arial"/>
                <w:b/>
                <w:bCs/>
                <w:color w:val="800000"/>
                <w:sz w:val="18"/>
                <w:szCs w:val="18"/>
              </w:rPr>
              <w:t xml:space="preserve">1 </w:t>
            </w:r>
          </w:p>
        </w:tc>
        <w:tc>
          <w:tcPr>
            <w:tcW w:w="549" w:type="pct"/>
            <w:tcBorders>
              <w:top w:val="nil"/>
              <w:left w:val="nil"/>
              <w:bottom w:val="nil"/>
              <w:right w:val="nil"/>
            </w:tcBorders>
            <w:shd w:val="clear" w:color="000000" w:fill="C0C0C0"/>
            <w:noWrap/>
            <w:vAlign w:val="center"/>
            <w:hideMark/>
          </w:tcPr>
          <w:p w:rsidR="004C4821" w:rsidRPr="001A209B" w:rsidRDefault="004C4821" w:rsidP="00632DB1">
            <w:pPr>
              <w:jc w:val="right"/>
              <w:rPr>
                <w:rFonts w:cs="Arial"/>
                <w:b/>
                <w:bCs/>
                <w:color w:val="800000"/>
                <w:sz w:val="18"/>
                <w:szCs w:val="18"/>
              </w:rPr>
            </w:pPr>
            <w:r w:rsidRPr="001A209B">
              <w:rPr>
                <w:rFonts w:cs="Arial"/>
                <w:b/>
                <w:bCs/>
                <w:color w:val="800000"/>
                <w:sz w:val="18"/>
                <w:szCs w:val="18"/>
              </w:rPr>
              <w:t xml:space="preserve">1 </w:t>
            </w:r>
          </w:p>
        </w:tc>
        <w:tc>
          <w:tcPr>
            <w:tcW w:w="649" w:type="pct"/>
            <w:tcBorders>
              <w:top w:val="nil"/>
              <w:left w:val="nil"/>
              <w:bottom w:val="nil"/>
              <w:right w:val="nil"/>
            </w:tcBorders>
            <w:shd w:val="clear" w:color="000000" w:fill="C0C0C0"/>
            <w:noWrap/>
            <w:vAlign w:val="center"/>
            <w:hideMark/>
          </w:tcPr>
          <w:p w:rsidR="004C4821" w:rsidRPr="001A209B" w:rsidRDefault="004C4821" w:rsidP="00632DB1">
            <w:pPr>
              <w:jc w:val="right"/>
              <w:rPr>
                <w:rFonts w:cs="Arial"/>
                <w:b/>
                <w:bCs/>
                <w:color w:val="800000"/>
                <w:sz w:val="18"/>
                <w:szCs w:val="18"/>
              </w:rPr>
            </w:pPr>
            <w:r w:rsidRPr="001A209B">
              <w:rPr>
                <w:rFonts w:cs="Arial"/>
                <w:b/>
                <w:bCs/>
                <w:color w:val="800000"/>
                <w:sz w:val="18"/>
                <w:szCs w:val="18"/>
              </w:rPr>
              <w:t xml:space="preserve">2 </w:t>
            </w:r>
          </w:p>
        </w:tc>
      </w:tr>
      <w:tr w:rsidR="004C4821" w:rsidRPr="001A209B" w:rsidTr="00632DB1">
        <w:trPr>
          <w:trHeight w:val="240"/>
        </w:trPr>
        <w:tc>
          <w:tcPr>
            <w:tcW w:w="3069" w:type="pct"/>
            <w:tcBorders>
              <w:top w:val="nil"/>
              <w:left w:val="nil"/>
              <w:bottom w:val="nil"/>
              <w:right w:val="nil"/>
            </w:tcBorders>
            <w:shd w:val="clear" w:color="000000" w:fill="FFFFFF"/>
            <w:noWrap/>
            <w:vAlign w:val="center"/>
            <w:hideMark/>
          </w:tcPr>
          <w:p w:rsidR="004C4821" w:rsidRPr="001A209B" w:rsidRDefault="004C4821" w:rsidP="00632DB1">
            <w:pPr>
              <w:rPr>
                <w:rFonts w:cs="Arial"/>
                <w:color w:val="000000"/>
                <w:sz w:val="18"/>
                <w:szCs w:val="18"/>
              </w:rPr>
            </w:pPr>
            <w:r w:rsidRPr="001A209B">
              <w:rPr>
                <w:rFonts w:cs="Arial"/>
                <w:color w:val="000000"/>
                <w:sz w:val="18"/>
                <w:szCs w:val="18"/>
              </w:rPr>
              <w:t>Amounts used</w:t>
            </w:r>
          </w:p>
        </w:tc>
        <w:tc>
          <w:tcPr>
            <w:tcW w:w="733" w:type="pct"/>
            <w:tcBorders>
              <w:top w:val="nil"/>
              <w:left w:val="nil"/>
              <w:bottom w:val="nil"/>
              <w:right w:val="nil"/>
            </w:tcBorders>
            <w:shd w:val="clear" w:color="000000" w:fill="C0C0C0"/>
            <w:noWrap/>
            <w:vAlign w:val="center"/>
            <w:hideMark/>
          </w:tcPr>
          <w:p w:rsidR="004C4821" w:rsidRPr="001A209B" w:rsidRDefault="004C4821" w:rsidP="00632DB1">
            <w:pPr>
              <w:jc w:val="right"/>
              <w:rPr>
                <w:rFonts w:cs="Arial"/>
                <w:b/>
                <w:bCs/>
                <w:color w:val="800000"/>
                <w:sz w:val="18"/>
                <w:szCs w:val="18"/>
              </w:rPr>
            </w:pPr>
            <w:r w:rsidRPr="001A209B">
              <w:rPr>
                <w:rFonts w:cs="Arial"/>
                <w:b/>
                <w:bCs/>
                <w:color w:val="800000"/>
                <w:sz w:val="18"/>
                <w:szCs w:val="18"/>
              </w:rPr>
              <w:t>(37)</w:t>
            </w:r>
          </w:p>
        </w:tc>
        <w:tc>
          <w:tcPr>
            <w:tcW w:w="549" w:type="pct"/>
            <w:tcBorders>
              <w:top w:val="nil"/>
              <w:left w:val="nil"/>
              <w:bottom w:val="nil"/>
              <w:right w:val="nil"/>
            </w:tcBorders>
            <w:shd w:val="clear" w:color="000000" w:fill="C0C0C0"/>
            <w:noWrap/>
            <w:vAlign w:val="center"/>
            <w:hideMark/>
          </w:tcPr>
          <w:p w:rsidR="004C4821" w:rsidRPr="001A209B" w:rsidRDefault="004C4821" w:rsidP="00632DB1">
            <w:pPr>
              <w:jc w:val="right"/>
              <w:rPr>
                <w:rFonts w:cs="Arial"/>
                <w:b/>
                <w:bCs/>
                <w:color w:val="800000"/>
                <w:sz w:val="18"/>
                <w:szCs w:val="18"/>
              </w:rPr>
            </w:pPr>
            <w:r w:rsidRPr="001A209B">
              <w:rPr>
                <w:rFonts w:cs="Arial"/>
                <w:b/>
                <w:bCs/>
                <w:color w:val="800000"/>
                <w:sz w:val="18"/>
                <w:szCs w:val="18"/>
              </w:rPr>
              <w:t>(62)</w:t>
            </w:r>
          </w:p>
        </w:tc>
        <w:tc>
          <w:tcPr>
            <w:tcW w:w="649" w:type="pct"/>
            <w:tcBorders>
              <w:top w:val="nil"/>
              <w:left w:val="nil"/>
              <w:bottom w:val="nil"/>
              <w:right w:val="nil"/>
            </w:tcBorders>
            <w:shd w:val="clear" w:color="000000" w:fill="C0C0C0"/>
            <w:noWrap/>
            <w:vAlign w:val="center"/>
            <w:hideMark/>
          </w:tcPr>
          <w:p w:rsidR="004C4821" w:rsidRPr="001A209B" w:rsidRDefault="004C4821" w:rsidP="00632DB1">
            <w:pPr>
              <w:jc w:val="right"/>
              <w:rPr>
                <w:rFonts w:cs="Arial"/>
                <w:b/>
                <w:bCs/>
                <w:color w:val="800000"/>
                <w:sz w:val="18"/>
                <w:szCs w:val="18"/>
              </w:rPr>
            </w:pPr>
            <w:r w:rsidRPr="001A209B">
              <w:rPr>
                <w:rFonts w:cs="Arial"/>
                <w:b/>
                <w:bCs/>
                <w:color w:val="800000"/>
                <w:sz w:val="18"/>
                <w:szCs w:val="18"/>
              </w:rPr>
              <w:t>(99)</w:t>
            </w:r>
          </w:p>
        </w:tc>
      </w:tr>
      <w:tr w:rsidR="004C4821" w:rsidRPr="001A209B" w:rsidTr="00632DB1">
        <w:trPr>
          <w:trHeight w:val="240"/>
        </w:trPr>
        <w:tc>
          <w:tcPr>
            <w:tcW w:w="3069" w:type="pct"/>
            <w:tcBorders>
              <w:top w:val="nil"/>
              <w:left w:val="nil"/>
              <w:bottom w:val="nil"/>
              <w:right w:val="nil"/>
            </w:tcBorders>
            <w:shd w:val="clear" w:color="000000" w:fill="FFFFFF"/>
            <w:noWrap/>
            <w:vAlign w:val="center"/>
            <w:hideMark/>
          </w:tcPr>
          <w:p w:rsidR="004C4821" w:rsidRPr="001A209B" w:rsidRDefault="004C4821" w:rsidP="00632DB1">
            <w:pPr>
              <w:rPr>
                <w:rFonts w:cs="Arial"/>
                <w:color w:val="000000"/>
                <w:sz w:val="18"/>
                <w:szCs w:val="18"/>
              </w:rPr>
            </w:pPr>
            <w:r w:rsidRPr="001A209B">
              <w:rPr>
                <w:rFonts w:cs="Arial"/>
                <w:color w:val="000000"/>
                <w:sz w:val="18"/>
                <w:szCs w:val="18"/>
              </w:rPr>
              <w:t>Unused amounts reversed</w:t>
            </w:r>
          </w:p>
        </w:tc>
        <w:tc>
          <w:tcPr>
            <w:tcW w:w="733" w:type="pct"/>
            <w:tcBorders>
              <w:top w:val="nil"/>
              <w:left w:val="nil"/>
              <w:bottom w:val="nil"/>
              <w:right w:val="nil"/>
            </w:tcBorders>
            <w:shd w:val="clear" w:color="000000" w:fill="C0C0C0"/>
            <w:noWrap/>
            <w:vAlign w:val="center"/>
            <w:hideMark/>
          </w:tcPr>
          <w:p w:rsidR="004C4821" w:rsidRPr="001A209B" w:rsidRDefault="004C4821" w:rsidP="00632DB1">
            <w:pPr>
              <w:jc w:val="right"/>
              <w:rPr>
                <w:rFonts w:cs="Arial"/>
                <w:b/>
                <w:bCs/>
                <w:color w:val="800000"/>
                <w:sz w:val="18"/>
                <w:szCs w:val="18"/>
              </w:rPr>
            </w:pPr>
            <w:r w:rsidRPr="001A209B">
              <w:rPr>
                <w:rFonts w:cs="Arial"/>
                <w:b/>
                <w:bCs/>
                <w:color w:val="800000"/>
                <w:sz w:val="18"/>
                <w:szCs w:val="18"/>
              </w:rPr>
              <w:t xml:space="preserve">- </w:t>
            </w:r>
          </w:p>
        </w:tc>
        <w:tc>
          <w:tcPr>
            <w:tcW w:w="549" w:type="pct"/>
            <w:tcBorders>
              <w:top w:val="nil"/>
              <w:left w:val="nil"/>
              <w:bottom w:val="nil"/>
              <w:right w:val="nil"/>
            </w:tcBorders>
            <w:shd w:val="clear" w:color="000000" w:fill="C0C0C0"/>
            <w:noWrap/>
            <w:vAlign w:val="center"/>
            <w:hideMark/>
          </w:tcPr>
          <w:p w:rsidR="004C4821" w:rsidRPr="001A209B" w:rsidRDefault="004C4821" w:rsidP="00632DB1">
            <w:pPr>
              <w:jc w:val="right"/>
              <w:rPr>
                <w:rFonts w:cs="Arial"/>
                <w:b/>
                <w:bCs/>
                <w:color w:val="800000"/>
                <w:sz w:val="18"/>
                <w:szCs w:val="18"/>
              </w:rPr>
            </w:pPr>
            <w:r w:rsidRPr="001A209B">
              <w:rPr>
                <w:rFonts w:cs="Arial"/>
                <w:b/>
                <w:bCs/>
                <w:color w:val="800000"/>
                <w:sz w:val="18"/>
                <w:szCs w:val="18"/>
              </w:rPr>
              <w:t>(46)</w:t>
            </w:r>
          </w:p>
        </w:tc>
        <w:tc>
          <w:tcPr>
            <w:tcW w:w="649" w:type="pct"/>
            <w:tcBorders>
              <w:top w:val="nil"/>
              <w:left w:val="nil"/>
              <w:bottom w:val="nil"/>
              <w:right w:val="nil"/>
            </w:tcBorders>
            <w:shd w:val="clear" w:color="000000" w:fill="C0C0C0"/>
            <w:noWrap/>
            <w:vAlign w:val="center"/>
            <w:hideMark/>
          </w:tcPr>
          <w:p w:rsidR="004C4821" w:rsidRPr="001A209B" w:rsidRDefault="004C4821" w:rsidP="00632DB1">
            <w:pPr>
              <w:jc w:val="right"/>
              <w:rPr>
                <w:rFonts w:cs="Arial"/>
                <w:b/>
                <w:bCs/>
                <w:color w:val="800000"/>
                <w:sz w:val="18"/>
                <w:szCs w:val="18"/>
              </w:rPr>
            </w:pPr>
            <w:r w:rsidRPr="001A209B">
              <w:rPr>
                <w:rFonts w:cs="Arial"/>
                <w:b/>
                <w:bCs/>
                <w:color w:val="800000"/>
                <w:sz w:val="18"/>
                <w:szCs w:val="18"/>
              </w:rPr>
              <w:t>(46)</w:t>
            </w:r>
          </w:p>
        </w:tc>
      </w:tr>
      <w:tr w:rsidR="004C4821" w:rsidRPr="001A209B" w:rsidTr="00632DB1">
        <w:trPr>
          <w:trHeight w:val="240"/>
        </w:trPr>
        <w:tc>
          <w:tcPr>
            <w:tcW w:w="3069" w:type="pct"/>
            <w:tcBorders>
              <w:top w:val="nil"/>
              <w:left w:val="nil"/>
              <w:bottom w:val="nil"/>
              <w:right w:val="nil"/>
            </w:tcBorders>
            <w:shd w:val="clear" w:color="000000" w:fill="FFFFFF"/>
            <w:noWrap/>
            <w:vAlign w:val="center"/>
            <w:hideMark/>
          </w:tcPr>
          <w:p w:rsidR="004C4821" w:rsidRPr="001A209B" w:rsidRDefault="004C4821" w:rsidP="00632DB1">
            <w:pPr>
              <w:rPr>
                <w:rFonts w:cs="Arial"/>
                <w:color w:val="000000"/>
                <w:sz w:val="18"/>
                <w:szCs w:val="18"/>
              </w:rPr>
            </w:pPr>
            <w:r w:rsidRPr="001A209B">
              <w:rPr>
                <w:rFonts w:cs="Arial"/>
                <w:color w:val="000000"/>
                <w:sz w:val="18"/>
                <w:szCs w:val="18"/>
              </w:rPr>
              <w:t>Exchange movements</w:t>
            </w:r>
          </w:p>
        </w:tc>
        <w:tc>
          <w:tcPr>
            <w:tcW w:w="733" w:type="pct"/>
            <w:tcBorders>
              <w:top w:val="nil"/>
              <w:left w:val="nil"/>
              <w:bottom w:val="nil"/>
              <w:right w:val="nil"/>
            </w:tcBorders>
            <w:shd w:val="clear" w:color="000000" w:fill="C0C0C0"/>
            <w:noWrap/>
            <w:vAlign w:val="center"/>
            <w:hideMark/>
          </w:tcPr>
          <w:p w:rsidR="004C4821" w:rsidRPr="001A209B" w:rsidRDefault="004C4821" w:rsidP="00632DB1">
            <w:pPr>
              <w:jc w:val="right"/>
              <w:rPr>
                <w:rFonts w:cs="Arial"/>
                <w:b/>
                <w:bCs/>
                <w:color w:val="800000"/>
                <w:sz w:val="18"/>
                <w:szCs w:val="18"/>
              </w:rPr>
            </w:pPr>
            <w:r w:rsidRPr="001A209B">
              <w:rPr>
                <w:rFonts w:cs="Arial"/>
                <w:b/>
                <w:bCs/>
                <w:color w:val="800000"/>
                <w:sz w:val="18"/>
                <w:szCs w:val="18"/>
              </w:rPr>
              <w:t>(2)</w:t>
            </w:r>
          </w:p>
        </w:tc>
        <w:tc>
          <w:tcPr>
            <w:tcW w:w="549" w:type="pct"/>
            <w:tcBorders>
              <w:top w:val="nil"/>
              <w:left w:val="nil"/>
              <w:bottom w:val="nil"/>
              <w:right w:val="nil"/>
            </w:tcBorders>
            <w:shd w:val="clear" w:color="000000" w:fill="C0C0C0"/>
            <w:noWrap/>
            <w:vAlign w:val="center"/>
            <w:hideMark/>
          </w:tcPr>
          <w:p w:rsidR="004C4821" w:rsidRPr="001A209B" w:rsidRDefault="004C4821" w:rsidP="00632DB1">
            <w:pPr>
              <w:jc w:val="right"/>
              <w:rPr>
                <w:rFonts w:cs="Arial"/>
                <w:b/>
                <w:bCs/>
                <w:color w:val="800000"/>
                <w:sz w:val="18"/>
                <w:szCs w:val="18"/>
              </w:rPr>
            </w:pPr>
            <w:r w:rsidRPr="001A209B">
              <w:rPr>
                <w:rFonts w:cs="Arial"/>
                <w:b/>
                <w:bCs/>
                <w:color w:val="800000"/>
                <w:sz w:val="18"/>
                <w:szCs w:val="18"/>
              </w:rPr>
              <w:t>(4)</w:t>
            </w:r>
          </w:p>
        </w:tc>
        <w:tc>
          <w:tcPr>
            <w:tcW w:w="649" w:type="pct"/>
            <w:tcBorders>
              <w:top w:val="nil"/>
              <w:left w:val="nil"/>
              <w:bottom w:val="nil"/>
              <w:right w:val="nil"/>
            </w:tcBorders>
            <w:shd w:val="clear" w:color="000000" w:fill="C0C0C0"/>
            <w:noWrap/>
            <w:vAlign w:val="center"/>
            <w:hideMark/>
          </w:tcPr>
          <w:p w:rsidR="004C4821" w:rsidRPr="001A209B" w:rsidRDefault="004C4821" w:rsidP="00632DB1">
            <w:pPr>
              <w:jc w:val="right"/>
              <w:rPr>
                <w:rFonts w:cs="Arial"/>
                <w:b/>
                <w:bCs/>
                <w:color w:val="800000"/>
                <w:sz w:val="18"/>
                <w:szCs w:val="18"/>
              </w:rPr>
            </w:pPr>
            <w:r w:rsidRPr="001A209B">
              <w:rPr>
                <w:rFonts w:cs="Arial"/>
                <w:b/>
                <w:bCs/>
                <w:color w:val="800000"/>
                <w:sz w:val="18"/>
                <w:szCs w:val="18"/>
              </w:rPr>
              <w:t>(6)</w:t>
            </w:r>
          </w:p>
        </w:tc>
      </w:tr>
      <w:tr w:rsidR="004C4821" w:rsidRPr="001A209B" w:rsidTr="00632DB1">
        <w:trPr>
          <w:trHeight w:val="255"/>
        </w:trPr>
        <w:tc>
          <w:tcPr>
            <w:tcW w:w="3069" w:type="pct"/>
            <w:tcBorders>
              <w:top w:val="single" w:sz="4" w:space="0" w:color="800000"/>
              <w:left w:val="nil"/>
              <w:bottom w:val="single" w:sz="8" w:space="0" w:color="800000"/>
              <w:right w:val="nil"/>
            </w:tcBorders>
            <w:shd w:val="clear" w:color="000000" w:fill="FFFFFF"/>
            <w:noWrap/>
            <w:vAlign w:val="center"/>
            <w:hideMark/>
          </w:tcPr>
          <w:p w:rsidR="004C4821" w:rsidRPr="001A209B" w:rsidRDefault="004C4821" w:rsidP="00632DB1">
            <w:pPr>
              <w:rPr>
                <w:rFonts w:cs="Arial"/>
                <w:sz w:val="18"/>
                <w:szCs w:val="18"/>
              </w:rPr>
            </w:pPr>
            <w:r w:rsidRPr="001A209B">
              <w:rPr>
                <w:rFonts w:cs="Arial"/>
                <w:sz w:val="18"/>
                <w:szCs w:val="18"/>
              </w:rPr>
              <w:t>At 31 March 2014</w:t>
            </w:r>
          </w:p>
        </w:tc>
        <w:tc>
          <w:tcPr>
            <w:tcW w:w="733" w:type="pct"/>
            <w:tcBorders>
              <w:top w:val="single" w:sz="4" w:space="0" w:color="800000"/>
              <w:left w:val="nil"/>
              <w:bottom w:val="single" w:sz="8" w:space="0" w:color="800000"/>
              <w:right w:val="nil"/>
            </w:tcBorders>
            <w:shd w:val="clear" w:color="000000" w:fill="C0C0C0"/>
            <w:noWrap/>
            <w:vAlign w:val="center"/>
            <w:hideMark/>
          </w:tcPr>
          <w:p w:rsidR="004C4821" w:rsidRPr="001A209B" w:rsidRDefault="004C4821" w:rsidP="00632DB1">
            <w:pPr>
              <w:jc w:val="right"/>
              <w:rPr>
                <w:rFonts w:cs="Arial"/>
                <w:b/>
                <w:bCs/>
                <w:color w:val="800000"/>
                <w:sz w:val="18"/>
                <w:szCs w:val="18"/>
              </w:rPr>
            </w:pPr>
            <w:r w:rsidRPr="001A209B">
              <w:rPr>
                <w:rFonts w:cs="Arial"/>
                <w:b/>
                <w:bCs/>
                <w:color w:val="800000"/>
                <w:sz w:val="18"/>
                <w:szCs w:val="18"/>
              </w:rPr>
              <w:t xml:space="preserve">194 </w:t>
            </w:r>
          </w:p>
        </w:tc>
        <w:tc>
          <w:tcPr>
            <w:tcW w:w="549" w:type="pct"/>
            <w:tcBorders>
              <w:top w:val="single" w:sz="4" w:space="0" w:color="800000"/>
              <w:left w:val="nil"/>
              <w:bottom w:val="single" w:sz="8" w:space="0" w:color="800000"/>
              <w:right w:val="nil"/>
            </w:tcBorders>
            <w:shd w:val="clear" w:color="000000" w:fill="C0C0C0"/>
            <w:noWrap/>
            <w:vAlign w:val="center"/>
            <w:hideMark/>
          </w:tcPr>
          <w:p w:rsidR="004C4821" w:rsidRPr="001A209B" w:rsidRDefault="004C4821" w:rsidP="00632DB1">
            <w:pPr>
              <w:jc w:val="right"/>
              <w:rPr>
                <w:rFonts w:cs="Arial"/>
                <w:b/>
                <w:bCs/>
                <w:color w:val="800000"/>
                <w:sz w:val="18"/>
                <w:szCs w:val="18"/>
              </w:rPr>
            </w:pPr>
            <w:r w:rsidRPr="001A209B">
              <w:rPr>
                <w:rFonts w:cs="Arial"/>
                <w:b/>
                <w:bCs/>
                <w:color w:val="800000"/>
                <w:sz w:val="18"/>
                <w:szCs w:val="18"/>
              </w:rPr>
              <w:t xml:space="preserve">192 </w:t>
            </w:r>
          </w:p>
        </w:tc>
        <w:tc>
          <w:tcPr>
            <w:tcW w:w="649" w:type="pct"/>
            <w:tcBorders>
              <w:top w:val="single" w:sz="4" w:space="0" w:color="800000"/>
              <w:left w:val="nil"/>
              <w:bottom w:val="single" w:sz="8" w:space="0" w:color="800000"/>
              <w:right w:val="nil"/>
            </w:tcBorders>
            <w:shd w:val="clear" w:color="000000" w:fill="C0C0C0"/>
            <w:noWrap/>
            <w:vAlign w:val="center"/>
            <w:hideMark/>
          </w:tcPr>
          <w:p w:rsidR="004C4821" w:rsidRPr="001A209B" w:rsidRDefault="004C4821" w:rsidP="00632DB1">
            <w:pPr>
              <w:jc w:val="right"/>
              <w:rPr>
                <w:rFonts w:cs="Arial"/>
                <w:b/>
                <w:bCs/>
                <w:color w:val="800000"/>
                <w:sz w:val="18"/>
                <w:szCs w:val="18"/>
              </w:rPr>
            </w:pPr>
            <w:r w:rsidRPr="001A209B">
              <w:rPr>
                <w:rFonts w:cs="Arial"/>
                <w:b/>
                <w:bCs/>
                <w:color w:val="800000"/>
                <w:sz w:val="18"/>
                <w:szCs w:val="18"/>
              </w:rPr>
              <w:t xml:space="preserve">386 </w:t>
            </w:r>
          </w:p>
        </w:tc>
      </w:tr>
      <w:tr w:rsidR="004C4821" w:rsidRPr="001A209B" w:rsidTr="009719C4">
        <w:trPr>
          <w:trHeight w:val="240"/>
        </w:trPr>
        <w:tc>
          <w:tcPr>
            <w:tcW w:w="3069" w:type="pct"/>
            <w:tcBorders>
              <w:top w:val="nil"/>
              <w:left w:val="nil"/>
              <w:bottom w:val="nil"/>
              <w:right w:val="nil"/>
            </w:tcBorders>
            <w:shd w:val="clear" w:color="000000" w:fill="FFFFFF"/>
            <w:hideMark/>
          </w:tcPr>
          <w:p w:rsidR="004C4821" w:rsidRPr="001A209B" w:rsidRDefault="004C4821" w:rsidP="004C4821">
            <w:pPr>
              <w:rPr>
                <w:rFonts w:cs="Arial"/>
                <w:color w:val="0000FF"/>
                <w:sz w:val="18"/>
                <w:szCs w:val="18"/>
              </w:rPr>
            </w:pPr>
            <w:r w:rsidRPr="001A209B">
              <w:rPr>
                <w:rFonts w:cs="Arial"/>
                <w:color w:val="0000FF"/>
                <w:sz w:val="18"/>
                <w:szCs w:val="18"/>
              </w:rPr>
              <w:t> </w:t>
            </w:r>
          </w:p>
        </w:tc>
        <w:tc>
          <w:tcPr>
            <w:tcW w:w="733" w:type="pct"/>
            <w:tcBorders>
              <w:top w:val="nil"/>
              <w:left w:val="nil"/>
              <w:bottom w:val="nil"/>
              <w:right w:val="nil"/>
            </w:tcBorders>
            <w:shd w:val="clear" w:color="000000" w:fill="FFFFFF"/>
            <w:hideMark/>
          </w:tcPr>
          <w:p w:rsidR="004C4821" w:rsidRPr="001A209B" w:rsidRDefault="004C4821" w:rsidP="004C4821">
            <w:pPr>
              <w:rPr>
                <w:rFonts w:cs="Arial"/>
                <w:color w:val="0000FF"/>
                <w:sz w:val="18"/>
                <w:szCs w:val="18"/>
              </w:rPr>
            </w:pPr>
            <w:r w:rsidRPr="001A209B">
              <w:rPr>
                <w:rFonts w:cs="Arial"/>
                <w:color w:val="0000FF"/>
                <w:sz w:val="18"/>
                <w:szCs w:val="18"/>
              </w:rPr>
              <w:t> </w:t>
            </w:r>
          </w:p>
        </w:tc>
        <w:tc>
          <w:tcPr>
            <w:tcW w:w="549" w:type="pct"/>
            <w:tcBorders>
              <w:top w:val="nil"/>
              <w:left w:val="nil"/>
              <w:bottom w:val="nil"/>
              <w:right w:val="nil"/>
            </w:tcBorders>
            <w:shd w:val="clear" w:color="000000" w:fill="FFFFFF"/>
            <w:hideMark/>
          </w:tcPr>
          <w:p w:rsidR="004C4821" w:rsidRPr="001A209B" w:rsidRDefault="004C4821" w:rsidP="004C4821">
            <w:pPr>
              <w:rPr>
                <w:rFonts w:cs="Arial"/>
                <w:color w:val="0000FF"/>
                <w:sz w:val="18"/>
                <w:szCs w:val="18"/>
              </w:rPr>
            </w:pPr>
            <w:r w:rsidRPr="001A209B">
              <w:rPr>
                <w:rFonts w:cs="Arial"/>
                <w:color w:val="0000FF"/>
                <w:sz w:val="18"/>
                <w:szCs w:val="18"/>
              </w:rPr>
              <w:t> </w:t>
            </w:r>
          </w:p>
        </w:tc>
        <w:tc>
          <w:tcPr>
            <w:tcW w:w="649" w:type="pct"/>
            <w:tcBorders>
              <w:top w:val="nil"/>
              <w:left w:val="nil"/>
              <w:bottom w:val="nil"/>
              <w:right w:val="nil"/>
            </w:tcBorders>
            <w:shd w:val="clear" w:color="000000" w:fill="FFFFFF"/>
            <w:hideMark/>
          </w:tcPr>
          <w:p w:rsidR="004C4821" w:rsidRPr="001A209B" w:rsidRDefault="004C4821" w:rsidP="004C4821">
            <w:pPr>
              <w:rPr>
                <w:rFonts w:cs="Arial"/>
                <w:color w:val="0000FF"/>
                <w:sz w:val="18"/>
                <w:szCs w:val="18"/>
              </w:rPr>
            </w:pPr>
            <w:r w:rsidRPr="001A209B">
              <w:rPr>
                <w:rFonts w:cs="Arial"/>
                <w:color w:val="0000FF"/>
                <w:sz w:val="18"/>
                <w:szCs w:val="18"/>
              </w:rPr>
              <w:t> </w:t>
            </w:r>
          </w:p>
        </w:tc>
      </w:tr>
      <w:tr w:rsidR="009719C4" w:rsidRPr="001A209B" w:rsidTr="009719C4">
        <w:trPr>
          <w:trHeight w:val="240"/>
        </w:trPr>
        <w:tc>
          <w:tcPr>
            <w:tcW w:w="3069" w:type="pct"/>
            <w:tcBorders>
              <w:top w:val="nil"/>
              <w:left w:val="nil"/>
              <w:bottom w:val="nil"/>
              <w:right w:val="nil"/>
            </w:tcBorders>
            <w:shd w:val="clear" w:color="000000" w:fill="FFFFFF"/>
            <w:noWrap/>
            <w:vAlign w:val="bottom"/>
            <w:hideMark/>
          </w:tcPr>
          <w:p w:rsidR="009719C4" w:rsidRPr="001A209B" w:rsidRDefault="009719C4" w:rsidP="004C4821">
            <w:pPr>
              <w:rPr>
                <w:rFonts w:cs="Arial"/>
                <w:color w:val="000000"/>
                <w:sz w:val="18"/>
                <w:szCs w:val="18"/>
              </w:rPr>
            </w:pPr>
            <w:r w:rsidRPr="001A209B">
              <w:rPr>
                <w:rFonts w:cs="Arial"/>
                <w:color w:val="000000"/>
                <w:sz w:val="18"/>
                <w:szCs w:val="18"/>
              </w:rPr>
              <w:t>Analysed as:</w:t>
            </w:r>
          </w:p>
        </w:tc>
        <w:tc>
          <w:tcPr>
            <w:tcW w:w="733" w:type="pct"/>
            <w:tcBorders>
              <w:top w:val="nil"/>
              <w:left w:val="nil"/>
              <w:right w:val="nil"/>
            </w:tcBorders>
            <w:shd w:val="clear" w:color="000000" w:fill="FFFFFF"/>
            <w:noWrap/>
            <w:vAlign w:val="bottom"/>
          </w:tcPr>
          <w:p w:rsidR="009719C4" w:rsidRPr="001A209B" w:rsidRDefault="009719C4" w:rsidP="004C4821">
            <w:pPr>
              <w:rPr>
                <w:rFonts w:cs="Arial"/>
                <w:color w:val="000000"/>
                <w:sz w:val="18"/>
                <w:szCs w:val="18"/>
              </w:rPr>
            </w:pPr>
          </w:p>
        </w:tc>
        <w:tc>
          <w:tcPr>
            <w:tcW w:w="549" w:type="pct"/>
            <w:tcBorders>
              <w:top w:val="nil"/>
              <w:left w:val="nil"/>
              <w:right w:val="nil"/>
            </w:tcBorders>
            <w:shd w:val="clear" w:color="000000" w:fill="FFFFFF"/>
            <w:noWrap/>
            <w:vAlign w:val="bottom"/>
          </w:tcPr>
          <w:p w:rsidR="009719C4" w:rsidRPr="001A209B" w:rsidRDefault="009719C4" w:rsidP="00E24A5B">
            <w:pPr>
              <w:rPr>
                <w:rFonts w:cs="Arial"/>
                <w:color w:val="000000"/>
                <w:sz w:val="18"/>
                <w:szCs w:val="18"/>
              </w:rPr>
            </w:pPr>
            <w:r w:rsidRPr="001A209B">
              <w:rPr>
                <w:rFonts w:cs="Arial"/>
                <w:color w:val="000000"/>
                <w:sz w:val="18"/>
                <w:szCs w:val="18"/>
              </w:rPr>
              <w:t> </w:t>
            </w:r>
          </w:p>
        </w:tc>
        <w:tc>
          <w:tcPr>
            <w:tcW w:w="649" w:type="pct"/>
            <w:tcBorders>
              <w:top w:val="nil"/>
              <w:left w:val="nil"/>
              <w:right w:val="nil"/>
            </w:tcBorders>
            <w:shd w:val="clear" w:color="000000" w:fill="FFFFFF"/>
            <w:noWrap/>
            <w:vAlign w:val="bottom"/>
            <w:hideMark/>
          </w:tcPr>
          <w:p w:rsidR="009719C4" w:rsidRPr="001A209B" w:rsidRDefault="009719C4" w:rsidP="00E24A5B">
            <w:pPr>
              <w:rPr>
                <w:rFonts w:cs="Arial"/>
                <w:color w:val="000000"/>
                <w:sz w:val="18"/>
                <w:szCs w:val="18"/>
              </w:rPr>
            </w:pPr>
            <w:r w:rsidRPr="001A209B">
              <w:rPr>
                <w:rFonts w:cs="Arial"/>
                <w:color w:val="000000"/>
                <w:sz w:val="18"/>
                <w:szCs w:val="18"/>
              </w:rPr>
              <w:t> </w:t>
            </w:r>
          </w:p>
        </w:tc>
      </w:tr>
      <w:tr w:rsidR="009719C4" w:rsidRPr="001A209B" w:rsidTr="009719C4">
        <w:trPr>
          <w:trHeight w:val="240"/>
        </w:trPr>
        <w:tc>
          <w:tcPr>
            <w:tcW w:w="3069" w:type="pct"/>
            <w:tcBorders>
              <w:top w:val="nil"/>
              <w:left w:val="nil"/>
              <w:bottom w:val="single" w:sz="4" w:space="0" w:color="800000"/>
              <w:right w:val="nil"/>
            </w:tcBorders>
            <w:shd w:val="clear" w:color="000000" w:fill="FFFFFF"/>
            <w:noWrap/>
            <w:vAlign w:val="bottom"/>
            <w:hideMark/>
          </w:tcPr>
          <w:p w:rsidR="009719C4" w:rsidRPr="001A209B" w:rsidRDefault="009719C4" w:rsidP="004C4821">
            <w:pPr>
              <w:rPr>
                <w:rFonts w:cs="Arial"/>
                <w:sz w:val="18"/>
                <w:szCs w:val="18"/>
              </w:rPr>
            </w:pPr>
            <w:r w:rsidRPr="001A209B">
              <w:rPr>
                <w:rFonts w:cs="Arial"/>
                <w:sz w:val="18"/>
                <w:szCs w:val="18"/>
              </w:rPr>
              <w:t>£ million</w:t>
            </w:r>
          </w:p>
        </w:tc>
        <w:tc>
          <w:tcPr>
            <w:tcW w:w="733" w:type="pct"/>
            <w:tcBorders>
              <w:top w:val="nil"/>
              <w:left w:val="nil"/>
              <w:bottom w:val="single" w:sz="4" w:space="0" w:color="800000"/>
              <w:right w:val="nil"/>
            </w:tcBorders>
            <w:shd w:val="clear" w:color="000000" w:fill="FFFFFF"/>
            <w:noWrap/>
            <w:vAlign w:val="bottom"/>
          </w:tcPr>
          <w:p w:rsidR="009719C4" w:rsidRPr="001A209B" w:rsidRDefault="009719C4" w:rsidP="004C4821">
            <w:pPr>
              <w:jc w:val="right"/>
              <w:rPr>
                <w:rFonts w:cs="Arial"/>
                <w:b/>
                <w:bCs/>
                <w:color w:val="800000"/>
                <w:sz w:val="18"/>
                <w:szCs w:val="18"/>
              </w:rPr>
            </w:pPr>
          </w:p>
        </w:tc>
        <w:tc>
          <w:tcPr>
            <w:tcW w:w="549" w:type="pct"/>
            <w:tcBorders>
              <w:top w:val="nil"/>
              <w:left w:val="nil"/>
              <w:bottom w:val="single" w:sz="4" w:space="0" w:color="800000"/>
              <w:right w:val="nil"/>
            </w:tcBorders>
            <w:shd w:val="clear" w:color="000000" w:fill="FFFFFF"/>
            <w:noWrap/>
            <w:vAlign w:val="bottom"/>
          </w:tcPr>
          <w:p w:rsidR="009719C4" w:rsidRPr="001A209B" w:rsidRDefault="009719C4" w:rsidP="00E24A5B">
            <w:pPr>
              <w:jc w:val="right"/>
              <w:rPr>
                <w:rFonts w:cs="Arial"/>
                <w:b/>
                <w:bCs/>
                <w:color w:val="800000"/>
                <w:sz w:val="18"/>
                <w:szCs w:val="18"/>
              </w:rPr>
            </w:pPr>
            <w:r w:rsidRPr="001A209B">
              <w:rPr>
                <w:rFonts w:cs="Arial"/>
                <w:b/>
                <w:bCs/>
                <w:color w:val="800000"/>
                <w:sz w:val="18"/>
                <w:szCs w:val="18"/>
              </w:rPr>
              <w:t xml:space="preserve">2014 </w:t>
            </w:r>
          </w:p>
        </w:tc>
        <w:tc>
          <w:tcPr>
            <w:tcW w:w="649" w:type="pct"/>
            <w:tcBorders>
              <w:top w:val="nil"/>
              <w:left w:val="nil"/>
              <w:bottom w:val="single" w:sz="4" w:space="0" w:color="800000"/>
              <w:right w:val="nil"/>
            </w:tcBorders>
            <w:shd w:val="clear" w:color="000000" w:fill="FFFFFF"/>
            <w:noWrap/>
            <w:vAlign w:val="bottom"/>
            <w:hideMark/>
          </w:tcPr>
          <w:p w:rsidR="009719C4" w:rsidRPr="001A209B" w:rsidRDefault="009719C4" w:rsidP="00E24A5B">
            <w:pPr>
              <w:jc w:val="right"/>
              <w:rPr>
                <w:rFonts w:cs="Arial"/>
                <w:color w:val="000000"/>
                <w:sz w:val="18"/>
                <w:szCs w:val="18"/>
              </w:rPr>
            </w:pPr>
            <w:r w:rsidRPr="001A209B">
              <w:rPr>
                <w:rFonts w:cs="Arial"/>
                <w:color w:val="000000"/>
                <w:sz w:val="18"/>
                <w:szCs w:val="18"/>
              </w:rPr>
              <w:t xml:space="preserve">2013 </w:t>
            </w:r>
          </w:p>
        </w:tc>
      </w:tr>
      <w:tr w:rsidR="009719C4" w:rsidRPr="001A209B" w:rsidTr="009719C4">
        <w:trPr>
          <w:trHeight w:val="240"/>
        </w:trPr>
        <w:tc>
          <w:tcPr>
            <w:tcW w:w="3069" w:type="pct"/>
            <w:tcBorders>
              <w:top w:val="nil"/>
              <w:left w:val="nil"/>
              <w:bottom w:val="nil"/>
              <w:right w:val="nil"/>
            </w:tcBorders>
            <w:shd w:val="clear" w:color="000000" w:fill="FFFFFF"/>
            <w:noWrap/>
            <w:vAlign w:val="bottom"/>
            <w:hideMark/>
          </w:tcPr>
          <w:p w:rsidR="009719C4" w:rsidRPr="001A209B" w:rsidRDefault="009719C4" w:rsidP="004C4821">
            <w:pPr>
              <w:rPr>
                <w:rFonts w:cs="Arial"/>
                <w:color w:val="000000"/>
                <w:sz w:val="18"/>
                <w:szCs w:val="18"/>
              </w:rPr>
            </w:pPr>
            <w:r w:rsidRPr="001A209B">
              <w:rPr>
                <w:rFonts w:cs="Arial"/>
                <w:color w:val="000000"/>
                <w:sz w:val="18"/>
                <w:szCs w:val="18"/>
              </w:rPr>
              <w:t>Current</w:t>
            </w:r>
          </w:p>
        </w:tc>
        <w:tc>
          <w:tcPr>
            <w:tcW w:w="733" w:type="pct"/>
            <w:tcBorders>
              <w:top w:val="single" w:sz="4" w:space="0" w:color="800000"/>
              <w:left w:val="nil"/>
              <w:right w:val="nil"/>
            </w:tcBorders>
            <w:shd w:val="clear" w:color="auto" w:fill="FFFFFF" w:themeFill="background1"/>
            <w:noWrap/>
            <w:vAlign w:val="bottom"/>
          </w:tcPr>
          <w:p w:rsidR="009719C4" w:rsidRPr="001A209B" w:rsidRDefault="009719C4" w:rsidP="004C4821">
            <w:pPr>
              <w:jc w:val="right"/>
              <w:rPr>
                <w:rFonts w:cs="Arial"/>
                <w:b/>
                <w:bCs/>
                <w:color w:val="800000"/>
                <w:sz w:val="18"/>
                <w:szCs w:val="18"/>
              </w:rPr>
            </w:pPr>
          </w:p>
        </w:tc>
        <w:tc>
          <w:tcPr>
            <w:tcW w:w="549" w:type="pct"/>
            <w:tcBorders>
              <w:top w:val="single" w:sz="4" w:space="0" w:color="800000"/>
              <w:left w:val="nil"/>
              <w:right w:val="nil"/>
            </w:tcBorders>
            <w:shd w:val="clear" w:color="auto" w:fill="BFBFBF" w:themeFill="background1" w:themeFillShade="BF"/>
            <w:noWrap/>
            <w:vAlign w:val="bottom"/>
          </w:tcPr>
          <w:p w:rsidR="009719C4" w:rsidRPr="001A209B" w:rsidRDefault="009719C4" w:rsidP="00E24A5B">
            <w:pPr>
              <w:jc w:val="right"/>
              <w:rPr>
                <w:rFonts w:cs="Arial"/>
                <w:b/>
                <w:bCs/>
                <w:color w:val="800000"/>
                <w:sz w:val="18"/>
                <w:szCs w:val="18"/>
              </w:rPr>
            </w:pPr>
            <w:r w:rsidRPr="001A209B">
              <w:rPr>
                <w:rFonts w:cs="Arial"/>
                <w:b/>
                <w:bCs/>
                <w:color w:val="800000"/>
                <w:sz w:val="18"/>
                <w:szCs w:val="18"/>
              </w:rPr>
              <w:t xml:space="preserve">92 </w:t>
            </w:r>
          </w:p>
        </w:tc>
        <w:tc>
          <w:tcPr>
            <w:tcW w:w="649" w:type="pct"/>
            <w:tcBorders>
              <w:top w:val="single" w:sz="4" w:space="0" w:color="800000"/>
              <w:left w:val="nil"/>
              <w:right w:val="nil"/>
            </w:tcBorders>
            <w:shd w:val="clear" w:color="000000" w:fill="FFFFFF"/>
            <w:noWrap/>
            <w:vAlign w:val="bottom"/>
            <w:hideMark/>
          </w:tcPr>
          <w:p w:rsidR="009719C4" w:rsidRPr="001A209B" w:rsidRDefault="009719C4" w:rsidP="00E24A5B">
            <w:pPr>
              <w:jc w:val="right"/>
              <w:rPr>
                <w:rFonts w:cs="Arial"/>
                <w:color w:val="000000"/>
                <w:sz w:val="18"/>
                <w:szCs w:val="18"/>
              </w:rPr>
            </w:pPr>
            <w:r w:rsidRPr="001A209B">
              <w:rPr>
                <w:rFonts w:cs="Arial"/>
                <w:color w:val="000000"/>
                <w:sz w:val="18"/>
                <w:szCs w:val="18"/>
              </w:rPr>
              <w:t xml:space="preserve">92 </w:t>
            </w:r>
          </w:p>
        </w:tc>
      </w:tr>
      <w:tr w:rsidR="009719C4" w:rsidRPr="001A209B" w:rsidTr="009719C4">
        <w:trPr>
          <w:trHeight w:val="240"/>
        </w:trPr>
        <w:tc>
          <w:tcPr>
            <w:tcW w:w="3069" w:type="pct"/>
            <w:tcBorders>
              <w:top w:val="nil"/>
              <w:left w:val="nil"/>
              <w:bottom w:val="nil"/>
              <w:right w:val="nil"/>
            </w:tcBorders>
            <w:shd w:val="clear" w:color="000000" w:fill="FFFFFF"/>
            <w:noWrap/>
            <w:vAlign w:val="bottom"/>
            <w:hideMark/>
          </w:tcPr>
          <w:p w:rsidR="009719C4" w:rsidRPr="001A209B" w:rsidRDefault="009719C4" w:rsidP="004C4821">
            <w:pPr>
              <w:rPr>
                <w:rFonts w:cs="Arial"/>
                <w:color w:val="000000"/>
                <w:sz w:val="18"/>
                <w:szCs w:val="18"/>
              </w:rPr>
            </w:pPr>
            <w:r w:rsidRPr="001A209B">
              <w:rPr>
                <w:rFonts w:cs="Arial"/>
                <w:color w:val="000000"/>
                <w:sz w:val="18"/>
                <w:szCs w:val="18"/>
              </w:rPr>
              <w:t>Non-current</w:t>
            </w:r>
          </w:p>
        </w:tc>
        <w:tc>
          <w:tcPr>
            <w:tcW w:w="733" w:type="pct"/>
            <w:tcBorders>
              <w:top w:val="nil"/>
              <w:left w:val="nil"/>
              <w:bottom w:val="single" w:sz="4" w:space="0" w:color="800000"/>
              <w:right w:val="nil"/>
            </w:tcBorders>
            <w:shd w:val="clear" w:color="auto" w:fill="FFFFFF" w:themeFill="background1"/>
            <w:noWrap/>
            <w:vAlign w:val="bottom"/>
          </w:tcPr>
          <w:p w:rsidR="009719C4" w:rsidRPr="001A209B" w:rsidRDefault="009719C4" w:rsidP="004C4821">
            <w:pPr>
              <w:jc w:val="right"/>
              <w:rPr>
                <w:rFonts w:cs="Arial"/>
                <w:b/>
                <w:bCs/>
                <w:color w:val="800000"/>
                <w:sz w:val="18"/>
                <w:szCs w:val="18"/>
              </w:rPr>
            </w:pPr>
          </w:p>
        </w:tc>
        <w:tc>
          <w:tcPr>
            <w:tcW w:w="549" w:type="pct"/>
            <w:tcBorders>
              <w:top w:val="nil"/>
              <w:left w:val="nil"/>
              <w:bottom w:val="single" w:sz="4" w:space="0" w:color="800000"/>
              <w:right w:val="nil"/>
            </w:tcBorders>
            <w:shd w:val="clear" w:color="auto" w:fill="BFBFBF" w:themeFill="background1" w:themeFillShade="BF"/>
            <w:noWrap/>
            <w:vAlign w:val="bottom"/>
          </w:tcPr>
          <w:p w:rsidR="009719C4" w:rsidRPr="001A209B" w:rsidRDefault="009719C4" w:rsidP="00E24A5B">
            <w:pPr>
              <w:jc w:val="right"/>
              <w:rPr>
                <w:rFonts w:cs="Arial"/>
                <w:b/>
                <w:bCs/>
                <w:color w:val="800000"/>
                <w:sz w:val="18"/>
                <w:szCs w:val="18"/>
              </w:rPr>
            </w:pPr>
            <w:r w:rsidRPr="001A209B">
              <w:rPr>
                <w:rFonts w:cs="Arial"/>
                <w:b/>
                <w:bCs/>
                <w:color w:val="800000"/>
                <w:sz w:val="18"/>
                <w:szCs w:val="18"/>
              </w:rPr>
              <w:t xml:space="preserve">294 </w:t>
            </w:r>
          </w:p>
        </w:tc>
        <w:tc>
          <w:tcPr>
            <w:tcW w:w="649" w:type="pct"/>
            <w:tcBorders>
              <w:top w:val="nil"/>
              <w:left w:val="nil"/>
              <w:bottom w:val="single" w:sz="4" w:space="0" w:color="800000"/>
              <w:right w:val="nil"/>
            </w:tcBorders>
            <w:shd w:val="clear" w:color="000000" w:fill="FFFFFF"/>
            <w:noWrap/>
            <w:vAlign w:val="bottom"/>
            <w:hideMark/>
          </w:tcPr>
          <w:p w:rsidR="009719C4" w:rsidRPr="001A209B" w:rsidRDefault="009719C4" w:rsidP="00E24A5B">
            <w:pPr>
              <w:jc w:val="right"/>
              <w:rPr>
                <w:rFonts w:cs="Arial"/>
                <w:color w:val="000000"/>
                <w:sz w:val="18"/>
                <w:szCs w:val="18"/>
              </w:rPr>
            </w:pPr>
            <w:r w:rsidRPr="001A209B">
              <w:rPr>
                <w:rFonts w:cs="Arial"/>
                <w:color w:val="000000"/>
                <w:sz w:val="18"/>
                <w:szCs w:val="18"/>
              </w:rPr>
              <w:t xml:space="preserve">407 </w:t>
            </w:r>
          </w:p>
        </w:tc>
      </w:tr>
      <w:tr w:rsidR="009719C4" w:rsidRPr="001A209B" w:rsidTr="009719C4">
        <w:trPr>
          <w:trHeight w:val="255"/>
        </w:trPr>
        <w:tc>
          <w:tcPr>
            <w:tcW w:w="3069" w:type="pct"/>
            <w:tcBorders>
              <w:top w:val="single" w:sz="4" w:space="0" w:color="800000"/>
              <w:left w:val="nil"/>
              <w:bottom w:val="single" w:sz="8" w:space="0" w:color="800000"/>
              <w:right w:val="nil"/>
            </w:tcBorders>
            <w:shd w:val="clear" w:color="000000" w:fill="FFFFFF"/>
            <w:noWrap/>
            <w:vAlign w:val="bottom"/>
            <w:hideMark/>
          </w:tcPr>
          <w:p w:rsidR="009719C4" w:rsidRPr="001A209B" w:rsidRDefault="009719C4" w:rsidP="004C4821">
            <w:pPr>
              <w:rPr>
                <w:rFonts w:cs="Arial"/>
                <w:color w:val="800000"/>
                <w:sz w:val="18"/>
                <w:szCs w:val="18"/>
              </w:rPr>
            </w:pPr>
            <w:r w:rsidRPr="001A209B">
              <w:rPr>
                <w:rFonts w:cs="Arial"/>
                <w:color w:val="800000"/>
                <w:sz w:val="18"/>
                <w:szCs w:val="18"/>
              </w:rPr>
              <w:t> </w:t>
            </w:r>
          </w:p>
        </w:tc>
        <w:tc>
          <w:tcPr>
            <w:tcW w:w="733" w:type="pct"/>
            <w:tcBorders>
              <w:top w:val="single" w:sz="4" w:space="0" w:color="800000"/>
              <w:left w:val="nil"/>
              <w:bottom w:val="single" w:sz="4" w:space="0" w:color="800000"/>
              <w:right w:val="nil"/>
            </w:tcBorders>
            <w:shd w:val="clear" w:color="auto" w:fill="FFFFFF" w:themeFill="background1"/>
            <w:noWrap/>
            <w:vAlign w:val="bottom"/>
          </w:tcPr>
          <w:p w:rsidR="009719C4" w:rsidRPr="001A209B" w:rsidRDefault="009719C4" w:rsidP="004C4821">
            <w:pPr>
              <w:jc w:val="right"/>
              <w:rPr>
                <w:rFonts w:cs="Arial"/>
                <w:b/>
                <w:bCs/>
                <w:color w:val="800000"/>
                <w:sz w:val="18"/>
                <w:szCs w:val="18"/>
              </w:rPr>
            </w:pPr>
          </w:p>
        </w:tc>
        <w:tc>
          <w:tcPr>
            <w:tcW w:w="549" w:type="pct"/>
            <w:tcBorders>
              <w:top w:val="single" w:sz="4" w:space="0" w:color="800000"/>
              <w:left w:val="nil"/>
              <w:bottom w:val="single" w:sz="4" w:space="0" w:color="800000"/>
              <w:right w:val="nil"/>
            </w:tcBorders>
            <w:shd w:val="clear" w:color="auto" w:fill="BFBFBF" w:themeFill="background1" w:themeFillShade="BF"/>
            <w:noWrap/>
            <w:vAlign w:val="bottom"/>
          </w:tcPr>
          <w:p w:rsidR="009719C4" w:rsidRPr="001A209B" w:rsidRDefault="009719C4" w:rsidP="00E24A5B">
            <w:pPr>
              <w:jc w:val="right"/>
              <w:rPr>
                <w:rFonts w:cs="Arial"/>
                <w:b/>
                <w:bCs/>
                <w:color w:val="800000"/>
                <w:sz w:val="18"/>
                <w:szCs w:val="18"/>
              </w:rPr>
            </w:pPr>
            <w:r w:rsidRPr="001A209B">
              <w:rPr>
                <w:rFonts w:cs="Arial"/>
                <w:b/>
                <w:bCs/>
                <w:color w:val="800000"/>
                <w:sz w:val="18"/>
                <w:szCs w:val="18"/>
              </w:rPr>
              <w:t xml:space="preserve">386 </w:t>
            </w:r>
          </w:p>
        </w:tc>
        <w:tc>
          <w:tcPr>
            <w:tcW w:w="649" w:type="pct"/>
            <w:tcBorders>
              <w:top w:val="single" w:sz="4" w:space="0" w:color="800000"/>
              <w:left w:val="nil"/>
              <w:bottom w:val="single" w:sz="4" w:space="0" w:color="800000"/>
              <w:right w:val="nil"/>
            </w:tcBorders>
            <w:shd w:val="clear" w:color="000000" w:fill="FFFFFF"/>
            <w:noWrap/>
            <w:vAlign w:val="bottom"/>
            <w:hideMark/>
          </w:tcPr>
          <w:p w:rsidR="009719C4" w:rsidRPr="001A209B" w:rsidRDefault="009719C4" w:rsidP="00E24A5B">
            <w:pPr>
              <w:jc w:val="right"/>
              <w:rPr>
                <w:rFonts w:cs="Arial"/>
                <w:color w:val="000000"/>
                <w:sz w:val="18"/>
                <w:szCs w:val="18"/>
              </w:rPr>
            </w:pPr>
            <w:r w:rsidRPr="001A209B">
              <w:rPr>
                <w:rFonts w:cs="Arial"/>
                <w:color w:val="000000"/>
                <w:sz w:val="18"/>
                <w:szCs w:val="18"/>
              </w:rPr>
              <w:t xml:space="preserve">499 </w:t>
            </w:r>
          </w:p>
        </w:tc>
      </w:tr>
    </w:tbl>
    <w:p w:rsidR="004C4821" w:rsidRPr="001A209B" w:rsidRDefault="004C4821" w:rsidP="004C4821">
      <w:pPr>
        <w:jc w:val="both"/>
        <w:rPr>
          <w:rFonts w:cs="Arial"/>
          <w:color w:val="A60D1F"/>
          <w:sz w:val="18"/>
          <w:szCs w:val="18"/>
        </w:rPr>
      </w:pPr>
      <w:r w:rsidRPr="001A209B">
        <w:rPr>
          <w:rFonts w:cs="Arial"/>
          <w:color w:val="A60D1F"/>
          <w:sz w:val="18"/>
          <w:szCs w:val="18"/>
        </w:rPr>
        <w:tab/>
      </w:r>
    </w:p>
    <w:p w:rsidR="004C4821" w:rsidRPr="001A209B" w:rsidRDefault="004C4821" w:rsidP="004C4821">
      <w:pPr>
        <w:jc w:val="both"/>
        <w:rPr>
          <w:rFonts w:cs="Arial"/>
          <w:b/>
          <w:color w:val="A60D1F"/>
          <w:sz w:val="18"/>
          <w:szCs w:val="18"/>
        </w:rPr>
      </w:pPr>
    </w:p>
    <w:p w:rsidR="004C4821" w:rsidRPr="001A209B" w:rsidRDefault="004C4821" w:rsidP="004C4821">
      <w:pPr>
        <w:jc w:val="both"/>
        <w:rPr>
          <w:rFonts w:cs="Arial"/>
          <w:b/>
          <w:color w:val="A60D1F"/>
          <w:sz w:val="18"/>
          <w:szCs w:val="18"/>
        </w:rPr>
      </w:pPr>
      <w:r w:rsidRPr="001A209B">
        <w:rPr>
          <w:rFonts w:cs="Arial"/>
          <w:b/>
          <w:color w:val="A60D1F"/>
          <w:sz w:val="18"/>
          <w:szCs w:val="18"/>
        </w:rPr>
        <w:t>5  Net finance costs and reconciliation to adjusted net finance costs</w:t>
      </w:r>
    </w:p>
    <w:tbl>
      <w:tblPr>
        <w:tblW w:w="5000" w:type="pct"/>
        <w:tblLook w:val="04A0" w:firstRow="1" w:lastRow="0" w:firstColumn="1" w:lastColumn="0" w:noHBand="0" w:noVBand="1"/>
      </w:tblPr>
      <w:tblGrid>
        <w:gridCol w:w="5755"/>
        <w:gridCol w:w="1232"/>
        <w:gridCol w:w="1047"/>
        <w:gridCol w:w="1232"/>
      </w:tblGrid>
      <w:tr w:rsidR="004C4821" w:rsidRPr="001A209B" w:rsidTr="004C4821">
        <w:trPr>
          <w:trHeight w:val="960"/>
        </w:trPr>
        <w:tc>
          <w:tcPr>
            <w:tcW w:w="310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 million</w:t>
            </w:r>
          </w:p>
        </w:tc>
        <w:tc>
          <w:tcPr>
            <w:tcW w:w="665" w:type="pct"/>
            <w:tcBorders>
              <w:top w:val="nil"/>
              <w:left w:val="nil"/>
              <w:bottom w:val="single" w:sz="4" w:space="0" w:color="800000"/>
              <w:right w:val="nil"/>
            </w:tcBorders>
            <w:shd w:val="clear" w:color="000000" w:fill="FFFFFF"/>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6 months </w:t>
            </w:r>
            <w:r w:rsidRPr="001A209B">
              <w:rPr>
                <w:rFonts w:cs="Arial"/>
                <w:b/>
                <w:bCs/>
                <w:color w:val="800000"/>
                <w:sz w:val="18"/>
                <w:szCs w:val="18"/>
              </w:rPr>
              <w:br/>
              <w:t xml:space="preserve">ended </w:t>
            </w:r>
            <w:r w:rsidRPr="001A209B">
              <w:rPr>
                <w:rFonts w:cs="Arial"/>
                <w:b/>
                <w:bCs/>
                <w:color w:val="800000"/>
                <w:sz w:val="18"/>
                <w:szCs w:val="18"/>
              </w:rPr>
              <w:br/>
              <w:t xml:space="preserve">31 March </w:t>
            </w:r>
            <w:r w:rsidRPr="001A209B">
              <w:rPr>
                <w:rFonts w:cs="Arial"/>
                <w:b/>
                <w:bCs/>
                <w:color w:val="800000"/>
                <w:sz w:val="18"/>
                <w:szCs w:val="18"/>
              </w:rPr>
              <w:br/>
              <w:t xml:space="preserve">2014 </w:t>
            </w:r>
          </w:p>
        </w:tc>
        <w:tc>
          <w:tcPr>
            <w:tcW w:w="565" w:type="pct"/>
            <w:tcBorders>
              <w:top w:val="nil"/>
              <w:left w:val="nil"/>
              <w:bottom w:val="single" w:sz="4" w:space="0" w:color="800000"/>
              <w:right w:val="nil"/>
            </w:tcBorders>
            <w:shd w:val="clear" w:color="000000" w:fill="FFFFFF"/>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 xml:space="preserve">6 months </w:t>
            </w:r>
            <w:r w:rsidRPr="001A209B">
              <w:rPr>
                <w:rFonts w:cs="Arial"/>
                <w:color w:val="000000"/>
                <w:sz w:val="18"/>
                <w:szCs w:val="18"/>
              </w:rPr>
              <w:br/>
              <w:t xml:space="preserve">ended </w:t>
            </w:r>
            <w:r w:rsidRPr="001A209B">
              <w:rPr>
                <w:rFonts w:cs="Arial"/>
                <w:color w:val="000000"/>
                <w:sz w:val="18"/>
                <w:szCs w:val="18"/>
              </w:rPr>
              <w:br/>
              <w:t xml:space="preserve">31 March </w:t>
            </w:r>
            <w:r w:rsidRPr="001A209B">
              <w:rPr>
                <w:rFonts w:cs="Arial"/>
                <w:color w:val="000000"/>
                <w:sz w:val="18"/>
                <w:szCs w:val="18"/>
              </w:rPr>
              <w:br/>
              <w:t xml:space="preserve">2013 </w:t>
            </w:r>
          </w:p>
        </w:tc>
        <w:tc>
          <w:tcPr>
            <w:tcW w:w="665" w:type="pct"/>
            <w:tcBorders>
              <w:top w:val="nil"/>
              <w:left w:val="nil"/>
              <w:bottom w:val="single" w:sz="4" w:space="0" w:color="800000"/>
              <w:right w:val="nil"/>
            </w:tcBorders>
            <w:shd w:val="clear" w:color="000000" w:fill="FFFFFF"/>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Year ended</w:t>
            </w:r>
            <w:r w:rsidRPr="001A209B">
              <w:rPr>
                <w:rFonts w:cs="Arial"/>
                <w:color w:val="000000"/>
                <w:sz w:val="18"/>
                <w:szCs w:val="18"/>
              </w:rPr>
              <w:br/>
              <w:t>30 September</w:t>
            </w:r>
            <w:r w:rsidRPr="001A209B">
              <w:rPr>
                <w:rFonts w:cs="Arial"/>
                <w:color w:val="000000"/>
                <w:sz w:val="18"/>
                <w:szCs w:val="18"/>
              </w:rPr>
              <w:br/>
              <w:t xml:space="preserve">2013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Reported net finance costs per consolidated income statement</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351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371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739 </w:t>
            </w:r>
          </w:p>
        </w:tc>
      </w:tr>
      <w:tr w:rsidR="004C4821" w:rsidRPr="001A209B" w:rsidTr="004C4821">
        <w:trPr>
          <w:trHeight w:val="240"/>
        </w:trPr>
        <w:tc>
          <w:tcPr>
            <w:tcW w:w="3105" w:type="pct"/>
            <w:tcBorders>
              <w:top w:val="single" w:sz="4" w:space="0" w:color="800000"/>
              <w:left w:val="single" w:sz="4" w:space="0" w:color="800000"/>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 xml:space="preserve">Fair value gains on derivative financial instruments </w:t>
            </w:r>
          </w:p>
        </w:tc>
        <w:tc>
          <w:tcPr>
            <w:tcW w:w="665" w:type="pct"/>
            <w:tcBorders>
              <w:top w:val="single" w:sz="4" w:space="0" w:color="800000"/>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193 </w:t>
            </w:r>
          </w:p>
        </w:tc>
        <w:tc>
          <w:tcPr>
            <w:tcW w:w="565" w:type="pct"/>
            <w:tcBorders>
              <w:top w:val="single" w:sz="4" w:space="0" w:color="800000"/>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386 </w:t>
            </w:r>
          </w:p>
        </w:tc>
        <w:tc>
          <w:tcPr>
            <w:tcW w:w="665" w:type="pct"/>
            <w:tcBorders>
              <w:top w:val="single" w:sz="4" w:space="0" w:color="800000"/>
              <w:left w:val="nil"/>
              <w:bottom w:val="nil"/>
              <w:right w:val="single" w:sz="4" w:space="0" w:color="800000"/>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590 </w:t>
            </w:r>
          </w:p>
        </w:tc>
      </w:tr>
      <w:tr w:rsidR="004C4821" w:rsidRPr="001A209B" w:rsidTr="004C4821">
        <w:trPr>
          <w:trHeight w:val="240"/>
        </w:trPr>
        <w:tc>
          <w:tcPr>
            <w:tcW w:w="3105" w:type="pct"/>
            <w:tcBorders>
              <w:top w:val="nil"/>
              <w:left w:val="single" w:sz="4" w:space="0" w:color="800000"/>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 xml:space="preserve">Fair value losses on derivative financial instruments </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(169)</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(343)</w:t>
            </w:r>
          </w:p>
        </w:tc>
        <w:tc>
          <w:tcPr>
            <w:tcW w:w="665" w:type="pct"/>
            <w:tcBorders>
              <w:top w:val="nil"/>
              <w:left w:val="nil"/>
              <w:bottom w:val="nil"/>
              <w:right w:val="single" w:sz="4" w:space="0" w:color="800000"/>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(688)</w:t>
            </w:r>
          </w:p>
        </w:tc>
      </w:tr>
      <w:tr w:rsidR="004C4821" w:rsidRPr="001A209B" w:rsidTr="004C4821">
        <w:trPr>
          <w:trHeight w:val="240"/>
        </w:trPr>
        <w:tc>
          <w:tcPr>
            <w:tcW w:w="3105" w:type="pct"/>
            <w:tcBorders>
              <w:top w:val="nil"/>
              <w:left w:val="single" w:sz="4" w:space="0" w:color="800000"/>
              <w:bottom w:val="single" w:sz="4"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Exchange losses on financing activities</w:t>
            </w:r>
          </w:p>
        </w:tc>
        <w:tc>
          <w:tcPr>
            <w:tcW w:w="665" w:type="pct"/>
            <w:tcBorders>
              <w:top w:val="nil"/>
              <w:left w:val="nil"/>
              <w:bottom w:val="single" w:sz="4" w:space="0" w:color="800000"/>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(99)</w:t>
            </w:r>
          </w:p>
        </w:tc>
        <w:tc>
          <w:tcPr>
            <w:tcW w:w="56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(130)</w:t>
            </w:r>
          </w:p>
        </w:tc>
        <w:tc>
          <w:tcPr>
            <w:tcW w:w="665" w:type="pct"/>
            <w:tcBorders>
              <w:top w:val="nil"/>
              <w:left w:val="nil"/>
              <w:bottom w:val="single" w:sz="4" w:space="0" w:color="800000"/>
              <w:right w:val="single" w:sz="4" w:space="0" w:color="800000"/>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(58)</w:t>
            </w:r>
          </w:p>
        </w:tc>
      </w:tr>
      <w:tr w:rsidR="004C4821" w:rsidRPr="001A209B" w:rsidTr="004C4821">
        <w:trPr>
          <w:trHeight w:val="240"/>
        </w:trPr>
        <w:tc>
          <w:tcPr>
            <w:tcW w:w="3105" w:type="pct"/>
            <w:tcBorders>
              <w:top w:val="nil"/>
              <w:left w:val="nil"/>
              <w:bottom w:val="single" w:sz="4" w:space="0" w:color="800000"/>
              <w:right w:val="nil"/>
            </w:tcBorders>
            <w:shd w:val="clear" w:color="000000" w:fill="FFFFFF"/>
            <w:hideMark/>
          </w:tcPr>
          <w:p w:rsidR="004C4821" w:rsidRPr="001A209B" w:rsidRDefault="004C4821" w:rsidP="004C4821">
            <w:pPr>
              <w:rPr>
                <w:rFonts w:cs="Arial"/>
                <w:sz w:val="18"/>
                <w:szCs w:val="18"/>
              </w:rPr>
            </w:pPr>
            <w:r w:rsidRPr="001A209B">
              <w:rPr>
                <w:rFonts w:cs="Arial"/>
                <w:sz w:val="18"/>
                <w:szCs w:val="18"/>
              </w:rPr>
              <w:t xml:space="preserve">Net fair value and exchange losses on financial instruments </w:t>
            </w:r>
          </w:p>
        </w:tc>
        <w:tc>
          <w:tcPr>
            <w:tcW w:w="665" w:type="pct"/>
            <w:tcBorders>
              <w:top w:val="nil"/>
              <w:left w:val="nil"/>
              <w:bottom w:val="nil"/>
              <w:right w:val="nil"/>
            </w:tcBorders>
            <w:shd w:val="clear" w:color="000000" w:fill="C0C0C0"/>
            <w:noWrap/>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(75)</w:t>
            </w:r>
          </w:p>
        </w:tc>
        <w:tc>
          <w:tcPr>
            <w:tcW w:w="565" w:type="pct"/>
            <w:tcBorders>
              <w:top w:val="nil"/>
              <w:left w:val="nil"/>
              <w:bottom w:val="nil"/>
              <w:right w:val="nil"/>
            </w:tcBorders>
            <w:shd w:val="clear" w:color="000000" w:fill="FFFFFF"/>
            <w:noWrap/>
            <w:hideMark/>
          </w:tcPr>
          <w:p w:rsidR="004C4821" w:rsidRPr="001A209B" w:rsidRDefault="004C4821" w:rsidP="004C4821">
            <w:pPr>
              <w:jc w:val="right"/>
              <w:rPr>
                <w:rFonts w:cs="Arial"/>
                <w:sz w:val="18"/>
                <w:szCs w:val="18"/>
              </w:rPr>
            </w:pPr>
            <w:r w:rsidRPr="001A209B">
              <w:rPr>
                <w:rFonts w:cs="Arial"/>
                <w:sz w:val="18"/>
                <w:szCs w:val="18"/>
              </w:rPr>
              <w:t>(87)</w:t>
            </w:r>
          </w:p>
        </w:tc>
        <w:tc>
          <w:tcPr>
            <w:tcW w:w="665" w:type="pct"/>
            <w:tcBorders>
              <w:top w:val="nil"/>
              <w:left w:val="nil"/>
              <w:bottom w:val="nil"/>
              <w:right w:val="nil"/>
            </w:tcBorders>
            <w:shd w:val="clear" w:color="000000" w:fill="FFFFFF"/>
            <w:noWrap/>
            <w:hideMark/>
          </w:tcPr>
          <w:p w:rsidR="004C4821" w:rsidRPr="001A209B" w:rsidRDefault="004C4821" w:rsidP="004C4821">
            <w:pPr>
              <w:jc w:val="right"/>
              <w:rPr>
                <w:rFonts w:cs="Arial"/>
                <w:sz w:val="18"/>
                <w:szCs w:val="18"/>
              </w:rPr>
            </w:pPr>
            <w:r w:rsidRPr="001A209B">
              <w:rPr>
                <w:rFonts w:cs="Arial"/>
                <w:sz w:val="18"/>
                <w:szCs w:val="18"/>
              </w:rPr>
              <w:t>(156)</w:t>
            </w:r>
          </w:p>
        </w:tc>
      </w:tr>
      <w:tr w:rsidR="004C4821" w:rsidRPr="001A209B" w:rsidTr="004C4821">
        <w:trPr>
          <w:trHeight w:val="240"/>
        </w:trPr>
        <w:tc>
          <w:tcPr>
            <w:tcW w:w="3105" w:type="pct"/>
            <w:tcBorders>
              <w:top w:val="nil"/>
              <w:left w:val="single" w:sz="4" w:space="0" w:color="800000"/>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Interest income on net defined benefit assets</w:t>
            </w:r>
          </w:p>
        </w:tc>
        <w:tc>
          <w:tcPr>
            <w:tcW w:w="665" w:type="pct"/>
            <w:tcBorders>
              <w:top w:val="single" w:sz="4" w:space="0" w:color="800000"/>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69 </w:t>
            </w:r>
          </w:p>
        </w:tc>
        <w:tc>
          <w:tcPr>
            <w:tcW w:w="565" w:type="pct"/>
            <w:tcBorders>
              <w:top w:val="single" w:sz="4" w:space="0" w:color="800000"/>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64 </w:t>
            </w:r>
          </w:p>
        </w:tc>
        <w:tc>
          <w:tcPr>
            <w:tcW w:w="665" w:type="pct"/>
            <w:tcBorders>
              <w:top w:val="single" w:sz="4" w:space="0" w:color="800000"/>
              <w:left w:val="nil"/>
              <w:bottom w:val="nil"/>
              <w:right w:val="single" w:sz="4" w:space="0" w:color="800000"/>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126 </w:t>
            </w:r>
          </w:p>
        </w:tc>
      </w:tr>
      <w:tr w:rsidR="004C4821" w:rsidRPr="001A209B" w:rsidTr="004C4821">
        <w:trPr>
          <w:trHeight w:val="240"/>
        </w:trPr>
        <w:tc>
          <w:tcPr>
            <w:tcW w:w="3105" w:type="pct"/>
            <w:tcBorders>
              <w:top w:val="nil"/>
              <w:left w:val="single" w:sz="4" w:space="0" w:color="800000"/>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Interest cost on net defined benefit liabilities</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(88)</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(84)</w:t>
            </w:r>
          </w:p>
        </w:tc>
        <w:tc>
          <w:tcPr>
            <w:tcW w:w="665" w:type="pct"/>
            <w:tcBorders>
              <w:top w:val="nil"/>
              <w:left w:val="nil"/>
              <w:bottom w:val="nil"/>
              <w:right w:val="single" w:sz="4" w:space="0" w:color="800000"/>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(168)</w:t>
            </w:r>
          </w:p>
        </w:tc>
      </w:tr>
      <w:tr w:rsidR="004C4821" w:rsidRPr="001A209B" w:rsidTr="004C4821">
        <w:trPr>
          <w:trHeight w:val="240"/>
        </w:trPr>
        <w:tc>
          <w:tcPr>
            <w:tcW w:w="3105" w:type="pct"/>
            <w:tcBorders>
              <w:top w:val="nil"/>
              <w:left w:val="single" w:sz="4" w:space="0" w:color="800000"/>
              <w:bottom w:val="single" w:sz="4"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Unwind of discount on redundancy and other long-term provisions</w:t>
            </w:r>
          </w:p>
        </w:tc>
        <w:tc>
          <w:tcPr>
            <w:tcW w:w="665" w:type="pct"/>
            <w:tcBorders>
              <w:top w:val="nil"/>
              <w:left w:val="nil"/>
              <w:bottom w:val="single" w:sz="4" w:space="0" w:color="800000"/>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(2)</w:t>
            </w:r>
          </w:p>
        </w:tc>
        <w:tc>
          <w:tcPr>
            <w:tcW w:w="56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(1)</w:t>
            </w:r>
          </w:p>
        </w:tc>
        <w:tc>
          <w:tcPr>
            <w:tcW w:w="665" w:type="pct"/>
            <w:tcBorders>
              <w:top w:val="nil"/>
              <w:left w:val="nil"/>
              <w:bottom w:val="single" w:sz="4" w:space="0" w:color="800000"/>
              <w:right w:val="single" w:sz="4" w:space="0" w:color="800000"/>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(9)</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Post-employment benefits net financing cost</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(21)</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(21)</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(51)</w:t>
            </w:r>
          </w:p>
        </w:tc>
      </w:tr>
      <w:tr w:rsidR="004C4821" w:rsidRPr="001A209B" w:rsidTr="004C4821">
        <w:trPr>
          <w:trHeight w:val="255"/>
        </w:trPr>
        <w:tc>
          <w:tcPr>
            <w:tcW w:w="3105" w:type="pct"/>
            <w:tcBorders>
              <w:top w:val="single" w:sz="4" w:space="0" w:color="800000"/>
              <w:left w:val="nil"/>
              <w:bottom w:val="single" w:sz="8"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Adjusted net finance costs</w:t>
            </w:r>
          </w:p>
        </w:tc>
        <w:tc>
          <w:tcPr>
            <w:tcW w:w="665" w:type="pct"/>
            <w:tcBorders>
              <w:top w:val="single" w:sz="4" w:space="0" w:color="800000"/>
              <w:left w:val="nil"/>
              <w:bottom w:val="single" w:sz="8" w:space="0" w:color="800000"/>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255 </w:t>
            </w:r>
          </w:p>
        </w:tc>
        <w:tc>
          <w:tcPr>
            <w:tcW w:w="565" w:type="pct"/>
            <w:tcBorders>
              <w:top w:val="single" w:sz="4" w:space="0" w:color="800000"/>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263 </w:t>
            </w:r>
          </w:p>
        </w:tc>
        <w:tc>
          <w:tcPr>
            <w:tcW w:w="665" w:type="pct"/>
            <w:tcBorders>
              <w:top w:val="single" w:sz="4" w:space="0" w:color="800000"/>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532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Comprising</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rPr>
                <w:rFonts w:cs="Arial"/>
                <w:b/>
                <w:bCs/>
                <w:color w:val="800000"/>
                <w:sz w:val="18"/>
                <w:szCs w:val="18"/>
              </w:rPr>
            </w:pPr>
            <w:r w:rsidRPr="001A209B">
              <w:rPr>
                <w:rFonts w:cs="Arial"/>
                <w:b/>
                <w:bCs/>
                <w:color w:val="800000"/>
                <w:sz w:val="18"/>
                <w:szCs w:val="18"/>
              </w:rPr>
              <w:t>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Interest on bank deposits</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(4)</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(4)</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(8)</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Interest on bank loans and other loans</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259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267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540 </w:t>
            </w:r>
          </w:p>
        </w:tc>
      </w:tr>
      <w:tr w:rsidR="004C4821" w:rsidRPr="001A209B" w:rsidTr="004C4821">
        <w:trPr>
          <w:trHeight w:val="255"/>
        </w:trPr>
        <w:tc>
          <w:tcPr>
            <w:tcW w:w="3105" w:type="pct"/>
            <w:tcBorders>
              <w:top w:val="single" w:sz="4" w:space="0" w:color="800000"/>
              <w:left w:val="nil"/>
              <w:bottom w:val="single" w:sz="8"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Adjusted net finance costs</w:t>
            </w:r>
          </w:p>
        </w:tc>
        <w:tc>
          <w:tcPr>
            <w:tcW w:w="665" w:type="pct"/>
            <w:tcBorders>
              <w:top w:val="single" w:sz="4" w:space="0" w:color="800000"/>
              <w:left w:val="nil"/>
              <w:bottom w:val="single" w:sz="8" w:space="0" w:color="800000"/>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255 </w:t>
            </w:r>
          </w:p>
        </w:tc>
        <w:tc>
          <w:tcPr>
            <w:tcW w:w="565" w:type="pct"/>
            <w:tcBorders>
              <w:top w:val="single" w:sz="4" w:space="0" w:color="800000"/>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263 </w:t>
            </w:r>
          </w:p>
        </w:tc>
        <w:tc>
          <w:tcPr>
            <w:tcW w:w="665" w:type="pct"/>
            <w:tcBorders>
              <w:top w:val="single" w:sz="4" w:space="0" w:color="800000"/>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532 </w:t>
            </w:r>
          </w:p>
        </w:tc>
      </w:tr>
    </w:tbl>
    <w:p w:rsidR="004C4821" w:rsidRPr="001A209B" w:rsidRDefault="004C4821" w:rsidP="004C4821">
      <w:pPr>
        <w:jc w:val="both"/>
        <w:rPr>
          <w:rFonts w:cs="Arial"/>
          <w:b/>
          <w:color w:val="A60D1F"/>
          <w:sz w:val="18"/>
          <w:szCs w:val="18"/>
        </w:rPr>
      </w:pPr>
    </w:p>
    <w:p w:rsidR="004C4821" w:rsidRPr="001A209B" w:rsidRDefault="004C4821" w:rsidP="004C4821">
      <w:pPr>
        <w:jc w:val="both"/>
        <w:rPr>
          <w:rFonts w:cs="Arial"/>
          <w:b/>
          <w:color w:val="A60D1F"/>
          <w:sz w:val="18"/>
          <w:szCs w:val="18"/>
        </w:rPr>
      </w:pPr>
    </w:p>
    <w:p w:rsidR="004C4821" w:rsidRPr="001A209B" w:rsidRDefault="004C4821" w:rsidP="004C4821">
      <w:pPr>
        <w:jc w:val="both"/>
        <w:rPr>
          <w:rFonts w:cs="Arial"/>
          <w:b/>
          <w:color w:val="A60D1F"/>
          <w:sz w:val="18"/>
          <w:szCs w:val="18"/>
        </w:rPr>
      </w:pPr>
      <w:r w:rsidRPr="001A209B">
        <w:rPr>
          <w:rFonts w:cs="Arial"/>
          <w:b/>
          <w:color w:val="A60D1F"/>
          <w:sz w:val="18"/>
          <w:szCs w:val="18"/>
        </w:rPr>
        <w:t>6  Taxation and reconciliation to adjusted tax charge</w:t>
      </w:r>
    </w:p>
    <w:p w:rsidR="004C4821" w:rsidRPr="001A209B" w:rsidRDefault="004C4821" w:rsidP="004C4821">
      <w:pPr>
        <w:jc w:val="both"/>
        <w:rPr>
          <w:rFonts w:cs="Arial"/>
          <w:sz w:val="18"/>
          <w:szCs w:val="18"/>
        </w:rPr>
      </w:pPr>
      <w:r w:rsidRPr="001A209B">
        <w:rPr>
          <w:rFonts w:cs="Arial"/>
          <w:sz w:val="18"/>
          <w:szCs w:val="18"/>
        </w:rPr>
        <w:t>Reported tax for the six months ended 31 March 2014 has been calculated on the basis of an estimated effective tax rate for the year ended 30 September 2014.</w:t>
      </w:r>
    </w:p>
    <w:tbl>
      <w:tblPr>
        <w:tblW w:w="5000" w:type="pct"/>
        <w:tblLook w:val="04A0" w:firstRow="1" w:lastRow="0" w:firstColumn="1" w:lastColumn="0" w:noHBand="0" w:noVBand="1"/>
      </w:tblPr>
      <w:tblGrid>
        <w:gridCol w:w="5755"/>
        <w:gridCol w:w="1232"/>
        <w:gridCol w:w="1047"/>
        <w:gridCol w:w="1232"/>
      </w:tblGrid>
      <w:tr w:rsidR="004C4821" w:rsidRPr="001A209B" w:rsidTr="009719C4">
        <w:trPr>
          <w:trHeight w:val="960"/>
        </w:trPr>
        <w:tc>
          <w:tcPr>
            <w:tcW w:w="3105" w:type="pct"/>
            <w:tcBorders>
              <w:top w:val="nil"/>
              <w:left w:val="nil"/>
              <w:bottom w:val="single" w:sz="4" w:space="0" w:color="A60D1F"/>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 million</w:t>
            </w:r>
          </w:p>
        </w:tc>
        <w:tc>
          <w:tcPr>
            <w:tcW w:w="665" w:type="pct"/>
            <w:tcBorders>
              <w:top w:val="nil"/>
              <w:left w:val="nil"/>
              <w:bottom w:val="single" w:sz="4" w:space="0" w:color="A60D1F"/>
              <w:right w:val="nil"/>
            </w:tcBorders>
            <w:shd w:val="clear" w:color="000000" w:fill="FFFFFF"/>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6 months </w:t>
            </w:r>
            <w:r w:rsidRPr="001A209B">
              <w:rPr>
                <w:rFonts w:cs="Arial"/>
                <w:b/>
                <w:bCs/>
                <w:color w:val="800000"/>
                <w:sz w:val="18"/>
                <w:szCs w:val="18"/>
              </w:rPr>
              <w:br/>
              <w:t xml:space="preserve">ended </w:t>
            </w:r>
            <w:r w:rsidRPr="001A209B">
              <w:rPr>
                <w:rFonts w:cs="Arial"/>
                <w:b/>
                <w:bCs/>
                <w:color w:val="800000"/>
                <w:sz w:val="18"/>
                <w:szCs w:val="18"/>
              </w:rPr>
              <w:br/>
              <w:t xml:space="preserve">31 March </w:t>
            </w:r>
            <w:r w:rsidRPr="001A209B">
              <w:rPr>
                <w:rFonts w:cs="Arial"/>
                <w:b/>
                <w:bCs/>
                <w:color w:val="800000"/>
                <w:sz w:val="18"/>
                <w:szCs w:val="18"/>
              </w:rPr>
              <w:br/>
              <w:t xml:space="preserve">2014 </w:t>
            </w:r>
          </w:p>
        </w:tc>
        <w:tc>
          <w:tcPr>
            <w:tcW w:w="565" w:type="pct"/>
            <w:tcBorders>
              <w:top w:val="nil"/>
              <w:left w:val="nil"/>
              <w:bottom w:val="single" w:sz="4" w:space="0" w:color="A60D1F"/>
              <w:right w:val="nil"/>
            </w:tcBorders>
            <w:shd w:val="clear" w:color="000000" w:fill="FFFFFF"/>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 xml:space="preserve">6 months </w:t>
            </w:r>
            <w:r w:rsidRPr="001A209B">
              <w:rPr>
                <w:rFonts w:cs="Arial"/>
                <w:color w:val="000000"/>
                <w:sz w:val="18"/>
                <w:szCs w:val="18"/>
              </w:rPr>
              <w:br/>
              <w:t xml:space="preserve">ended </w:t>
            </w:r>
            <w:r w:rsidRPr="001A209B">
              <w:rPr>
                <w:rFonts w:cs="Arial"/>
                <w:color w:val="000000"/>
                <w:sz w:val="18"/>
                <w:szCs w:val="18"/>
              </w:rPr>
              <w:br/>
              <w:t xml:space="preserve">31 March </w:t>
            </w:r>
            <w:r w:rsidRPr="001A209B">
              <w:rPr>
                <w:rFonts w:cs="Arial"/>
                <w:color w:val="000000"/>
                <w:sz w:val="18"/>
                <w:szCs w:val="18"/>
              </w:rPr>
              <w:br/>
              <w:t xml:space="preserve">2013 </w:t>
            </w:r>
          </w:p>
        </w:tc>
        <w:tc>
          <w:tcPr>
            <w:tcW w:w="665" w:type="pct"/>
            <w:tcBorders>
              <w:top w:val="nil"/>
              <w:left w:val="nil"/>
              <w:bottom w:val="single" w:sz="4" w:space="0" w:color="A60D1F"/>
              <w:right w:val="nil"/>
            </w:tcBorders>
            <w:shd w:val="clear" w:color="000000" w:fill="FFFFFF"/>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Year ended</w:t>
            </w:r>
            <w:r w:rsidRPr="001A209B">
              <w:rPr>
                <w:rFonts w:cs="Arial"/>
                <w:color w:val="000000"/>
                <w:sz w:val="18"/>
                <w:szCs w:val="18"/>
              </w:rPr>
              <w:br/>
              <w:t>30 September</w:t>
            </w:r>
            <w:r w:rsidRPr="001A209B">
              <w:rPr>
                <w:rFonts w:cs="Arial"/>
                <w:color w:val="000000"/>
                <w:sz w:val="18"/>
                <w:szCs w:val="18"/>
              </w:rPr>
              <w:br/>
              <w:t xml:space="preserve">2013 </w:t>
            </w:r>
          </w:p>
        </w:tc>
      </w:tr>
      <w:tr w:rsidR="004C4821" w:rsidRPr="001A209B" w:rsidTr="009719C4">
        <w:trPr>
          <w:trHeight w:val="240"/>
        </w:trPr>
        <w:tc>
          <w:tcPr>
            <w:tcW w:w="3105" w:type="pct"/>
            <w:tcBorders>
              <w:top w:val="single" w:sz="4" w:space="0" w:color="A60D1F"/>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Reported taxation per consolidated income statement</w:t>
            </w:r>
          </w:p>
        </w:tc>
        <w:tc>
          <w:tcPr>
            <w:tcW w:w="665" w:type="pct"/>
            <w:tcBorders>
              <w:top w:val="single" w:sz="4" w:space="0" w:color="A60D1F"/>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271 </w:t>
            </w:r>
          </w:p>
        </w:tc>
        <w:tc>
          <w:tcPr>
            <w:tcW w:w="565" w:type="pct"/>
            <w:tcBorders>
              <w:top w:val="single" w:sz="4" w:space="0" w:color="A60D1F"/>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208 </w:t>
            </w:r>
          </w:p>
        </w:tc>
        <w:tc>
          <w:tcPr>
            <w:tcW w:w="665" w:type="pct"/>
            <w:tcBorders>
              <w:top w:val="single" w:sz="4" w:space="0" w:color="A60D1F"/>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290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Deferred tax on amortisation of acquired intangibles</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(67)</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36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72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Deferred tax on impairment of acquired intangibles</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107 </w:t>
            </w:r>
          </w:p>
        </w:tc>
      </w:tr>
      <w:tr w:rsidR="004C4821" w:rsidRPr="001A209B" w:rsidTr="004C4821">
        <w:trPr>
          <w:trHeight w:val="480"/>
        </w:trPr>
        <w:tc>
          <w:tcPr>
            <w:tcW w:w="3105" w:type="pct"/>
            <w:tcBorders>
              <w:top w:val="nil"/>
              <w:left w:val="nil"/>
              <w:bottom w:val="nil"/>
              <w:right w:val="nil"/>
            </w:tcBorders>
            <w:shd w:val="clear" w:color="000000" w:fill="FFFFFF"/>
            <w:hideMark/>
          </w:tcPr>
          <w:p w:rsidR="004C4821" w:rsidRPr="001A209B" w:rsidRDefault="004C4821" w:rsidP="004C4821">
            <w:pPr>
              <w:rPr>
                <w:rFonts w:cs="Arial"/>
                <w:sz w:val="18"/>
                <w:szCs w:val="18"/>
              </w:rPr>
            </w:pPr>
            <w:r w:rsidRPr="001A209B">
              <w:rPr>
                <w:rFonts w:cs="Arial"/>
                <w:sz w:val="18"/>
                <w:szCs w:val="18"/>
              </w:rPr>
              <w:t>Tax on net fair value and exchange losses on financial instruments providing commercial hedges</w:t>
            </w:r>
          </w:p>
        </w:tc>
        <w:tc>
          <w:tcPr>
            <w:tcW w:w="665" w:type="pct"/>
            <w:tcBorders>
              <w:top w:val="nil"/>
              <w:left w:val="nil"/>
              <w:bottom w:val="nil"/>
              <w:right w:val="nil"/>
            </w:tcBorders>
            <w:shd w:val="clear" w:color="000000" w:fill="C0C0C0"/>
            <w:noWrap/>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17 </w:t>
            </w:r>
          </w:p>
        </w:tc>
        <w:tc>
          <w:tcPr>
            <w:tcW w:w="565" w:type="pct"/>
            <w:tcBorders>
              <w:top w:val="nil"/>
              <w:left w:val="nil"/>
              <w:bottom w:val="nil"/>
              <w:right w:val="nil"/>
            </w:tcBorders>
            <w:shd w:val="clear" w:color="000000" w:fill="FFFFFF"/>
            <w:noWrap/>
            <w:hideMark/>
          </w:tcPr>
          <w:p w:rsidR="004C4821" w:rsidRPr="001A209B" w:rsidRDefault="004C4821" w:rsidP="004C4821">
            <w:pPr>
              <w:jc w:val="right"/>
              <w:rPr>
                <w:rFonts w:cs="Arial"/>
                <w:sz w:val="18"/>
                <w:szCs w:val="18"/>
              </w:rPr>
            </w:pPr>
            <w:r w:rsidRPr="001A209B">
              <w:rPr>
                <w:rFonts w:cs="Arial"/>
                <w:sz w:val="18"/>
                <w:szCs w:val="18"/>
              </w:rPr>
              <w:t xml:space="preserve">5 </w:t>
            </w:r>
          </w:p>
        </w:tc>
        <w:tc>
          <w:tcPr>
            <w:tcW w:w="665" w:type="pct"/>
            <w:tcBorders>
              <w:top w:val="nil"/>
              <w:left w:val="nil"/>
              <w:bottom w:val="nil"/>
              <w:right w:val="nil"/>
            </w:tcBorders>
            <w:shd w:val="clear" w:color="000000" w:fill="FFFFFF"/>
            <w:noWrap/>
            <w:hideMark/>
          </w:tcPr>
          <w:p w:rsidR="004C4821" w:rsidRPr="001A209B" w:rsidRDefault="004C4821" w:rsidP="004C4821">
            <w:pPr>
              <w:jc w:val="right"/>
              <w:rPr>
                <w:rFonts w:cs="Arial"/>
                <w:sz w:val="18"/>
                <w:szCs w:val="18"/>
              </w:rPr>
            </w:pPr>
            <w:r w:rsidRPr="001A209B">
              <w:rPr>
                <w:rFonts w:cs="Arial"/>
                <w:sz w:val="18"/>
                <w:szCs w:val="18"/>
              </w:rPr>
              <w:t xml:space="preserve">9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Tax on post-employment benefits net financing cost</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6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6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15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Tax on restructuring costs</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13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12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79 </w:t>
            </w:r>
          </w:p>
        </w:tc>
      </w:tr>
      <w:tr w:rsidR="004C4821" w:rsidRPr="001A209B" w:rsidTr="004C4821">
        <w:trPr>
          <w:trHeight w:val="255"/>
        </w:trPr>
        <w:tc>
          <w:tcPr>
            <w:tcW w:w="3105" w:type="pct"/>
            <w:tcBorders>
              <w:top w:val="single" w:sz="4" w:space="0" w:color="800000"/>
              <w:left w:val="nil"/>
              <w:bottom w:val="single" w:sz="8"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Adjusted tax charge</w:t>
            </w:r>
          </w:p>
        </w:tc>
        <w:tc>
          <w:tcPr>
            <w:tcW w:w="665" w:type="pct"/>
            <w:tcBorders>
              <w:top w:val="single" w:sz="4" w:space="0" w:color="800000"/>
              <w:left w:val="nil"/>
              <w:bottom w:val="single" w:sz="8" w:space="0" w:color="800000"/>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240 </w:t>
            </w:r>
          </w:p>
        </w:tc>
        <w:tc>
          <w:tcPr>
            <w:tcW w:w="565" w:type="pct"/>
            <w:tcBorders>
              <w:top w:val="single" w:sz="4" w:space="0" w:color="800000"/>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 xml:space="preserve">267 </w:t>
            </w:r>
          </w:p>
        </w:tc>
        <w:tc>
          <w:tcPr>
            <w:tcW w:w="665" w:type="pct"/>
            <w:tcBorders>
              <w:top w:val="single" w:sz="4" w:space="0" w:color="800000"/>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 xml:space="preserve">572 </w:t>
            </w:r>
          </w:p>
        </w:tc>
      </w:tr>
    </w:tbl>
    <w:p w:rsidR="004C4821" w:rsidRPr="001A209B" w:rsidRDefault="004C4821" w:rsidP="004C4821">
      <w:pPr>
        <w:jc w:val="both"/>
        <w:rPr>
          <w:rFonts w:cs="Arial"/>
          <w:sz w:val="18"/>
          <w:szCs w:val="18"/>
        </w:rPr>
      </w:pPr>
    </w:p>
    <w:p w:rsidR="00C40103" w:rsidRPr="001A209B" w:rsidRDefault="00C40103">
      <w:pPr>
        <w:rPr>
          <w:rFonts w:cs="Arial"/>
          <w:sz w:val="18"/>
          <w:szCs w:val="18"/>
        </w:rPr>
      </w:pPr>
      <w:r w:rsidRPr="001A209B">
        <w:rPr>
          <w:rFonts w:cs="Arial"/>
          <w:sz w:val="18"/>
          <w:szCs w:val="18"/>
        </w:rPr>
        <w:br w:type="page"/>
      </w:r>
    </w:p>
    <w:p w:rsidR="00FA670E" w:rsidRPr="001A209B" w:rsidRDefault="00FA670E" w:rsidP="004C4821">
      <w:pPr>
        <w:jc w:val="both"/>
        <w:rPr>
          <w:rFonts w:cs="Arial"/>
          <w:sz w:val="18"/>
          <w:szCs w:val="18"/>
        </w:rPr>
      </w:pPr>
      <w:r w:rsidRPr="001A209B">
        <w:rPr>
          <w:rFonts w:cs="Arial"/>
          <w:sz w:val="18"/>
          <w:szCs w:val="18"/>
        </w:rPr>
        <w:t>The change in the UK Corporation Tax rate to 21 per cent from 1 April 2014 does not have a material impact on the Group's tax position.</w:t>
      </w:r>
    </w:p>
    <w:p w:rsidR="00FA670E" w:rsidRPr="001A209B" w:rsidRDefault="00FA670E" w:rsidP="004C4821">
      <w:pPr>
        <w:jc w:val="both"/>
        <w:rPr>
          <w:rFonts w:cs="Arial"/>
          <w:sz w:val="18"/>
          <w:szCs w:val="18"/>
        </w:rPr>
      </w:pPr>
    </w:p>
    <w:p w:rsidR="004C4821" w:rsidRPr="001A209B" w:rsidRDefault="00C40103" w:rsidP="004C4821">
      <w:pPr>
        <w:jc w:val="both"/>
        <w:rPr>
          <w:rFonts w:cs="Arial"/>
          <w:b/>
          <w:color w:val="A60D1F"/>
          <w:sz w:val="18"/>
          <w:szCs w:val="18"/>
        </w:rPr>
      </w:pPr>
      <w:r w:rsidRPr="001A209B">
        <w:rPr>
          <w:rFonts w:cs="Arial"/>
          <w:sz w:val="18"/>
          <w:szCs w:val="18"/>
        </w:rPr>
        <w:t>On 30 December 2013 the effective rate applicable to French profits increased to 38 per cent.  This rate change resulted in an additional deferred tax charge of £142 million in respect of acquired intangibles being recognised in the consolidated income statement for the six months ended 31 March 2014.  This has been excluded from our adjusted tax charge in line with our existing policy regarding the treatment of deferred tax on acquired intangibles.</w:t>
      </w:r>
    </w:p>
    <w:p w:rsidR="004C4821" w:rsidRPr="001A209B" w:rsidRDefault="004C4821" w:rsidP="004C4821">
      <w:pPr>
        <w:jc w:val="both"/>
        <w:rPr>
          <w:rFonts w:cs="Arial"/>
          <w:b/>
          <w:color w:val="A60D1F"/>
          <w:sz w:val="18"/>
          <w:szCs w:val="18"/>
        </w:rPr>
      </w:pPr>
    </w:p>
    <w:p w:rsidR="00C40103" w:rsidRPr="001A209B" w:rsidRDefault="00C40103" w:rsidP="004C4821">
      <w:pPr>
        <w:jc w:val="both"/>
        <w:rPr>
          <w:rFonts w:cs="Arial"/>
          <w:b/>
          <w:color w:val="A60D1F"/>
          <w:sz w:val="18"/>
          <w:szCs w:val="18"/>
        </w:rPr>
      </w:pPr>
    </w:p>
    <w:p w:rsidR="004C4821" w:rsidRPr="001A209B" w:rsidRDefault="004C4821" w:rsidP="004C4821">
      <w:pPr>
        <w:jc w:val="both"/>
        <w:rPr>
          <w:rFonts w:cs="Arial"/>
          <w:b/>
          <w:color w:val="A60D1F"/>
          <w:sz w:val="18"/>
          <w:szCs w:val="18"/>
        </w:rPr>
      </w:pPr>
      <w:r w:rsidRPr="001A209B">
        <w:rPr>
          <w:rFonts w:cs="Arial"/>
          <w:b/>
          <w:color w:val="A60D1F"/>
          <w:sz w:val="18"/>
          <w:szCs w:val="18"/>
        </w:rPr>
        <w:t>7  Dividends</w:t>
      </w:r>
    </w:p>
    <w:p w:rsidR="004C4821" w:rsidRPr="001A209B" w:rsidRDefault="004C4821" w:rsidP="004C4821">
      <w:pPr>
        <w:jc w:val="both"/>
        <w:rPr>
          <w:rFonts w:cs="Arial"/>
          <w:b/>
          <w:color w:val="A60D1F"/>
          <w:sz w:val="18"/>
          <w:szCs w:val="18"/>
        </w:rPr>
      </w:pPr>
      <w:r w:rsidRPr="001A209B">
        <w:rPr>
          <w:rFonts w:cs="Arial"/>
          <w:b/>
          <w:color w:val="A60D1F"/>
          <w:sz w:val="18"/>
          <w:szCs w:val="18"/>
        </w:rPr>
        <w:t>Dividend per share in respect of financial year</w:t>
      </w:r>
    </w:p>
    <w:p w:rsidR="007F0245" w:rsidRPr="001A209B" w:rsidRDefault="007F0245" w:rsidP="004C4821">
      <w:pPr>
        <w:jc w:val="both"/>
        <w:rPr>
          <w:rFonts w:cs="Arial"/>
          <w:b/>
          <w:color w:val="A60D1F"/>
          <w:sz w:val="18"/>
          <w:szCs w:val="18"/>
        </w:rPr>
      </w:pPr>
    </w:p>
    <w:tbl>
      <w:tblPr>
        <w:tblW w:w="5000" w:type="pct"/>
        <w:tblLook w:val="04A0" w:firstRow="1" w:lastRow="0" w:firstColumn="1" w:lastColumn="0" w:noHBand="0" w:noVBand="1"/>
      </w:tblPr>
      <w:tblGrid>
        <w:gridCol w:w="5755"/>
        <w:gridCol w:w="1232"/>
        <w:gridCol w:w="1047"/>
        <w:gridCol w:w="1232"/>
      </w:tblGrid>
      <w:tr w:rsidR="004C4821" w:rsidRPr="001A209B" w:rsidTr="004C4821">
        <w:trPr>
          <w:trHeight w:val="240"/>
        </w:trPr>
        <w:tc>
          <w:tcPr>
            <w:tcW w:w="310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Pence</w:t>
            </w:r>
          </w:p>
        </w:tc>
        <w:tc>
          <w:tcPr>
            <w:tcW w:w="66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2014 </w:t>
            </w:r>
          </w:p>
        </w:tc>
        <w:tc>
          <w:tcPr>
            <w:tcW w:w="56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 xml:space="preserve">2013 </w:t>
            </w:r>
          </w:p>
        </w:tc>
        <w:tc>
          <w:tcPr>
            <w:tcW w:w="66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 xml:space="preserve">2012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color w:val="000000"/>
                <w:sz w:val="18"/>
                <w:szCs w:val="18"/>
              </w:rPr>
            </w:pPr>
            <w:r w:rsidRPr="001A209B">
              <w:rPr>
                <w:rFonts w:cs="Arial"/>
                <w:color w:val="000000"/>
                <w:sz w:val="18"/>
                <w:szCs w:val="18"/>
              </w:rPr>
              <w:t>Interim</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38.8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35.2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31.7 </w:t>
            </w:r>
          </w:p>
        </w:tc>
      </w:tr>
      <w:tr w:rsidR="004C4821" w:rsidRPr="001A209B" w:rsidTr="004C4821">
        <w:trPr>
          <w:trHeight w:val="240"/>
        </w:trPr>
        <w:tc>
          <w:tcPr>
            <w:tcW w:w="310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rPr>
                <w:rFonts w:cs="Arial"/>
                <w:color w:val="000000"/>
                <w:sz w:val="18"/>
                <w:szCs w:val="18"/>
              </w:rPr>
            </w:pPr>
            <w:r w:rsidRPr="001A209B">
              <w:rPr>
                <w:rFonts w:cs="Arial"/>
                <w:color w:val="000000"/>
                <w:sz w:val="18"/>
                <w:szCs w:val="18"/>
              </w:rPr>
              <w:t>Final</w:t>
            </w:r>
          </w:p>
        </w:tc>
        <w:tc>
          <w:tcPr>
            <w:tcW w:w="665" w:type="pct"/>
            <w:tcBorders>
              <w:top w:val="nil"/>
              <w:left w:val="nil"/>
              <w:bottom w:val="single" w:sz="4" w:space="0" w:color="800000"/>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  </w:t>
            </w:r>
          </w:p>
        </w:tc>
        <w:tc>
          <w:tcPr>
            <w:tcW w:w="56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81.2 </w:t>
            </w:r>
          </w:p>
        </w:tc>
        <w:tc>
          <w:tcPr>
            <w:tcW w:w="66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73.9 </w:t>
            </w:r>
          </w:p>
        </w:tc>
      </w:tr>
      <w:tr w:rsidR="004C4821" w:rsidRPr="001A209B" w:rsidTr="004C4821">
        <w:trPr>
          <w:trHeight w:val="255"/>
        </w:trPr>
        <w:tc>
          <w:tcPr>
            <w:tcW w:w="3105" w:type="pct"/>
            <w:tcBorders>
              <w:top w:val="nil"/>
              <w:left w:val="nil"/>
              <w:bottom w:val="single" w:sz="8"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Total</w:t>
            </w:r>
          </w:p>
        </w:tc>
        <w:tc>
          <w:tcPr>
            <w:tcW w:w="665" w:type="pct"/>
            <w:tcBorders>
              <w:top w:val="nil"/>
              <w:left w:val="nil"/>
              <w:bottom w:val="single" w:sz="8" w:space="0" w:color="800000"/>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38.8 </w:t>
            </w:r>
          </w:p>
        </w:tc>
        <w:tc>
          <w:tcPr>
            <w:tcW w:w="565" w:type="pct"/>
            <w:tcBorders>
              <w:top w:val="nil"/>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116.4 </w:t>
            </w:r>
          </w:p>
        </w:tc>
        <w:tc>
          <w:tcPr>
            <w:tcW w:w="665" w:type="pct"/>
            <w:tcBorders>
              <w:top w:val="nil"/>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105.6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color w:val="000000"/>
                <w:sz w:val="18"/>
                <w:szCs w:val="18"/>
              </w:rPr>
            </w:pPr>
            <w:r w:rsidRPr="001A209B">
              <w:rPr>
                <w:rFonts w:cs="Arial"/>
                <w:color w:val="000000"/>
                <w:sz w:val="18"/>
                <w:szCs w:val="18"/>
              </w:rPr>
              <w:t>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rPr>
                <w:rFonts w:cs="Arial"/>
                <w:color w:val="000000"/>
                <w:sz w:val="18"/>
                <w:szCs w:val="18"/>
              </w:rPr>
            </w:pPr>
            <w:r w:rsidRPr="001A209B">
              <w:rPr>
                <w:rFonts w:cs="Arial"/>
                <w:color w:val="000000"/>
                <w:sz w:val="18"/>
                <w:szCs w:val="18"/>
              </w:rPr>
              <w:t>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rPr>
                <w:rFonts w:cs="Arial"/>
                <w:color w:val="000000"/>
                <w:sz w:val="18"/>
                <w:szCs w:val="18"/>
              </w:rPr>
            </w:pPr>
            <w:r w:rsidRPr="001A209B">
              <w:rPr>
                <w:rFonts w:cs="Arial"/>
                <w:color w:val="000000"/>
                <w:sz w:val="18"/>
                <w:szCs w:val="18"/>
              </w:rPr>
              <w:t>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rPr>
                <w:rFonts w:cs="Arial"/>
                <w:color w:val="000000"/>
                <w:sz w:val="18"/>
                <w:szCs w:val="18"/>
              </w:rPr>
            </w:pPr>
            <w:r w:rsidRPr="001A209B">
              <w:rPr>
                <w:rFonts w:cs="Arial"/>
                <w:color w:val="000000"/>
                <w:sz w:val="18"/>
                <w:szCs w:val="18"/>
              </w:rPr>
              <w:t> </w:t>
            </w:r>
          </w:p>
        </w:tc>
      </w:tr>
      <w:tr w:rsidR="004C4821" w:rsidRPr="001A209B" w:rsidTr="004C4821">
        <w:trPr>
          <w:trHeight w:val="240"/>
        </w:trPr>
        <w:tc>
          <w:tcPr>
            <w:tcW w:w="3770" w:type="pct"/>
            <w:gridSpan w:val="2"/>
            <w:tcBorders>
              <w:top w:val="nil"/>
              <w:left w:val="nil"/>
              <w:bottom w:val="nil"/>
              <w:right w:val="nil"/>
            </w:tcBorders>
            <w:shd w:val="clear" w:color="000000" w:fill="FFFFFF"/>
            <w:noWrap/>
            <w:vAlign w:val="bottom"/>
            <w:hideMark/>
          </w:tcPr>
          <w:p w:rsidR="004C4821" w:rsidRPr="001A209B" w:rsidRDefault="004C4821" w:rsidP="004C4821">
            <w:pPr>
              <w:rPr>
                <w:rFonts w:cs="Arial"/>
                <w:b/>
                <w:bCs/>
                <w:color w:val="800000"/>
                <w:sz w:val="18"/>
                <w:szCs w:val="18"/>
              </w:rPr>
            </w:pPr>
            <w:r w:rsidRPr="001A209B">
              <w:rPr>
                <w:rFonts w:cs="Arial"/>
                <w:b/>
                <w:bCs/>
                <w:color w:val="A60D1F"/>
                <w:sz w:val="18"/>
                <w:szCs w:val="18"/>
              </w:rPr>
              <w:t xml:space="preserve">Amounts recognised as distributions to ordinary equity holders in the </w:t>
            </w:r>
            <w:r w:rsidR="00FB7511" w:rsidRPr="001A209B">
              <w:rPr>
                <w:rFonts w:cs="Arial"/>
                <w:b/>
                <w:bCs/>
                <w:color w:val="A60D1F"/>
                <w:sz w:val="18"/>
                <w:szCs w:val="18"/>
              </w:rPr>
              <w:t>period</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rPr>
                <w:rFonts w:cs="Arial"/>
                <w:b/>
                <w:bCs/>
                <w:color w:val="800000"/>
                <w:sz w:val="18"/>
                <w:szCs w:val="18"/>
              </w:rPr>
            </w:pPr>
            <w:r w:rsidRPr="001A209B">
              <w:rPr>
                <w:rFonts w:cs="Arial"/>
                <w:b/>
                <w:bCs/>
                <w:color w:val="800000"/>
                <w:sz w:val="18"/>
                <w:szCs w:val="18"/>
              </w:rPr>
              <w:t>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rPr>
                <w:rFonts w:cs="Arial"/>
                <w:b/>
                <w:bCs/>
                <w:color w:val="800000"/>
                <w:sz w:val="18"/>
                <w:szCs w:val="18"/>
              </w:rPr>
            </w:pPr>
            <w:r w:rsidRPr="001A209B">
              <w:rPr>
                <w:rFonts w:cs="Arial"/>
                <w:b/>
                <w:bCs/>
                <w:color w:val="800000"/>
                <w:sz w:val="18"/>
                <w:szCs w:val="18"/>
              </w:rPr>
              <w:t> </w:t>
            </w:r>
          </w:p>
        </w:tc>
      </w:tr>
      <w:tr w:rsidR="004C4821" w:rsidRPr="001A209B" w:rsidTr="004C4821">
        <w:trPr>
          <w:trHeight w:val="960"/>
        </w:trPr>
        <w:tc>
          <w:tcPr>
            <w:tcW w:w="3105" w:type="pct"/>
            <w:tcBorders>
              <w:top w:val="nil"/>
              <w:left w:val="nil"/>
              <w:bottom w:val="single" w:sz="4" w:space="0" w:color="800000"/>
              <w:right w:val="nil"/>
            </w:tcBorders>
            <w:shd w:val="clear" w:color="000000" w:fill="FFFFFF"/>
            <w:noWrap/>
            <w:vAlign w:val="bottom"/>
            <w:hideMark/>
          </w:tcPr>
          <w:p w:rsidR="004C4821" w:rsidRPr="001A209B" w:rsidRDefault="004C4821" w:rsidP="004C4821">
            <w:pPr>
              <w:rPr>
                <w:rFonts w:cs="Arial"/>
                <w:sz w:val="18"/>
                <w:szCs w:val="18"/>
              </w:rPr>
            </w:pPr>
            <w:r w:rsidRPr="001A209B">
              <w:rPr>
                <w:rFonts w:cs="Arial"/>
                <w:sz w:val="18"/>
                <w:szCs w:val="18"/>
              </w:rPr>
              <w:t>£ million</w:t>
            </w:r>
          </w:p>
        </w:tc>
        <w:tc>
          <w:tcPr>
            <w:tcW w:w="665" w:type="pct"/>
            <w:tcBorders>
              <w:top w:val="nil"/>
              <w:left w:val="nil"/>
              <w:bottom w:val="single" w:sz="4" w:space="0" w:color="800000"/>
              <w:right w:val="nil"/>
            </w:tcBorders>
            <w:shd w:val="clear" w:color="000000" w:fill="FFFFFF"/>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6 months </w:t>
            </w:r>
            <w:r w:rsidRPr="001A209B">
              <w:rPr>
                <w:rFonts w:cs="Arial"/>
                <w:b/>
                <w:bCs/>
                <w:color w:val="800000"/>
                <w:sz w:val="18"/>
                <w:szCs w:val="18"/>
              </w:rPr>
              <w:br/>
              <w:t xml:space="preserve">ended </w:t>
            </w:r>
            <w:r w:rsidRPr="001A209B">
              <w:rPr>
                <w:rFonts w:cs="Arial"/>
                <w:b/>
                <w:bCs/>
                <w:color w:val="800000"/>
                <w:sz w:val="18"/>
                <w:szCs w:val="18"/>
              </w:rPr>
              <w:br/>
              <w:t xml:space="preserve">31 March </w:t>
            </w:r>
            <w:r w:rsidRPr="001A209B">
              <w:rPr>
                <w:rFonts w:cs="Arial"/>
                <w:b/>
                <w:bCs/>
                <w:color w:val="800000"/>
                <w:sz w:val="18"/>
                <w:szCs w:val="18"/>
              </w:rPr>
              <w:br/>
              <w:t xml:space="preserve">2014 </w:t>
            </w:r>
          </w:p>
        </w:tc>
        <w:tc>
          <w:tcPr>
            <w:tcW w:w="565" w:type="pct"/>
            <w:tcBorders>
              <w:top w:val="nil"/>
              <w:left w:val="nil"/>
              <w:bottom w:val="single" w:sz="4" w:space="0" w:color="800000"/>
              <w:right w:val="nil"/>
            </w:tcBorders>
            <w:shd w:val="clear" w:color="000000" w:fill="FFFFFF"/>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 xml:space="preserve">6 months </w:t>
            </w:r>
            <w:r w:rsidRPr="001A209B">
              <w:rPr>
                <w:rFonts w:cs="Arial"/>
                <w:color w:val="000000"/>
                <w:sz w:val="18"/>
                <w:szCs w:val="18"/>
              </w:rPr>
              <w:br/>
              <w:t xml:space="preserve">ended </w:t>
            </w:r>
            <w:r w:rsidRPr="001A209B">
              <w:rPr>
                <w:rFonts w:cs="Arial"/>
                <w:color w:val="000000"/>
                <w:sz w:val="18"/>
                <w:szCs w:val="18"/>
              </w:rPr>
              <w:br/>
              <w:t xml:space="preserve">31 March </w:t>
            </w:r>
            <w:r w:rsidRPr="001A209B">
              <w:rPr>
                <w:rFonts w:cs="Arial"/>
                <w:color w:val="000000"/>
                <w:sz w:val="18"/>
                <w:szCs w:val="18"/>
              </w:rPr>
              <w:br/>
              <w:t xml:space="preserve">2013 </w:t>
            </w:r>
          </w:p>
        </w:tc>
        <w:tc>
          <w:tcPr>
            <w:tcW w:w="665" w:type="pct"/>
            <w:tcBorders>
              <w:top w:val="nil"/>
              <w:left w:val="nil"/>
              <w:bottom w:val="single" w:sz="4" w:space="0" w:color="800000"/>
              <w:right w:val="nil"/>
            </w:tcBorders>
            <w:shd w:val="clear" w:color="000000" w:fill="FFFFFF"/>
            <w:vAlign w:val="bottom"/>
            <w:hideMark/>
          </w:tcPr>
          <w:p w:rsidR="004C4821" w:rsidRPr="001A209B" w:rsidRDefault="004C4821" w:rsidP="004C4821">
            <w:pPr>
              <w:jc w:val="right"/>
              <w:rPr>
                <w:rFonts w:cs="Arial"/>
                <w:color w:val="000000"/>
                <w:sz w:val="18"/>
                <w:szCs w:val="18"/>
              </w:rPr>
            </w:pPr>
            <w:r w:rsidRPr="001A209B">
              <w:rPr>
                <w:rFonts w:cs="Arial"/>
                <w:color w:val="000000"/>
                <w:sz w:val="18"/>
                <w:szCs w:val="18"/>
              </w:rPr>
              <w:t>Year ended</w:t>
            </w:r>
            <w:r w:rsidRPr="001A209B">
              <w:rPr>
                <w:rFonts w:cs="Arial"/>
                <w:color w:val="000000"/>
                <w:sz w:val="18"/>
                <w:szCs w:val="18"/>
              </w:rPr>
              <w:br/>
              <w:t>30 September</w:t>
            </w:r>
            <w:r w:rsidRPr="001A209B">
              <w:rPr>
                <w:rFonts w:cs="Arial"/>
                <w:color w:val="000000"/>
                <w:sz w:val="18"/>
                <w:szCs w:val="18"/>
              </w:rPr>
              <w:br/>
              <w:t xml:space="preserve">2013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color w:val="000000"/>
                <w:sz w:val="18"/>
                <w:szCs w:val="18"/>
              </w:rPr>
            </w:pPr>
            <w:r w:rsidRPr="001A209B">
              <w:rPr>
                <w:rFonts w:cs="Arial"/>
                <w:color w:val="000000"/>
                <w:sz w:val="18"/>
                <w:szCs w:val="18"/>
              </w:rPr>
              <w:t>Final dividend paid in the period in respect of previous financial year</w:t>
            </w:r>
          </w:p>
        </w:tc>
        <w:tc>
          <w:tcPr>
            <w:tcW w:w="665" w:type="pct"/>
            <w:tcBorders>
              <w:top w:val="nil"/>
              <w:left w:val="nil"/>
              <w:bottom w:val="nil"/>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779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724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724 </w:t>
            </w:r>
          </w:p>
        </w:tc>
      </w:tr>
      <w:tr w:rsidR="004C4821" w:rsidRPr="001A209B" w:rsidTr="004C4821">
        <w:trPr>
          <w:trHeight w:val="240"/>
        </w:trPr>
        <w:tc>
          <w:tcPr>
            <w:tcW w:w="3105" w:type="pct"/>
            <w:tcBorders>
              <w:top w:val="nil"/>
              <w:left w:val="nil"/>
              <w:bottom w:val="nil"/>
              <w:right w:val="nil"/>
            </w:tcBorders>
            <w:shd w:val="clear" w:color="000000" w:fill="FFFFFF"/>
            <w:noWrap/>
            <w:vAlign w:val="bottom"/>
            <w:hideMark/>
          </w:tcPr>
          <w:p w:rsidR="004C4821" w:rsidRPr="001A209B" w:rsidRDefault="004C4821" w:rsidP="004C4821">
            <w:pPr>
              <w:rPr>
                <w:rFonts w:cs="Arial"/>
                <w:color w:val="000000"/>
                <w:sz w:val="18"/>
                <w:szCs w:val="18"/>
              </w:rPr>
            </w:pPr>
            <w:r w:rsidRPr="001A209B">
              <w:rPr>
                <w:rFonts w:cs="Arial"/>
                <w:color w:val="000000"/>
                <w:sz w:val="18"/>
                <w:szCs w:val="18"/>
              </w:rPr>
              <w:t>Interim dividend</w:t>
            </w:r>
          </w:p>
        </w:tc>
        <w:tc>
          <w:tcPr>
            <w:tcW w:w="665" w:type="pct"/>
            <w:tcBorders>
              <w:top w:val="nil"/>
              <w:left w:val="nil"/>
              <w:bottom w:val="single" w:sz="4" w:space="0" w:color="800000"/>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  </w:t>
            </w:r>
          </w:p>
        </w:tc>
        <w:tc>
          <w:tcPr>
            <w:tcW w:w="5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 </w:t>
            </w:r>
          </w:p>
        </w:tc>
        <w:tc>
          <w:tcPr>
            <w:tcW w:w="665" w:type="pct"/>
            <w:tcBorders>
              <w:top w:val="nil"/>
              <w:left w:val="nil"/>
              <w:bottom w:val="nil"/>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341 </w:t>
            </w:r>
          </w:p>
        </w:tc>
      </w:tr>
      <w:tr w:rsidR="004C4821" w:rsidRPr="001A209B" w:rsidTr="004C4821">
        <w:trPr>
          <w:trHeight w:val="255"/>
        </w:trPr>
        <w:tc>
          <w:tcPr>
            <w:tcW w:w="3105" w:type="pct"/>
            <w:tcBorders>
              <w:top w:val="single" w:sz="4" w:space="0" w:color="800000"/>
              <w:left w:val="nil"/>
              <w:bottom w:val="single" w:sz="8" w:space="0" w:color="800000"/>
              <w:right w:val="nil"/>
            </w:tcBorders>
            <w:shd w:val="clear" w:color="000000" w:fill="FFFFFF"/>
            <w:noWrap/>
            <w:vAlign w:val="bottom"/>
            <w:hideMark/>
          </w:tcPr>
          <w:p w:rsidR="004C4821" w:rsidRPr="001A209B" w:rsidRDefault="004C4821" w:rsidP="004C4821">
            <w:pPr>
              <w:rPr>
                <w:rFonts w:cs="Arial"/>
                <w:b/>
                <w:bCs/>
                <w:color w:val="800000"/>
                <w:sz w:val="18"/>
                <w:szCs w:val="18"/>
              </w:rPr>
            </w:pPr>
            <w:r w:rsidRPr="001A209B">
              <w:rPr>
                <w:rFonts w:cs="Arial"/>
                <w:b/>
                <w:bCs/>
                <w:color w:val="800000"/>
                <w:sz w:val="18"/>
                <w:szCs w:val="18"/>
              </w:rPr>
              <w:t> </w:t>
            </w:r>
          </w:p>
        </w:tc>
        <w:tc>
          <w:tcPr>
            <w:tcW w:w="665" w:type="pct"/>
            <w:tcBorders>
              <w:top w:val="nil"/>
              <w:left w:val="nil"/>
              <w:bottom w:val="single" w:sz="8" w:space="0" w:color="800000"/>
              <w:right w:val="nil"/>
            </w:tcBorders>
            <w:shd w:val="clear" w:color="000000" w:fill="C0C0C0"/>
            <w:noWrap/>
            <w:vAlign w:val="bottom"/>
            <w:hideMark/>
          </w:tcPr>
          <w:p w:rsidR="004C4821" w:rsidRPr="001A209B" w:rsidRDefault="004C4821" w:rsidP="004C4821">
            <w:pPr>
              <w:jc w:val="right"/>
              <w:rPr>
                <w:rFonts w:cs="Arial"/>
                <w:b/>
                <w:bCs/>
                <w:color w:val="800000"/>
                <w:sz w:val="18"/>
                <w:szCs w:val="18"/>
              </w:rPr>
            </w:pPr>
            <w:r w:rsidRPr="001A209B">
              <w:rPr>
                <w:rFonts w:cs="Arial"/>
                <w:b/>
                <w:bCs/>
                <w:color w:val="800000"/>
                <w:sz w:val="18"/>
                <w:szCs w:val="18"/>
              </w:rPr>
              <w:t xml:space="preserve">779 </w:t>
            </w:r>
          </w:p>
        </w:tc>
        <w:tc>
          <w:tcPr>
            <w:tcW w:w="565" w:type="pct"/>
            <w:tcBorders>
              <w:top w:val="single" w:sz="4" w:space="0" w:color="800000"/>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724 </w:t>
            </w:r>
          </w:p>
        </w:tc>
        <w:tc>
          <w:tcPr>
            <w:tcW w:w="665" w:type="pct"/>
            <w:tcBorders>
              <w:top w:val="single" w:sz="4" w:space="0" w:color="800000"/>
              <w:left w:val="nil"/>
              <w:bottom w:val="single" w:sz="8" w:space="0" w:color="800000"/>
              <w:right w:val="nil"/>
            </w:tcBorders>
            <w:shd w:val="clear" w:color="000000" w:fill="FFFFFF"/>
            <w:noWrap/>
            <w:vAlign w:val="bottom"/>
            <w:hideMark/>
          </w:tcPr>
          <w:p w:rsidR="004C4821" w:rsidRPr="001A209B" w:rsidRDefault="004C4821" w:rsidP="004C4821">
            <w:pPr>
              <w:jc w:val="right"/>
              <w:rPr>
                <w:rFonts w:cs="Arial"/>
                <w:sz w:val="18"/>
                <w:szCs w:val="18"/>
              </w:rPr>
            </w:pPr>
            <w:r w:rsidRPr="001A209B">
              <w:rPr>
                <w:rFonts w:cs="Arial"/>
                <w:sz w:val="18"/>
                <w:szCs w:val="18"/>
              </w:rPr>
              <w:t xml:space="preserve">1,065 </w:t>
            </w:r>
          </w:p>
        </w:tc>
      </w:tr>
    </w:tbl>
    <w:p w:rsidR="004C4821" w:rsidRPr="001A209B" w:rsidRDefault="004C4821" w:rsidP="004C4821">
      <w:pPr>
        <w:jc w:val="both"/>
        <w:rPr>
          <w:rFonts w:cs="Arial"/>
          <w:sz w:val="18"/>
          <w:szCs w:val="18"/>
        </w:rPr>
      </w:pPr>
    </w:p>
    <w:p w:rsidR="007F0245" w:rsidRPr="001A209B" w:rsidRDefault="007F0245" w:rsidP="004C4821">
      <w:pPr>
        <w:jc w:val="both"/>
        <w:rPr>
          <w:rFonts w:cs="Arial"/>
          <w:color w:val="A60D1F"/>
          <w:sz w:val="18"/>
          <w:szCs w:val="18"/>
        </w:rPr>
      </w:pPr>
      <w:r w:rsidRPr="001A209B">
        <w:rPr>
          <w:rFonts w:cs="Arial"/>
          <w:sz w:val="18"/>
          <w:szCs w:val="18"/>
        </w:rPr>
        <w:t>The declared interim dividend for 2014 amounts to a total dividend of £371 million based on the number of shares ranking for dividend at 31 March 2014.</w:t>
      </w:r>
      <w:r w:rsidRPr="001A209B">
        <w:rPr>
          <w:rFonts w:cs="Arial"/>
          <w:color w:val="A60D1F"/>
          <w:sz w:val="18"/>
          <w:szCs w:val="18"/>
        </w:rPr>
        <w:tab/>
      </w:r>
      <w:r w:rsidRPr="001A209B">
        <w:rPr>
          <w:rFonts w:cs="Arial"/>
          <w:color w:val="A60D1F"/>
          <w:sz w:val="18"/>
          <w:szCs w:val="18"/>
        </w:rPr>
        <w:tab/>
      </w:r>
      <w:r w:rsidRPr="001A209B">
        <w:rPr>
          <w:rFonts w:cs="Arial"/>
          <w:color w:val="A60D1F"/>
          <w:sz w:val="18"/>
          <w:szCs w:val="18"/>
        </w:rPr>
        <w:tab/>
      </w:r>
      <w:r w:rsidRPr="001A209B">
        <w:rPr>
          <w:rFonts w:cs="Arial"/>
          <w:color w:val="A60D1F"/>
          <w:sz w:val="18"/>
          <w:szCs w:val="18"/>
        </w:rPr>
        <w:tab/>
      </w:r>
      <w:r w:rsidRPr="001A209B">
        <w:rPr>
          <w:rFonts w:cs="Arial"/>
          <w:color w:val="A60D1F"/>
          <w:sz w:val="18"/>
          <w:szCs w:val="18"/>
        </w:rPr>
        <w:tab/>
      </w:r>
      <w:r w:rsidRPr="001A209B">
        <w:rPr>
          <w:rFonts w:cs="Arial"/>
          <w:color w:val="A60D1F"/>
          <w:sz w:val="18"/>
          <w:szCs w:val="18"/>
        </w:rPr>
        <w:tab/>
      </w:r>
      <w:r w:rsidRPr="001A209B">
        <w:rPr>
          <w:rFonts w:cs="Arial"/>
          <w:color w:val="A60D1F"/>
          <w:sz w:val="18"/>
          <w:szCs w:val="18"/>
        </w:rPr>
        <w:tab/>
      </w:r>
      <w:r w:rsidR="004C4821" w:rsidRPr="001A209B">
        <w:rPr>
          <w:rFonts w:cs="Arial"/>
          <w:color w:val="A60D1F"/>
          <w:sz w:val="18"/>
          <w:szCs w:val="18"/>
        </w:rPr>
        <w:tab/>
      </w:r>
    </w:p>
    <w:p w:rsidR="007F0245" w:rsidRPr="001A209B" w:rsidRDefault="007F0245" w:rsidP="004C4821">
      <w:pPr>
        <w:jc w:val="both"/>
        <w:rPr>
          <w:rFonts w:cs="Arial"/>
          <w:b/>
          <w:color w:val="A60D1F"/>
          <w:sz w:val="18"/>
          <w:szCs w:val="18"/>
        </w:rPr>
      </w:pPr>
    </w:p>
    <w:p w:rsidR="006D48E5" w:rsidRPr="001A209B" w:rsidRDefault="006D48E5" w:rsidP="004C4821">
      <w:pPr>
        <w:jc w:val="both"/>
        <w:rPr>
          <w:rFonts w:cs="Arial"/>
          <w:b/>
          <w:color w:val="A60D1F"/>
          <w:sz w:val="18"/>
          <w:szCs w:val="18"/>
        </w:rPr>
      </w:pPr>
    </w:p>
    <w:p w:rsidR="007F0245" w:rsidRPr="001A209B" w:rsidRDefault="007F0245" w:rsidP="004C4821">
      <w:pPr>
        <w:jc w:val="both"/>
        <w:rPr>
          <w:rFonts w:cs="Arial"/>
          <w:color w:val="A60D1F"/>
          <w:sz w:val="18"/>
          <w:szCs w:val="18"/>
        </w:rPr>
      </w:pPr>
      <w:r w:rsidRPr="001A209B">
        <w:rPr>
          <w:rFonts w:cs="Arial"/>
          <w:b/>
          <w:color w:val="A60D1F"/>
          <w:sz w:val="18"/>
          <w:szCs w:val="18"/>
        </w:rPr>
        <w:t>8  Earnings Per Share</w:t>
      </w:r>
    </w:p>
    <w:tbl>
      <w:tblPr>
        <w:tblW w:w="5000" w:type="pct"/>
        <w:tblLook w:val="04A0" w:firstRow="1" w:lastRow="0" w:firstColumn="1" w:lastColumn="0" w:noHBand="0" w:noVBand="1"/>
      </w:tblPr>
      <w:tblGrid>
        <w:gridCol w:w="5755"/>
        <w:gridCol w:w="1232"/>
        <w:gridCol w:w="1047"/>
        <w:gridCol w:w="1232"/>
      </w:tblGrid>
      <w:tr w:rsidR="007F0245" w:rsidRPr="001A209B" w:rsidTr="007F0245">
        <w:trPr>
          <w:trHeight w:val="960"/>
        </w:trPr>
        <w:tc>
          <w:tcPr>
            <w:tcW w:w="3105" w:type="pct"/>
            <w:tcBorders>
              <w:top w:val="nil"/>
              <w:left w:val="nil"/>
              <w:bottom w:val="single" w:sz="4" w:space="0" w:color="800000"/>
              <w:right w:val="nil"/>
            </w:tcBorders>
            <w:shd w:val="clear" w:color="000000" w:fill="FFFFFF"/>
            <w:noWrap/>
            <w:vAlign w:val="bottom"/>
            <w:hideMark/>
          </w:tcPr>
          <w:p w:rsidR="007F0245" w:rsidRPr="001A209B" w:rsidRDefault="007F0245" w:rsidP="007F0245">
            <w:pPr>
              <w:rPr>
                <w:rFonts w:cs="Arial"/>
                <w:sz w:val="18"/>
                <w:szCs w:val="18"/>
              </w:rPr>
            </w:pPr>
            <w:r w:rsidRPr="001A209B">
              <w:rPr>
                <w:rFonts w:cs="Arial"/>
                <w:sz w:val="18"/>
                <w:szCs w:val="18"/>
              </w:rPr>
              <w:t>£ million</w:t>
            </w:r>
          </w:p>
        </w:tc>
        <w:tc>
          <w:tcPr>
            <w:tcW w:w="665" w:type="pct"/>
            <w:tcBorders>
              <w:top w:val="nil"/>
              <w:left w:val="nil"/>
              <w:bottom w:val="single" w:sz="4" w:space="0" w:color="800000"/>
              <w:right w:val="nil"/>
            </w:tcBorders>
            <w:shd w:val="clear" w:color="000000" w:fill="FFFFFF"/>
            <w:vAlign w:val="bottom"/>
            <w:hideMark/>
          </w:tcPr>
          <w:p w:rsidR="007F0245" w:rsidRPr="001A209B" w:rsidRDefault="007F0245" w:rsidP="007F0245">
            <w:pPr>
              <w:jc w:val="right"/>
              <w:rPr>
                <w:rFonts w:cs="Arial"/>
                <w:b/>
                <w:bCs/>
                <w:color w:val="800000"/>
                <w:sz w:val="18"/>
                <w:szCs w:val="18"/>
              </w:rPr>
            </w:pPr>
            <w:r w:rsidRPr="001A209B">
              <w:rPr>
                <w:rFonts w:cs="Arial"/>
                <w:b/>
                <w:bCs/>
                <w:color w:val="800000"/>
                <w:sz w:val="18"/>
                <w:szCs w:val="18"/>
              </w:rPr>
              <w:t xml:space="preserve">6 months </w:t>
            </w:r>
            <w:r w:rsidRPr="001A209B">
              <w:rPr>
                <w:rFonts w:cs="Arial"/>
                <w:b/>
                <w:bCs/>
                <w:color w:val="800000"/>
                <w:sz w:val="18"/>
                <w:szCs w:val="18"/>
              </w:rPr>
              <w:br/>
              <w:t xml:space="preserve">ended </w:t>
            </w:r>
            <w:r w:rsidRPr="001A209B">
              <w:rPr>
                <w:rFonts w:cs="Arial"/>
                <w:b/>
                <w:bCs/>
                <w:color w:val="800000"/>
                <w:sz w:val="18"/>
                <w:szCs w:val="18"/>
              </w:rPr>
              <w:br/>
              <w:t xml:space="preserve">31 March </w:t>
            </w:r>
            <w:r w:rsidRPr="001A209B">
              <w:rPr>
                <w:rFonts w:cs="Arial"/>
                <w:b/>
                <w:bCs/>
                <w:color w:val="800000"/>
                <w:sz w:val="18"/>
                <w:szCs w:val="18"/>
              </w:rPr>
              <w:br/>
              <w:t xml:space="preserve">2014 </w:t>
            </w:r>
          </w:p>
        </w:tc>
        <w:tc>
          <w:tcPr>
            <w:tcW w:w="565" w:type="pct"/>
            <w:tcBorders>
              <w:top w:val="nil"/>
              <w:left w:val="nil"/>
              <w:bottom w:val="single" w:sz="4" w:space="0" w:color="800000"/>
              <w:right w:val="nil"/>
            </w:tcBorders>
            <w:shd w:val="clear" w:color="000000" w:fill="FFFFFF"/>
            <w:vAlign w:val="bottom"/>
            <w:hideMark/>
          </w:tcPr>
          <w:p w:rsidR="007F0245" w:rsidRPr="001A209B" w:rsidRDefault="007F0245" w:rsidP="007F0245">
            <w:pPr>
              <w:jc w:val="right"/>
              <w:rPr>
                <w:rFonts w:cs="Arial"/>
                <w:color w:val="000000"/>
                <w:sz w:val="18"/>
                <w:szCs w:val="18"/>
              </w:rPr>
            </w:pPr>
            <w:r w:rsidRPr="001A209B">
              <w:rPr>
                <w:rFonts w:cs="Arial"/>
                <w:color w:val="000000"/>
                <w:sz w:val="18"/>
                <w:szCs w:val="18"/>
              </w:rPr>
              <w:t xml:space="preserve">6 months </w:t>
            </w:r>
            <w:r w:rsidRPr="001A209B">
              <w:rPr>
                <w:rFonts w:cs="Arial"/>
                <w:color w:val="000000"/>
                <w:sz w:val="18"/>
                <w:szCs w:val="18"/>
              </w:rPr>
              <w:br/>
              <w:t xml:space="preserve">ended </w:t>
            </w:r>
            <w:r w:rsidRPr="001A209B">
              <w:rPr>
                <w:rFonts w:cs="Arial"/>
                <w:color w:val="000000"/>
                <w:sz w:val="18"/>
                <w:szCs w:val="18"/>
              </w:rPr>
              <w:br/>
              <w:t xml:space="preserve">31 March </w:t>
            </w:r>
            <w:r w:rsidRPr="001A209B">
              <w:rPr>
                <w:rFonts w:cs="Arial"/>
                <w:color w:val="000000"/>
                <w:sz w:val="18"/>
                <w:szCs w:val="18"/>
              </w:rPr>
              <w:br/>
              <w:t xml:space="preserve">2013 </w:t>
            </w:r>
          </w:p>
        </w:tc>
        <w:tc>
          <w:tcPr>
            <w:tcW w:w="665" w:type="pct"/>
            <w:tcBorders>
              <w:top w:val="nil"/>
              <w:left w:val="nil"/>
              <w:bottom w:val="single" w:sz="4" w:space="0" w:color="800000"/>
              <w:right w:val="nil"/>
            </w:tcBorders>
            <w:shd w:val="clear" w:color="000000" w:fill="FFFFFF"/>
            <w:vAlign w:val="bottom"/>
            <w:hideMark/>
          </w:tcPr>
          <w:p w:rsidR="007F0245" w:rsidRPr="001A209B" w:rsidRDefault="007F0245" w:rsidP="007F0245">
            <w:pPr>
              <w:jc w:val="right"/>
              <w:rPr>
                <w:rFonts w:cs="Arial"/>
                <w:color w:val="000000"/>
                <w:sz w:val="18"/>
                <w:szCs w:val="18"/>
              </w:rPr>
            </w:pPr>
            <w:r w:rsidRPr="001A209B">
              <w:rPr>
                <w:rFonts w:cs="Arial"/>
                <w:color w:val="000000"/>
                <w:sz w:val="18"/>
                <w:szCs w:val="18"/>
              </w:rPr>
              <w:t>Year ended</w:t>
            </w:r>
            <w:r w:rsidRPr="001A209B">
              <w:rPr>
                <w:rFonts w:cs="Arial"/>
                <w:color w:val="000000"/>
                <w:sz w:val="18"/>
                <w:szCs w:val="18"/>
              </w:rPr>
              <w:br/>
              <w:t>30 September</w:t>
            </w:r>
            <w:r w:rsidRPr="001A209B">
              <w:rPr>
                <w:rFonts w:cs="Arial"/>
                <w:color w:val="000000"/>
                <w:sz w:val="18"/>
                <w:szCs w:val="18"/>
              </w:rPr>
              <w:br/>
              <w:t xml:space="preserve">2013 </w:t>
            </w:r>
          </w:p>
        </w:tc>
      </w:tr>
      <w:tr w:rsidR="007F0245" w:rsidRPr="001A209B" w:rsidTr="007F0245">
        <w:trPr>
          <w:trHeight w:val="255"/>
        </w:trPr>
        <w:tc>
          <w:tcPr>
            <w:tcW w:w="3105" w:type="pct"/>
            <w:tcBorders>
              <w:top w:val="nil"/>
              <w:left w:val="nil"/>
              <w:bottom w:val="single" w:sz="8" w:space="0" w:color="800000"/>
              <w:right w:val="nil"/>
            </w:tcBorders>
            <w:shd w:val="clear" w:color="000000" w:fill="FFFFFF"/>
            <w:noWrap/>
            <w:vAlign w:val="bottom"/>
            <w:hideMark/>
          </w:tcPr>
          <w:p w:rsidR="007F0245" w:rsidRPr="001A209B" w:rsidRDefault="007F0245" w:rsidP="007F0245">
            <w:pPr>
              <w:rPr>
                <w:rFonts w:cs="Arial"/>
                <w:sz w:val="18"/>
                <w:szCs w:val="18"/>
              </w:rPr>
            </w:pPr>
            <w:r w:rsidRPr="001A209B">
              <w:rPr>
                <w:rFonts w:cs="Arial"/>
                <w:sz w:val="18"/>
                <w:szCs w:val="18"/>
              </w:rPr>
              <w:t>Earnings: basic and diluted</w:t>
            </w:r>
          </w:p>
        </w:tc>
        <w:tc>
          <w:tcPr>
            <w:tcW w:w="665" w:type="pct"/>
            <w:tcBorders>
              <w:top w:val="nil"/>
              <w:left w:val="nil"/>
              <w:bottom w:val="single" w:sz="8" w:space="0" w:color="800000"/>
              <w:right w:val="nil"/>
            </w:tcBorders>
            <w:shd w:val="clear" w:color="000000" w:fill="C0C0C0"/>
            <w:noWrap/>
            <w:vAlign w:val="bottom"/>
            <w:hideMark/>
          </w:tcPr>
          <w:p w:rsidR="007F0245" w:rsidRPr="001A209B" w:rsidRDefault="007F0245" w:rsidP="007F0245">
            <w:pPr>
              <w:jc w:val="right"/>
              <w:rPr>
                <w:rFonts w:cs="Arial"/>
                <w:b/>
                <w:bCs/>
                <w:color w:val="800000"/>
                <w:sz w:val="18"/>
                <w:szCs w:val="18"/>
              </w:rPr>
            </w:pPr>
            <w:r w:rsidRPr="001A209B">
              <w:rPr>
                <w:rFonts w:cs="Arial"/>
                <w:b/>
                <w:bCs/>
                <w:color w:val="800000"/>
                <w:sz w:val="18"/>
                <w:szCs w:val="18"/>
              </w:rPr>
              <w:t xml:space="preserve">366 </w:t>
            </w:r>
          </w:p>
        </w:tc>
        <w:tc>
          <w:tcPr>
            <w:tcW w:w="565" w:type="pct"/>
            <w:tcBorders>
              <w:top w:val="nil"/>
              <w:left w:val="nil"/>
              <w:bottom w:val="single" w:sz="8" w:space="0" w:color="800000"/>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xml:space="preserve">611 </w:t>
            </w:r>
          </w:p>
        </w:tc>
        <w:tc>
          <w:tcPr>
            <w:tcW w:w="665" w:type="pct"/>
            <w:tcBorders>
              <w:top w:val="nil"/>
              <w:left w:val="nil"/>
              <w:bottom w:val="single" w:sz="8" w:space="0" w:color="800000"/>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xml:space="preserve">905 </w:t>
            </w:r>
          </w:p>
        </w:tc>
      </w:tr>
      <w:tr w:rsidR="007F0245" w:rsidRPr="001A209B" w:rsidTr="007F0245">
        <w:trPr>
          <w:trHeight w:val="240"/>
        </w:trPr>
        <w:tc>
          <w:tcPr>
            <w:tcW w:w="3105" w:type="pct"/>
            <w:tcBorders>
              <w:top w:val="nil"/>
              <w:left w:val="nil"/>
              <w:bottom w:val="nil"/>
              <w:right w:val="nil"/>
            </w:tcBorders>
            <w:shd w:val="clear" w:color="000000" w:fill="FFFFFF"/>
            <w:noWrap/>
            <w:vAlign w:val="bottom"/>
            <w:hideMark/>
          </w:tcPr>
          <w:p w:rsidR="007F0245" w:rsidRPr="001A209B" w:rsidRDefault="007F0245" w:rsidP="007F0245">
            <w:pPr>
              <w:rPr>
                <w:rFonts w:cs="Arial"/>
                <w:sz w:val="18"/>
                <w:szCs w:val="18"/>
              </w:rPr>
            </w:pPr>
            <w:r w:rsidRPr="001A209B">
              <w:rPr>
                <w:rFonts w:cs="Arial"/>
                <w:sz w:val="18"/>
                <w:szCs w:val="18"/>
              </w:rPr>
              <w:t> </w:t>
            </w:r>
          </w:p>
        </w:tc>
        <w:tc>
          <w:tcPr>
            <w:tcW w:w="665" w:type="pct"/>
            <w:tcBorders>
              <w:top w:val="nil"/>
              <w:left w:val="nil"/>
              <w:bottom w:val="nil"/>
              <w:right w:val="nil"/>
            </w:tcBorders>
            <w:shd w:val="clear" w:color="000000" w:fill="C0C0C0"/>
            <w:noWrap/>
            <w:vAlign w:val="bottom"/>
            <w:hideMark/>
          </w:tcPr>
          <w:p w:rsidR="007F0245" w:rsidRPr="001A209B" w:rsidRDefault="007F0245" w:rsidP="007F0245">
            <w:pPr>
              <w:rPr>
                <w:rFonts w:cs="Arial"/>
                <w:b/>
                <w:bCs/>
                <w:color w:val="800000"/>
                <w:sz w:val="18"/>
                <w:szCs w:val="18"/>
              </w:rPr>
            </w:pPr>
            <w:r w:rsidRPr="001A209B">
              <w:rPr>
                <w:rFonts w:cs="Arial"/>
                <w:b/>
                <w:bCs/>
                <w:color w:val="800000"/>
                <w:sz w:val="18"/>
                <w:szCs w:val="18"/>
              </w:rPr>
              <w:t> </w:t>
            </w:r>
          </w:p>
        </w:tc>
        <w:tc>
          <w:tcPr>
            <w:tcW w:w="565" w:type="pct"/>
            <w:tcBorders>
              <w:top w:val="nil"/>
              <w:left w:val="nil"/>
              <w:bottom w:val="nil"/>
              <w:right w:val="nil"/>
            </w:tcBorders>
            <w:shd w:val="clear" w:color="000000" w:fill="FFFFFF"/>
            <w:noWrap/>
            <w:vAlign w:val="bottom"/>
            <w:hideMark/>
          </w:tcPr>
          <w:p w:rsidR="007F0245" w:rsidRPr="001A209B" w:rsidRDefault="007F0245" w:rsidP="007F0245">
            <w:pPr>
              <w:rPr>
                <w:rFonts w:cs="Arial"/>
                <w:sz w:val="18"/>
                <w:szCs w:val="18"/>
              </w:rPr>
            </w:pPr>
            <w:r w:rsidRPr="001A209B">
              <w:rPr>
                <w:rFonts w:cs="Arial"/>
                <w:sz w:val="18"/>
                <w:szCs w:val="18"/>
              </w:rPr>
              <w:t> </w:t>
            </w:r>
          </w:p>
        </w:tc>
        <w:tc>
          <w:tcPr>
            <w:tcW w:w="665" w:type="pct"/>
            <w:tcBorders>
              <w:top w:val="nil"/>
              <w:left w:val="nil"/>
              <w:bottom w:val="nil"/>
              <w:right w:val="nil"/>
            </w:tcBorders>
            <w:shd w:val="clear" w:color="000000" w:fill="FFFFFF"/>
            <w:noWrap/>
            <w:vAlign w:val="bottom"/>
            <w:hideMark/>
          </w:tcPr>
          <w:p w:rsidR="007F0245" w:rsidRPr="001A209B" w:rsidRDefault="007F0245" w:rsidP="007F0245">
            <w:pPr>
              <w:rPr>
                <w:rFonts w:cs="Arial"/>
                <w:sz w:val="18"/>
                <w:szCs w:val="18"/>
              </w:rPr>
            </w:pPr>
            <w:r w:rsidRPr="001A209B">
              <w:rPr>
                <w:rFonts w:cs="Arial"/>
                <w:sz w:val="18"/>
                <w:szCs w:val="18"/>
              </w:rPr>
              <w:t> </w:t>
            </w:r>
          </w:p>
        </w:tc>
      </w:tr>
      <w:tr w:rsidR="007F0245" w:rsidRPr="001A209B" w:rsidTr="007F0245">
        <w:trPr>
          <w:trHeight w:val="240"/>
        </w:trPr>
        <w:tc>
          <w:tcPr>
            <w:tcW w:w="3105" w:type="pct"/>
            <w:tcBorders>
              <w:top w:val="nil"/>
              <w:left w:val="nil"/>
              <w:bottom w:val="single" w:sz="4" w:space="0" w:color="800000"/>
              <w:right w:val="nil"/>
            </w:tcBorders>
            <w:shd w:val="clear" w:color="000000" w:fill="FFFFFF"/>
            <w:noWrap/>
            <w:vAlign w:val="bottom"/>
            <w:hideMark/>
          </w:tcPr>
          <w:p w:rsidR="007F0245" w:rsidRPr="001A209B" w:rsidRDefault="007F0245" w:rsidP="007F0245">
            <w:pPr>
              <w:rPr>
                <w:rFonts w:cs="Arial"/>
                <w:sz w:val="18"/>
                <w:szCs w:val="18"/>
              </w:rPr>
            </w:pPr>
            <w:r w:rsidRPr="001A209B">
              <w:rPr>
                <w:rFonts w:cs="Arial"/>
                <w:sz w:val="18"/>
                <w:szCs w:val="18"/>
              </w:rPr>
              <w:t>Millions of shares</w:t>
            </w:r>
          </w:p>
        </w:tc>
        <w:tc>
          <w:tcPr>
            <w:tcW w:w="665" w:type="pct"/>
            <w:tcBorders>
              <w:top w:val="nil"/>
              <w:left w:val="nil"/>
              <w:bottom w:val="single" w:sz="4" w:space="0" w:color="800000"/>
              <w:right w:val="nil"/>
            </w:tcBorders>
            <w:shd w:val="clear" w:color="000000" w:fill="C0C0C0"/>
            <w:noWrap/>
            <w:vAlign w:val="bottom"/>
            <w:hideMark/>
          </w:tcPr>
          <w:p w:rsidR="007F0245" w:rsidRPr="001A209B" w:rsidRDefault="007F0245" w:rsidP="007F0245">
            <w:pPr>
              <w:jc w:val="right"/>
              <w:rPr>
                <w:rFonts w:cs="Arial"/>
                <w:b/>
                <w:bCs/>
                <w:color w:val="800000"/>
                <w:sz w:val="18"/>
                <w:szCs w:val="18"/>
              </w:rPr>
            </w:pPr>
            <w:r w:rsidRPr="001A209B">
              <w:rPr>
                <w:rFonts w:cs="Arial"/>
                <w:b/>
                <w:bCs/>
                <w:color w:val="800000"/>
                <w:sz w:val="18"/>
                <w:szCs w:val="18"/>
              </w:rPr>
              <w:t> </w:t>
            </w:r>
          </w:p>
        </w:tc>
        <w:tc>
          <w:tcPr>
            <w:tcW w:w="565" w:type="pct"/>
            <w:tcBorders>
              <w:top w:val="nil"/>
              <w:left w:val="nil"/>
              <w:bottom w:val="single" w:sz="4" w:space="0" w:color="800000"/>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w:t>
            </w:r>
          </w:p>
        </w:tc>
        <w:tc>
          <w:tcPr>
            <w:tcW w:w="665" w:type="pct"/>
            <w:tcBorders>
              <w:top w:val="nil"/>
              <w:left w:val="nil"/>
              <w:bottom w:val="single" w:sz="4" w:space="0" w:color="800000"/>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w:t>
            </w:r>
          </w:p>
        </w:tc>
      </w:tr>
      <w:tr w:rsidR="007F0245" w:rsidRPr="001A209B" w:rsidTr="007F0245">
        <w:trPr>
          <w:trHeight w:val="240"/>
        </w:trPr>
        <w:tc>
          <w:tcPr>
            <w:tcW w:w="3105" w:type="pct"/>
            <w:tcBorders>
              <w:top w:val="nil"/>
              <w:left w:val="nil"/>
              <w:bottom w:val="nil"/>
              <w:right w:val="nil"/>
            </w:tcBorders>
            <w:shd w:val="clear" w:color="000000" w:fill="FFFFFF"/>
            <w:hideMark/>
          </w:tcPr>
          <w:p w:rsidR="007F0245" w:rsidRPr="001A209B" w:rsidRDefault="007F0245" w:rsidP="007F0245">
            <w:pPr>
              <w:rPr>
                <w:rFonts w:cs="Arial"/>
                <w:sz w:val="18"/>
                <w:szCs w:val="18"/>
              </w:rPr>
            </w:pPr>
            <w:r w:rsidRPr="001A209B">
              <w:rPr>
                <w:rFonts w:cs="Arial"/>
                <w:sz w:val="18"/>
                <w:szCs w:val="18"/>
              </w:rPr>
              <w:t>Weighted average number of shares:</w:t>
            </w:r>
          </w:p>
        </w:tc>
        <w:tc>
          <w:tcPr>
            <w:tcW w:w="665" w:type="pct"/>
            <w:tcBorders>
              <w:top w:val="nil"/>
              <w:left w:val="nil"/>
              <w:bottom w:val="nil"/>
              <w:right w:val="nil"/>
            </w:tcBorders>
            <w:shd w:val="clear" w:color="000000" w:fill="C0C0C0"/>
            <w:noWrap/>
            <w:vAlign w:val="bottom"/>
            <w:hideMark/>
          </w:tcPr>
          <w:p w:rsidR="007F0245" w:rsidRPr="001A209B" w:rsidRDefault="007F0245" w:rsidP="007F0245">
            <w:pPr>
              <w:rPr>
                <w:rFonts w:cs="Arial"/>
                <w:b/>
                <w:bCs/>
                <w:color w:val="800000"/>
                <w:sz w:val="18"/>
                <w:szCs w:val="18"/>
              </w:rPr>
            </w:pPr>
            <w:r w:rsidRPr="001A209B">
              <w:rPr>
                <w:rFonts w:cs="Arial"/>
                <w:b/>
                <w:bCs/>
                <w:color w:val="800000"/>
                <w:sz w:val="18"/>
                <w:szCs w:val="18"/>
              </w:rPr>
              <w:t> </w:t>
            </w:r>
          </w:p>
        </w:tc>
        <w:tc>
          <w:tcPr>
            <w:tcW w:w="565" w:type="pct"/>
            <w:tcBorders>
              <w:top w:val="nil"/>
              <w:left w:val="nil"/>
              <w:bottom w:val="nil"/>
              <w:right w:val="nil"/>
            </w:tcBorders>
            <w:shd w:val="clear" w:color="000000" w:fill="FFFFFF"/>
            <w:noWrap/>
            <w:vAlign w:val="bottom"/>
            <w:hideMark/>
          </w:tcPr>
          <w:p w:rsidR="007F0245" w:rsidRPr="001A209B" w:rsidRDefault="007F0245" w:rsidP="007F0245">
            <w:pPr>
              <w:rPr>
                <w:rFonts w:cs="Arial"/>
                <w:sz w:val="18"/>
                <w:szCs w:val="18"/>
              </w:rPr>
            </w:pPr>
            <w:r w:rsidRPr="001A209B">
              <w:rPr>
                <w:rFonts w:cs="Arial"/>
                <w:sz w:val="18"/>
                <w:szCs w:val="18"/>
              </w:rPr>
              <w:t> </w:t>
            </w:r>
          </w:p>
        </w:tc>
        <w:tc>
          <w:tcPr>
            <w:tcW w:w="665" w:type="pct"/>
            <w:tcBorders>
              <w:top w:val="nil"/>
              <w:left w:val="nil"/>
              <w:bottom w:val="nil"/>
              <w:right w:val="nil"/>
            </w:tcBorders>
            <w:shd w:val="clear" w:color="000000" w:fill="FFFFFF"/>
            <w:noWrap/>
            <w:vAlign w:val="bottom"/>
            <w:hideMark/>
          </w:tcPr>
          <w:p w:rsidR="007F0245" w:rsidRPr="001A209B" w:rsidRDefault="007F0245" w:rsidP="007F0245">
            <w:pPr>
              <w:rPr>
                <w:rFonts w:cs="Arial"/>
                <w:sz w:val="18"/>
                <w:szCs w:val="18"/>
              </w:rPr>
            </w:pPr>
            <w:r w:rsidRPr="001A209B">
              <w:rPr>
                <w:rFonts w:cs="Arial"/>
                <w:sz w:val="18"/>
                <w:szCs w:val="18"/>
              </w:rPr>
              <w:t> </w:t>
            </w:r>
          </w:p>
        </w:tc>
      </w:tr>
      <w:tr w:rsidR="007F0245" w:rsidRPr="001A209B" w:rsidTr="007F0245">
        <w:trPr>
          <w:trHeight w:val="240"/>
        </w:trPr>
        <w:tc>
          <w:tcPr>
            <w:tcW w:w="3105" w:type="pct"/>
            <w:tcBorders>
              <w:top w:val="nil"/>
              <w:left w:val="nil"/>
              <w:bottom w:val="nil"/>
              <w:right w:val="nil"/>
            </w:tcBorders>
            <w:shd w:val="clear" w:color="000000" w:fill="FFFFFF"/>
            <w:noWrap/>
            <w:vAlign w:val="bottom"/>
            <w:hideMark/>
          </w:tcPr>
          <w:p w:rsidR="007F0245" w:rsidRPr="001A209B" w:rsidRDefault="007F0245" w:rsidP="007F0245">
            <w:pPr>
              <w:rPr>
                <w:rFonts w:cs="Arial"/>
                <w:sz w:val="18"/>
                <w:szCs w:val="18"/>
              </w:rPr>
            </w:pPr>
            <w:r w:rsidRPr="001A209B">
              <w:rPr>
                <w:rFonts w:cs="Arial"/>
                <w:sz w:val="18"/>
                <w:szCs w:val="18"/>
              </w:rPr>
              <w:t>Shares for basic earnings per share</w:t>
            </w:r>
          </w:p>
        </w:tc>
        <w:tc>
          <w:tcPr>
            <w:tcW w:w="665" w:type="pct"/>
            <w:tcBorders>
              <w:top w:val="nil"/>
              <w:left w:val="nil"/>
              <w:bottom w:val="nil"/>
              <w:right w:val="nil"/>
            </w:tcBorders>
            <w:shd w:val="clear" w:color="000000" w:fill="C0C0C0"/>
            <w:noWrap/>
            <w:vAlign w:val="bottom"/>
            <w:hideMark/>
          </w:tcPr>
          <w:p w:rsidR="007F0245" w:rsidRPr="001A209B" w:rsidRDefault="007F0245" w:rsidP="007F0245">
            <w:pPr>
              <w:jc w:val="right"/>
              <w:rPr>
                <w:rFonts w:cs="Arial"/>
                <w:b/>
                <w:bCs/>
                <w:color w:val="800000"/>
                <w:sz w:val="18"/>
                <w:szCs w:val="18"/>
              </w:rPr>
            </w:pPr>
            <w:r w:rsidRPr="001A209B">
              <w:rPr>
                <w:rFonts w:cs="Arial"/>
                <w:b/>
                <w:bCs/>
                <w:color w:val="800000"/>
                <w:sz w:val="18"/>
                <w:szCs w:val="18"/>
              </w:rPr>
              <w:t xml:space="preserve">961.4 </w:t>
            </w:r>
          </w:p>
        </w:tc>
        <w:tc>
          <w:tcPr>
            <w:tcW w:w="565" w:type="pct"/>
            <w:tcBorders>
              <w:top w:val="nil"/>
              <w:left w:val="nil"/>
              <w:bottom w:val="nil"/>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xml:space="preserve">979.6 </w:t>
            </w:r>
          </w:p>
        </w:tc>
        <w:tc>
          <w:tcPr>
            <w:tcW w:w="665" w:type="pct"/>
            <w:tcBorders>
              <w:top w:val="nil"/>
              <w:left w:val="nil"/>
              <w:bottom w:val="nil"/>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xml:space="preserve">973.9 </w:t>
            </w:r>
          </w:p>
        </w:tc>
      </w:tr>
      <w:tr w:rsidR="007F0245" w:rsidRPr="001A209B" w:rsidTr="007F0245">
        <w:trPr>
          <w:trHeight w:val="240"/>
        </w:trPr>
        <w:tc>
          <w:tcPr>
            <w:tcW w:w="3105" w:type="pct"/>
            <w:tcBorders>
              <w:top w:val="nil"/>
              <w:left w:val="nil"/>
              <w:bottom w:val="nil"/>
              <w:right w:val="nil"/>
            </w:tcBorders>
            <w:shd w:val="clear" w:color="000000" w:fill="FFFFFF"/>
            <w:noWrap/>
            <w:vAlign w:val="bottom"/>
            <w:hideMark/>
          </w:tcPr>
          <w:p w:rsidR="007F0245" w:rsidRPr="001A209B" w:rsidRDefault="007F0245" w:rsidP="007F0245">
            <w:pPr>
              <w:rPr>
                <w:rFonts w:cs="Arial"/>
                <w:sz w:val="18"/>
                <w:szCs w:val="18"/>
              </w:rPr>
            </w:pPr>
            <w:r w:rsidRPr="001A209B">
              <w:rPr>
                <w:rFonts w:cs="Arial"/>
                <w:sz w:val="18"/>
                <w:szCs w:val="18"/>
              </w:rPr>
              <w:t>Potentially dilutive share options</w:t>
            </w:r>
          </w:p>
        </w:tc>
        <w:tc>
          <w:tcPr>
            <w:tcW w:w="665" w:type="pct"/>
            <w:tcBorders>
              <w:top w:val="nil"/>
              <w:left w:val="nil"/>
              <w:bottom w:val="nil"/>
              <w:right w:val="nil"/>
            </w:tcBorders>
            <w:shd w:val="clear" w:color="000000" w:fill="C0C0C0"/>
            <w:noWrap/>
            <w:vAlign w:val="bottom"/>
            <w:hideMark/>
          </w:tcPr>
          <w:p w:rsidR="007F0245" w:rsidRPr="001A209B" w:rsidRDefault="007F0245" w:rsidP="007F0245">
            <w:pPr>
              <w:jc w:val="right"/>
              <w:rPr>
                <w:rFonts w:cs="Arial"/>
                <w:b/>
                <w:bCs/>
                <w:color w:val="800000"/>
                <w:sz w:val="18"/>
                <w:szCs w:val="18"/>
              </w:rPr>
            </w:pPr>
            <w:r w:rsidRPr="001A209B">
              <w:rPr>
                <w:rFonts w:cs="Arial"/>
                <w:b/>
                <w:bCs/>
                <w:color w:val="800000"/>
                <w:sz w:val="18"/>
                <w:szCs w:val="18"/>
              </w:rPr>
              <w:t xml:space="preserve">2.0 </w:t>
            </w:r>
          </w:p>
        </w:tc>
        <w:tc>
          <w:tcPr>
            <w:tcW w:w="565" w:type="pct"/>
            <w:tcBorders>
              <w:top w:val="nil"/>
              <w:left w:val="nil"/>
              <w:bottom w:val="nil"/>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xml:space="preserve">2.5 </w:t>
            </w:r>
          </w:p>
        </w:tc>
        <w:tc>
          <w:tcPr>
            <w:tcW w:w="665" w:type="pct"/>
            <w:tcBorders>
              <w:top w:val="nil"/>
              <w:left w:val="nil"/>
              <w:bottom w:val="nil"/>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xml:space="preserve">2.6 </w:t>
            </w:r>
          </w:p>
        </w:tc>
      </w:tr>
      <w:tr w:rsidR="007F0245" w:rsidRPr="001A209B" w:rsidTr="007F0245">
        <w:trPr>
          <w:trHeight w:val="255"/>
        </w:trPr>
        <w:tc>
          <w:tcPr>
            <w:tcW w:w="3105" w:type="pct"/>
            <w:tcBorders>
              <w:top w:val="single" w:sz="4" w:space="0" w:color="800000"/>
              <w:left w:val="nil"/>
              <w:bottom w:val="single" w:sz="8" w:space="0" w:color="800000"/>
              <w:right w:val="nil"/>
            </w:tcBorders>
            <w:shd w:val="clear" w:color="000000" w:fill="FFFFFF"/>
            <w:noWrap/>
            <w:vAlign w:val="bottom"/>
            <w:hideMark/>
          </w:tcPr>
          <w:p w:rsidR="007F0245" w:rsidRPr="001A209B" w:rsidRDefault="007F0245" w:rsidP="007F0245">
            <w:pPr>
              <w:rPr>
                <w:rFonts w:cs="Arial"/>
                <w:sz w:val="18"/>
                <w:szCs w:val="18"/>
              </w:rPr>
            </w:pPr>
            <w:r w:rsidRPr="001A209B">
              <w:rPr>
                <w:rFonts w:cs="Arial"/>
                <w:sz w:val="18"/>
                <w:szCs w:val="18"/>
              </w:rPr>
              <w:t>Shares for diluted earnings per share</w:t>
            </w:r>
          </w:p>
        </w:tc>
        <w:tc>
          <w:tcPr>
            <w:tcW w:w="665" w:type="pct"/>
            <w:tcBorders>
              <w:top w:val="single" w:sz="4" w:space="0" w:color="800000"/>
              <w:left w:val="nil"/>
              <w:bottom w:val="single" w:sz="8" w:space="0" w:color="800000"/>
              <w:right w:val="nil"/>
            </w:tcBorders>
            <w:shd w:val="clear" w:color="000000" w:fill="C0C0C0"/>
            <w:noWrap/>
            <w:vAlign w:val="bottom"/>
            <w:hideMark/>
          </w:tcPr>
          <w:p w:rsidR="007F0245" w:rsidRPr="001A209B" w:rsidRDefault="007F0245" w:rsidP="007F0245">
            <w:pPr>
              <w:jc w:val="right"/>
              <w:rPr>
                <w:rFonts w:cs="Arial"/>
                <w:b/>
                <w:bCs/>
                <w:color w:val="800000"/>
                <w:sz w:val="18"/>
                <w:szCs w:val="18"/>
              </w:rPr>
            </w:pPr>
            <w:r w:rsidRPr="001A209B">
              <w:rPr>
                <w:rFonts w:cs="Arial"/>
                <w:b/>
                <w:bCs/>
                <w:color w:val="800000"/>
                <w:sz w:val="18"/>
                <w:szCs w:val="18"/>
              </w:rPr>
              <w:t xml:space="preserve">963.4 </w:t>
            </w:r>
          </w:p>
        </w:tc>
        <w:tc>
          <w:tcPr>
            <w:tcW w:w="565" w:type="pct"/>
            <w:tcBorders>
              <w:top w:val="single" w:sz="4" w:space="0" w:color="800000"/>
              <w:left w:val="nil"/>
              <w:bottom w:val="single" w:sz="8" w:space="0" w:color="800000"/>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xml:space="preserve">982.1 </w:t>
            </w:r>
          </w:p>
        </w:tc>
        <w:tc>
          <w:tcPr>
            <w:tcW w:w="665" w:type="pct"/>
            <w:tcBorders>
              <w:top w:val="single" w:sz="4" w:space="0" w:color="800000"/>
              <w:left w:val="nil"/>
              <w:bottom w:val="single" w:sz="8" w:space="0" w:color="800000"/>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xml:space="preserve">976.5 </w:t>
            </w:r>
          </w:p>
        </w:tc>
      </w:tr>
      <w:tr w:rsidR="007F0245" w:rsidRPr="001A209B" w:rsidTr="007F0245">
        <w:trPr>
          <w:trHeight w:val="240"/>
        </w:trPr>
        <w:tc>
          <w:tcPr>
            <w:tcW w:w="3105" w:type="pct"/>
            <w:tcBorders>
              <w:top w:val="nil"/>
              <w:left w:val="nil"/>
              <w:bottom w:val="nil"/>
              <w:right w:val="nil"/>
            </w:tcBorders>
            <w:shd w:val="clear" w:color="000000" w:fill="FFFFFF"/>
            <w:noWrap/>
            <w:vAlign w:val="bottom"/>
            <w:hideMark/>
          </w:tcPr>
          <w:p w:rsidR="007F0245" w:rsidRPr="001A209B" w:rsidRDefault="007F0245" w:rsidP="007F0245">
            <w:pPr>
              <w:rPr>
                <w:rFonts w:cs="Arial"/>
                <w:sz w:val="18"/>
                <w:szCs w:val="18"/>
              </w:rPr>
            </w:pPr>
            <w:r w:rsidRPr="001A209B">
              <w:rPr>
                <w:rFonts w:cs="Arial"/>
                <w:sz w:val="18"/>
                <w:szCs w:val="18"/>
              </w:rPr>
              <w:t> </w:t>
            </w:r>
          </w:p>
        </w:tc>
        <w:tc>
          <w:tcPr>
            <w:tcW w:w="665" w:type="pct"/>
            <w:tcBorders>
              <w:top w:val="nil"/>
              <w:left w:val="nil"/>
              <w:bottom w:val="nil"/>
              <w:right w:val="nil"/>
            </w:tcBorders>
            <w:shd w:val="clear" w:color="000000" w:fill="C0C0C0"/>
            <w:noWrap/>
            <w:vAlign w:val="bottom"/>
            <w:hideMark/>
          </w:tcPr>
          <w:p w:rsidR="007F0245" w:rsidRPr="001A209B" w:rsidRDefault="007F0245" w:rsidP="007F0245">
            <w:pPr>
              <w:rPr>
                <w:rFonts w:cs="Arial"/>
                <w:b/>
                <w:bCs/>
                <w:color w:val="800000"/>
                <w:sz w:val="18"/>
                <w:szCs w:val="18"/>
              </w:rPr>
            </w:pPr>
            <w:r w:rsidRPr="001A209B">
              <w:rPr>
                <w:rFonts w:cs="Arial"/>
                <w:b/>
                <w:bCs/>
                <w:color w:val="800000"/>
                <w:sz w:val="18"/>
                <w:szCs w:val="18"/>
              </w:rPr>
              <w:t> </w:t>
            </w:r>
          </w:p>
        </w:tc>
        <w:tc>
          <w:tcPr>
            <w:tcW w:w="565" w:type="pct"/>
            <w:tcBorders>
              <w:top w:val="nil"/>
              <w:left w:val="nil"/>
              <w:bottom w:val="nil"/>
              <w:right w:val="nil"/>
            </w:tcBorders>
            <w:shd w:val="clear" w:color="000000" w:fill="FFFFFF"/>
            <w:noWrap/>
            <w:vAlign w:val="bottom"/>
            <w:hideMark/>
          </w:tcPr>
          <w:p w:rsidR="007F0245" w:rsidRPr="001A209B" w:rsidRDefault="007F0245" w:rsidP="007F0245">
            <w:pPr>
              <w:rPr>
                <w:rFonts w:cs="Arial"/>
                <w:sz w:val="18"/>
                <w:szCs w:val="18"/>
              </w:rPr>
            </w:pPr>
            <w:r w:rsidRPr="001A209B">
              <w:rPr>
                <w:rFonts w:cs="Arial"/>
                <w:sz w:val="18"/>
                <w:szCs w:val="18"/>
              </w:rPr>
              <w:t> </w:t>
            </w:r>
          </w:p>
        </w:tc>
        <w:tc>
          <w:tcPr>
            <w:tcW w:w="665" w:type="pct"/>
            <w:tcBorders>
              <w:top w:val="nil"/>
              <w:left w:val="nil"/>
              <w:bottom w:val="nil"/>
              <w:right w:val="nil"/>
            </w:tcBorders>
            <w:shd w:val="clear" w:color="000000" w:fill="FFFFFF"/>
            <w:noWrap/>
            <w:vAlign w:val="bottom"/>
            <w:hideMark/>
          </w:tcPr>
          <w:p w:rsidR="007F0245" w:rsidRPr="001A209B" w:rsidRDefault="007F0245" w:rsidP="007F0245">
            <w:pPr>
              <w:rPr>
                <w:rFonts w:cs="Arial"/>
                <w:sz w:val="18"/>
                <w:szCs w:val="18"/>
              </w:rPr>
            </w:pPr>
            <w:r w:rsidRPr="001A209B">
              <w:rPr>
                <w:rFonts w:cs="Arial"/>
                <w:sz w:val="18"/>
                <w:szCs w:val="18"/>
              </w:rPr>
              <w:t> </w:t>
            </w:r>
          </w:p>
        </w:tc>
      </w:tr>
      <w:tr w:rsidR="007F0245" w:rsidRPr="001A209B" w:rsidTr="007F0245">
        <w:trPr>
          <w:trHeight w:val="240"/>
        </w:trPr>
        <w:tc>
          <w:tcPr>
            <w:tcW w:w="3105" w:type="pct"/>
            <w:tcBorders>
              <w:top w:val="nil"/>
              <w:left w:val="nil"/>
              <w:bottom w:val="single" w:sz="4" w:space="0" w:color="800000"/>
              <w:right w:val="nil"/>
            </w:tcBorders>
            <w:shd w:val="clear" w:color="000000" w:fill="FFFFFF"/>
            <w:noWrap/>
            <w:vAlign w:val="bottom"/>
            <w:hideMark/>
          </w:tcPr>
          <w:p w:rsidR="007F0245" w:rsidRPr="001A209B" w:rsidRDefault="007F0245" w:rsidP="007F0245">
            <w:pPr>
              <w:rPr>
                <w:rFonts w:cs="Arial"/>
                <w:sz w:val="18"/>
                <w:szCs w:val="18"/>
              </w:rPr>
            </w:pPr>
            <w:r w:rsidRPr="001A209B">
              <w:rPr>
                <w:rFonts w:cs="Arial"/>
                <w:sz w:val="18"/>
                <w:szCs w:val="18"/>
              </w:rPr>
              <w:t>Pence</w:t>
            </w:r>
          </w:p>
        </w:tc>
        <w:tc>
          <w:tcPr>
            <w:tcW w:w="665" w:type="pct"/>
            <w:tcBorders>
              <w:top w:val="nil"/>
              <w:left w:val="nil"/>
              <w:bottom w:val="single" w:sz="4" w:space="0" w:color="800000"/>
              <w:right w:val="nil"/>
            </w:tcBorders>
            <w:shd w:val="clear" w:color="000000" w:fill="C0C0C0"/>
            <w:noWrap/>
            <w:vAlign w:val="bottom"/>
            <w:hideMark/>
          </w:tcPr>
          <w:p w:rsidR="007F0245" w:rsidRPr="001A209B" w:rsidRDefault="007F0245" w:rsidP="007F0245">
            <w:pPr>
              <w:jc w:val="right"/>
              <w:rPr>
                <w:rFonts w:cs="Arial"/>
                <w:b/>
                <w:bCs/>
                <w:color w:val="800000"/>
                <w:sz w:val="18"/>
                <w:szCs w:val="18"/>
              </w:rPr>
            </w:pPr>
            <w:r w:rsidRPr="001A209B">
              <w:rPr>
                <w:rFonts w:cs="Arial"/>
                <w:b/>
                <w:bCs/>
                <w:color w:val="800000"/>
                <w:sz w:val="18"/>
                <w:szCs w:val="18"/>
              </w:rPr>
              <w:t> </w:t>
            </w:r>
          </w:p>
        </w:tc>
        <w:tc>
          <w:tcPr>
            <w:tcW w:w="565" w:type="pct"/>
            <w:tcBorders>
              <w:top w:val="nil"/>
              <w:left w:val="nil"/>
              <w:bottom w:val="single" w:sz="4" w:space="0" w:color="800000"/>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w:t>
            </w:r>
          </w:p>
        </w:tc>
        <w:tc>
          <w:tcPr>
            <w:tcW w:w="665" w:type="pct"/>
            <w:tcBorders>
              <w:top w:val="nil"/>
              <w:left w:val="nil"/>
              <w:bottom w:val="single" w:sz="4" w:space="0" w:color="800000"/>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w:t>
            </w:r>
          </w:p>
        </w:tc>
      </w:tr>
      <w:tr w:rsidR="007F0245" w:rsidRPr="001A209B" w:rsidTr="007F0245">
        <w:trPr>
          <w:trHeight w:val="240"/>
        </w:trPr>
        <w:tc>
          <w:tcPr>
            <w:tcW w:w="3105" w:type="pct"/>
            <w:tcBorders>
              <w:top w:val="nil"/>
              <w:left w:val="nil"/>
              <w:bottom w:val="nil"/>
              <w:right w:val="nil"/>
            </w:tcBorders>
            <w:shd w:val="clear" w:color="000000" w:fill="FFFFFF"/>
            <w:noWrap/>
            <w:vAlign w:val="bottom"/>
            <w:hideMark/>
          </w:tcPr>
          <w:p w:rsidR="007F0245" w:rsidRPr="001A209B" w:rsidRDefault="007F0245" w:rsidP="007F0245">
            <w:pPr>
              <w:rPr>
                <w:rFonts w:cs="Arial"/>
                <w:sz w:val="18"/>
                <w:szCs w:val="18"/>
              </w:rPr>
            </w:pPr>
            <w:r w:rsidRPr="001A209B">
              <w:rPr>
                <w:rFonts w:cs="Arial"/>
                <w:sz w:val="18"/>
                <w:szCs w:val="18"/>
              </w:rPr>
              <w:t>Basic earnings per share</w:t>
            </w:r>
          </w:p>
        </w:tc>
        <w:tc>
          <w:tcPr>
            <w:tcW w:w="665" w:type="pct"/>
            <w:tcBorders>
              <w:top w:val="nil"/>
              <w:left w:val="nil"/>
              <w:bottom w:val="nil"/>
              <w:right w:val="nil"/>
            </w:tcBorders>
            <w:shd w:val="clear" w:color="000000" w:fill="C0C0C0"/>
            <w:noWrap/>
            <w:vAlign w:val="bottom"/>
            <w:hideMark/>
          </w:tcPr>
          <w:p w:rsidR="007F0245" w:rsidRPr="001A209B" w:rsidRDefault="007F0245" w:rsidP="007F0245">
            <w:pPr>
              <w:jc w:val="right"/>
              <w:rPr>
                <w:rFonts w:cs="Arial"/>
                <w:b/>
                <w:bCs/>
                <w:color w:val="800000"/>
                <w:sz w:val="18"/>
                <w:szCs w:val="18"/>
              </w:rPr>
            </w:pPr>
            <w:r w:rsidRPr="001A209B">
              <w:rPr>
                <w:rFonts w:cs="Arial"/>
                <w:b/>
                <w:bCs/>
                <w:color w:val="800000"/>
                <w:sz w:val="18"/>
                <w:szCs w:val="18"/>
              </w:rPr>
              <w:t xml:space="preserve">38.1 </w:t>
            </w:r>
          </w:p>
        </w:tc>
        <w:tc>
          <w:tcPr>
            <w:tcW w:w="565" w:type="pct"/>
            <w:tcBorders>
              <w:top w:val="nil"/>
              <w:left w:val="nil"/>
              <w:bottom w:val="nil"/>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xml:space="preserve">62.4 </w:t>
            </w:r>
          </w:p>
        </w:tc>
        <w:tc>
          <w:tcPr>
            <w:tcW w:w="665" w:type="pct"/>
            <w:tcBorders>
              <w:top w:val="nil"/>
              <w:left w:val="nil"/>
              <w:bottom w:val="nil"/>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xml:space="preserve">92.9 </w:t>
            </w:r>
          </w:p>
        </w:tc>
      </w:tr>
      <w:tr w:rsidR="007F0245" w:rsidRPr="001A209B" w:rsidTr="007F0245">
        <w:trPr>
          <w:trHeight w:val="255"/>
        </w:trPr>
        <w:tc>
          <w:tcPr>
            <w:tcW w:w="3105" w:type="pct"/>
            <w:tcBorders>
              <w:top w:val="nil"/>
              <w:left w:val="nil"/>
              <w:bottom w:val="single" w:sz="8" w:space="0" w:color="800000"/>
              <w:right w:val="nil"/>
            </w:tcBorders>
            <w:shd w:val="clear" w:color="000000" w:fill="FFFFFF"/>
            <w:noWrap/>
            <w:vAlign w:val="bottom"/>
            <w:hideMark/>
          </w:tcPr>
          <w:p w:rsidR="007F0245" w:rsidRPr="001A209B" w:rsidRDefault="007F0245" w:rsidP="007F0245">
            <w:pPr>
              <w:rPr>
                <w:rFonts w:cs="Arial"/>
                <w:sz w:val="18"/>
                <w:szCs w:val="18"/>
              </w:rPr>
            </w:pPr>
            <w:r w:rsidRPr="001A209B">
              <w:rPr>
                <w:rFonts w:cs="Arial"/>
                <w:sz w:val="18"/>
                <w:szCs w:val="18"/>
              </w:rPr>
              <w:t>Diluted earnings per share</w:t>
            </w:r>
          </w:p>
        </w:tc>
        <w:tc>
          <w:tcPr>
            <w:tcW w:w="665" w:type="pct"/>
            <w:tcBorders>
              <w:top w:val="nil"/>
              <w:left w:val="nil"/>
              <w:bottom w:val="single" w:sz="8" w:space="0" w:color="800000"/>
              <w:right w:val="nil"/>
            </w:tcBorders>
            <w:shd w:val="clear" w:color="000000" w:fill="C0C0C0"/>
            <w:noWrap/>
            <w:vAlign w:val="bottom"/>
            <w:hideMark/>
          </w:tcPr>
          <w:p w:rsidR="007F0245" w:rsidRPr="001A209B" w:rsidRDefault="007F0245" w:rsidP="007F0245">
            <w:pPr>
              <w:jc w:val="right"/>
              <w:rPr>
                <w:rFonts w:cs="Arial"/>
                <w:b/>
                <w:bCs/>
                <w:color w:val="800000"/>
                <w:sz w:val="18"/>
                <w:szCs w:val="18"/>
              </w:rPr>
            </w:pPr>
            <w:r w:rsidRPr="001A209B">
              <w:rPr>
                <w:rFonts w:cs="Arial"/>
                <w:b/>
                <w:bCs/>
                <w:color w:val="800000"/>
                <w:sz w:val="18"/>
                <w:szCs w:val="18"/>
              </w:rPr>
              <w:t xml:space="preserve">38.0 </w:t>
            </w:r>
          </w:p>
        </w:tc>
        <w:tc>
          <w:tcPr>
            <w:tcW w:w="565" w:type="pct"/>
            <w:tcBorders>
              <w:top w:val="nil"/>
              <w:left w:val="nil"/>
              <w:bottom w:val="single" w:sz="8" w:space="0" w:color="800000"/>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xml:space="preserve">62.2 </w:t>
            </w:r>
          </w:p>
        </w:tc>
        <w:tc>
          <w:tcPr>
            <w:tcW w:w="665" w:type="pct"/>
            <w:tcBorders>
              <w:top w:val="nil"/>
              <w:left w:val="nil"/>
              <w:bottom w:val="single" w:sz="8" w:space="0" w:color="800000"/>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xml:space="preserve">92.7 </w:t>
            </w:r>
          </w:p>
        </w:tc>
      </w:tr>
    </w:tbl>
    <w:p w:rsidR="007F0245" w:rsidRPr="001A209B" w:rsidRDefault="007F0245" w:rsidP="004C4821">
      <w:pPr>
        <w:jc w:val="both"/>
        <w:rPr>
          <w:rFonts w:cs="Arial"/>
          <w:color w:val="A60D1F"/>
          <w:sz w:val="18"/>
          <w:szCs w:val="18"/>
        </w:rPr>
      </w:pPr>
    </w:p>
    <w:p w:rsidR="006D48E5" w:rsidRPr="001A209B" w:rsidRDefault="006D48E5" w:rsidP="007F0245">
      <w:pPr>
        <w:jc w:val="both"/>
        <w:rPr>
          <w:rFonts w:cs="Arial"/>
          <w:b/>
          <w:bCs/>
          <w:color w:val="A60D1F"/>
          <w:sz w:val="18"/>
          <w:szCs w:val="18"/>
        </w:rPr>
      </w:pPr>
    </w:p>
    <w:p w:rsidR="00C40103" w:rsidRPr="001A209B" w:rsidRDefault="00C40103">
      <w:pPr>
        <w:rPr>
          <w:rFonts w:cs="Arial"/>
          <w:b/>
          <w:bCs/>
          <w:color w:val="A60D1F"/>
          <w:sz w:val="18"/>
          <w:szCs w:val="18"/>
        </w:rPr>
      </w:pPr>
      <w:r w:rsidRPr="001A209B">
        <w:rPr>
          <w:rFonts w:cs="Arial"/>
          <w:b/>
          <w:bCs/>
          <w:color w:val="A60D1F"/>
          <w:sz w:val="18"/>
          <w:szCs w:val="18"/>
        </w:rPr>
        <w:br w:type="page"/>
      </w:r>
    </w:p>
    <w:p w:rsidR="007F0245" w:rsidRPr="001A209B" w:rsidRDefault="007F0245" w:rsidP="007F0245">
      <w:pPr>
        <w:jc w:val="both"/>
        <w:rPr>
          <w:rFonts w:cs="Arial"/>
          <w:b/>
          <w:bCs/>
          <w:color w:val="A60D1F"/>
          <w:sz w:val="18"/>
          <w:szCs w:val="18"/>
        </w:rPr>
      </w:pPr>
      <w:r w:rsidRPr="001A209B">
        <w:rPr>
          <w:rFonts w:cs="Arial"/>
          <w:b/>
          <w:bCs/>
          <w:color w:val="A60D1F"/>
          <w:sz w:val="18"/>
          <w:szCs w:val="18"/>
        </w:rPr>
        <w:t>Reconciliation from reported to adjusted earnings and earnings per share</w:t>
      </w:r>
    </w:p>
    <w:tbl>
      <w:tblPr>
        <w:tblW w:w="5000" w:type="pct"/>
        <w:tblLook w:val="04A0" w:firstRow="1" w:lastRow="0" w:firstColumn="1" w:lastColumn="0" w:noHBand="0" w:noVBand="1"/>
      </w:tblPr>
      <w:tblGrid>
        <w:gridCol w:w="3346"/>
        <w:gridCol w:w="1048"/>
        <w:gridCol w:w="987"/>
        <w:gridCol w:w="1051"/>
        <w:gridCol w:w="927"/>
        <w:gridCol w:w="980"/>
        <w:gridCol w:w="927"/>
      </w:tblGrid>
      <w:tr w:rsidR="007F0245" w:rsidRPr="001A209B" w:rsidTr="006D48E5">
        <w:trPr>
          <w:trHeight w:val="645"/>
        </w:trPr>
        <w:tc>
          <w:tcPr>
            <w:tcW w:w="1806" w:type="pct"/>
            <w:tcBorders>
              <w:top w:val="nil"/>
              <w:left w:val="nil"/>
              <w:bottom w:val="nil"/>
              <w:right w:val="nil"/>
            </w:tcBorders>
            <w:shd w:val="clear" w:color="000000" w:fill="FFFFFF"/>
            <w:noWrap/>
            <w:vAlign w:val="bottom"/>
            <w:hideMark/>
          </w:tcPr>
          <w:p w:rsidR="007F0245" w:rsidRPr="001A209B" w:rsidRDefault="007F0245" w:rsidP="007F0245">
            <w:pPr>
              <w:rPr>
                <w:rFonts w:cs="Arial"/>
                <w:b/>
                <w:bCs/>
                <w:color w:val="800000"/>
                <w:sz w:val="18"/>
                <w:szCs w:val="18"/>
              </w:rPr>
            </w:pPr>
            <w:r w:rsidRPr="001A209B">
              <w:rPr>
                <w:rFonts w:cs="Arial"/>
                <w:b/>
                <w:bCs/>
                <w:color w:val="800000"/>
                <w:sz w:val="18"/>
                <w:szCs w:val="18"/>
              </w:rPr>
              <w:t> </w:t>
            </w:r>
          </w:p>
        </w:tc>
        <w:tc>
          <w:tcPr>
            <w:tcW w:w="1099" w:type="pct"/>
            <w:gridSpan w:val="2"/>
            <w:tcBorders>
              <w:top w:val="nil"/>
              <w:left w:val="nil"/>
              <w:bottom w:val="single" w:sz="4" w:space="0" w:color="800000"/>
              <w:right w:val="nil"/>
            </w:tcBorders>
            <w:shd w:val="clear" w:color="000000" w:fill="FFFFFF"/>
            <w:vAlign w:val="bottom"/>
            <w:hideMark/>
          </w:tcPr>
          <w:p w:rsidR="007F0245" w:rsidRPr="001A209B" w:rsidRDefault="007F0245" w:rsidP="007F0245">
            <w:pPr>
              <w:jc w:val="center"/>
              <w:rPr>
                <w:rFonts w:cs="Arial"/>
                <w:b/>
                <w:bCs/>
                <w:color w:val="800000"/>
                <w:sz w:val="18"/>
                <w:szCs w:val="18"/>
              </w:rPr>
            </w:pPr>
            <w:r w:rsidRPr="001A209B">
              <w:rPr>
                <w:rFonts w:cs="Arial"/>
                <w:b/>
                <w:bCs/>
                <w:color w:val="800000"/>
                <w:sz w:val="18"/>
                <w:szCs w:val="18"/>
              </w:rPr>
              <w:t>6 months ended</w:t>
            </w:r>
            <w:r w:rsidRPr="001A209B">
              <w:rPr>
                <w:rFonts w:cs="Arial"/>
                <w:b/>
                <w:bCs/>
                <w:color w:val="800000"/>
                <w:sz w:val="18"/>
                <w:szCs w:val="18"/>
              </w:rPr>
              <w:br/>
              <w:t>31 March 2014</w:t>
            </w:r>
          </w:p>
        </w:tc>
        <w:tc>
          <w:tcPr>
            <w:tcW w:w="1067" w:type="pct"/>
            <w:gridSpan w:val="2"/>
            <w:tcBorders>
              <w:top w:val="nil"/>
              <w:left w:val="nil"/>
              <w:bottom w:val="single" w:sz="4" w:space="0" w:color="800000"/>
              <w:right w:val="nil"/>
            </w:tcBorders>
            <w:shd w:val="clear" w:color="000000" w:fill="FFFFFF"/>
            <w:vAlign w:val="bottom"/>
            <w:hideMark/>
          </w:tcPr>
          <w:p w:rsidR="007F0245" w:rsidRPr="001A209B" w:rsidRDefault="007F0245" w:rsidP="007F0245">
            <w:pPr>
              <w:jc w:val="center"/>
              <w:rPr>
                <w:rFonts w:cs="Arial"/>
                <w:sz w:val="18"/>
                <w:szCs w:val="18"/>
              </w:rPr>
            </w:pPr>
            <w:r w:rsidRPr="001A209B">
              <w:rPr>
                <w:rFonts w:cs="Arial"/>
                <w:sz w:val="18"/>
                <w:szCs w:val="18"/>
              </w:rPr>
              <w:t>6 months ended</w:t>
            </w:r>
            <w:r w:rsidRPr="001A209B">
              <w:rPr>
                <w:rFonts w:cs="Arial"/>
                <w:sz w:val="18"/>
                <w:szCs w:val="18"/>
              </w:rPr>
              <w:br/>
              <w:t>31 March 2013</w:t>
            </w:r>
          </w:p>
        </w:tc>
        <w:tc>
          <w:tcPr>
            <w:tcW w:w="1029" w:type="pct"/>
            <w:gridSpan w:val="2"/>
            <w:tcBorders>
              <w:top w:val="nil"/>
              <w:left w:val="nil"/>
              <w:bottom w:val="single" w:sz="4" w:space="0" w:color="800000"/>
              <w:right w:val="nil"/>
            </w:tcBorders>
            <w:shd w:val="clear" w:color="000000" w:fill="FFFFFF"/>
            <w:vAlign w:val="bottom"/>
            <w:hideMark/>
          </w:tcPr>
          <w:p w:rsidR="007F0245" w:rsidRPr="001A209B" w:rsidRDefault="007F0245" w:rsidP="007F0245">
            <w:pPr>
              <w:jc w:val="center"/>
              <w:rPr>
                <w:rFonts w:cs="Arial"/>
                <w:sz w:val="18"/>
                <w:szCs w:val="18"/>
              </w:rPr>
            </w:pPr>
            <w:r w:rsidRPr="001A209B">
              <w:rPr>
                <w:rFonts w:cs="Arial"/>
                <w:sz w:val="18"/>
                <w:szCs w:val="18"/>
              </w:rPr>
              <w:t>6 months ended</w:t>
            </w:r>
            <w:r w:rsidRPr="001A209B">
              <w:rPr>
                <w:rFonts w:cs="Arial"/>
                <w:sz w:val="18"/>
                <w:szCs w:val="18"/>
              </w:rPr>
              <w:br/>
              <w:t>30 September 2013</w:t>
            </w:r>
          </w:p>
        </w:tc>
      </w:tr>
      <w:tr w:rsidR="007F0245" w:rsidRPr="001A209B" w:rsidTr="006D48E5">
        <w:trPr>
          <w:trHeight w:val="240"/>
        </w:trPr>
        <w:tc>
          <w:tcPr>
            <w:tcW w:w="1806" w:type="pct"/>
            <w:tcBorders>
              <w:top w:val="nil"/>
              <w:left w:val="nil"/>
              <w:bottom w:val="nil"/>
              <w:right w:val="nil"/>
            </w:tcBorders>
            <w:shd w:val="clear" w:color="000000" w:fill="FFFFFF"/>
            <w:noWrap/>
            <w:vAlign w:val="bottom"/>
            <w:hideMark/>
          </w:tcPr>
          <w:p w:rsidR="007F0245" w:rsidRPr="001A209B" w:rsidRDefault="007F0245" w:rsidP="007F0245">
            <w:pPr>
              <w:rPr>
                <w:rFonts w:cs="Arial"/>
                <w:color w:val="000000"/>
                <w:sz w:val="18"/>
                <w:szCs w:val="18"/>
              </w:rPr>
            </w:pPr>
            <w:r w:rsidRPr="001A209B">
              <w:rPr>
                <w:rFonts w:cs="Arial"/>
                <w:color w:val="000000"/>
                <w:sz w:val="18"/>
                <w:szCs w:val="18"/>
              </w:rPr>
              <w:t> </w:t>
            </w:r>
          </w:p>
        </w:tc>
        <w:tc>
          <w:tcPr>
            <w:tcW w:w="566" w:type="pct"/>
            <w:tcBorders>
              <w:top w:val="nil"/>
              <w:left w:val="nil"/>
              <w:bottom w:val="nil"/>
              <w:right w:val="nil"/>
            </w:tcBorders>
            <w:shd w:val="clear" w:color="000000" w:fill="FFFFFF"/>
            <w:noWrap/>
            <w:vAlign w:val="bottom"/>
            <w:hideMark/>
          </w:tcPr>
          <w:p w:rsidR="007F0245" w:rsidRPr="001A209B" w:rsidRDefault="007F0245" w:rsidP="007F0245">
            <w:pPr>
              <w:jc w:val="right"/>
              <w:rPr>
                <w:rFonts w:cs="Arial"/>
                <w:b/>
                <w:bCs/>
                <w:color w:val="800000"/>
                <w:sz w:val="18"/>
                <w:szCs w:val="18"/>
              </w:rPr>
            </w:pPr>
            <w:r w:rsidRPr="001A209B">
              <w:rPr>
                <w:rFonts w:cs="Arial"/>
                <w:b/>
                <w:bCs/>
                <w:color w:val="800000"/>
                <w:sz w:val="18"/>
                <w:szCs w:val="18"/>
              </w:rPr>
              <w:t xml:space="preserve">Earnings </w:t>
            </w:r>
          </w:p>
        </w:tc>
        <w:tc>
          <w:tcPr>
            <w:tcW w:w="533" w:type="pct"/>
            <w:tcBorders>
              <w:top w:val="nil"/>
              <w:left w:val="nil"/>
              <w:bottom w:val="nil"/>
              <w:right w:val="nil"/>
            </w:tcBorders>
            <w:shd w:val="clear" w:color="000000" w:fill="FFFFFF"/>
            <w:noWrap/>
            <w:vAlign w:val="bottom"/>
            <w:hideMark/>
          </w:tcPr>
          <w:p w:rsidR="007F0245" w:rsidRPr="001A209B" w:rsidRDefault="007F0245" w:rsidP="007F0245">
            <w:pPr>
              <w:jc w:val="right"/>
              <w:rPr>
                <w:rFonts w:cs="Arial"/>
                <w:b/>
                <w:bCs/>
                <w:color w:val="800000"/>
                <w:sz w:val="18"/>
                <w:szCs w:val="18"/>
              </w:rPr>
            </w:pPr>
            <w:r w:rsidRPr="001A209B">
              <w:rPr>
                <w:rFonts w:cs="Arial"/>
                <w:b/>
                <w:bCs/>
                <w:color w:val="800000"/>
                <w:sz w:val="18"/>
                <w:szCs w:val="18"/>
              </w:rPr>
              <w:t> </w:t>
            </w:r>
          </w:p>
        </w:tc>
        <w:tc>
          <w:tcPr>
            <w:tcW w:w="567" w:type="pct"/>
            <w:tcBorders>
              <w:top w:val="nil"/>
              <w:left w:val="nil"/>
              <w:bottom w:val="nil"/>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xml:space="preserve">Earnings </w:t>
            </w:r>
          </w:p>
        </w:tc>
        <w:tc>
          <w:tcPr>
            <w:tcW w:w="500" w:type="pct"/>
            <w:tcBorders>
              <w:top w:val="nil"/>
              <w:left w:val="nil"/>
              <w:bottom w:val="nil"/>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w:t>
            </w:r>
          </w:p>
        </w:tc>
        <w:tc>
          <w:tcPr>
            <w:tcW w:w="529" w:type="pct"/>
            <w:tcBorders>
              <w:top w:val="nil"/>
              <w:left w:val="nil"/>
              <w:bottom w:val="nil"/>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xml:space="preserve">Earnings </w:t>
            </w:r>
          </w:p>
        </w:tc>
        <w:tc>
          <w:tcPr>
            <w:tcW w:w="500" w:type="pct"/>
            <w:tcBorders>
              <w:top w:val="nil"/>
              <w:left w:val="nil"/>
              <w:bottom w:val="nil"/>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w:t>
            </w:r>
          </w:p>
        </w:tc>
      </w:tr>
      <w:tr w:rsidR="007F0245" w:rsidRPr="001A209B" w:rsidTr="006D48E5">
        <w:trPr>
          <w:trHeight w:val="240"/>
        </w:trPr>
        <w:tc>
          <w:tcPr>
            <w:tcW w:w="1806" w:type="pct"/>
            <w:tcBorders>
              <w:top w:val="nil"/>
              <w:left w:val="nil"/>
              <w:bottom w:val="nil"/>
              <w:right w:val="nil"/>
            </w:tcBorders>
            <w:shd w:val="clear" w:color="000000" w:fill="FFFFFF"/>
            <w:noWrap/>
            <w:vAlign w:val="bottom"/>
            <w:hideMark/>
          </w:tcPr>
          <w:p w:rsidR="007F0245" w:rsidRPr="001A209B" w:rsidRDefault="007F0245" w:rsidP="007F0245">
            <w:pPr>
              <w:rPr>
                <w:rFonts w:cs="Arial"/>
                <w:color w:val="000000"/>
                <w:sz w:val="18"/>
                <w:szCs w:val="18"/>
              </w:rPr>
            </w:pPr>
            <w:r w:rsidRPr="001A209B">
              <w:rPr>
                <w:rFonts w:cs="Arial"/>
                <w:color w:val="000000"/>
                <w:sz w:val="18"/>
                <w:szCs w:val="18"/>
              </w:rPr>
              <w:t> </w:t>
            </w:r>
          </w:p>
        </w:tc>
        <w:tc>
          <w:tcPr>
            <w:tcW w:w="566" w:type="pct"/>
            <w:tcBorders>
              <w:top w:val="nil"/>
              <w:left w:val="nil"/>
              <w:bottom w:val="nil"/>
              <w:right w:val="nil"/>
            </w:tcBorders>
            <w:shd w:val="clear" w:color="000000" w:fill="FFFFFF"/>
            <w:noWrap/>
            <w:vAlign w:val="bottom"/>
            <w:hideMark/>
          </w:tcPr>
          <w:p w:rsidR="007F0245" w:rsidRPr="001A209B" w:rsidRDefault="007F0245" w:rsidP="007F0245">
            <w:pPr>
              <w:jc w:val="right"/>
              <w:rPr>
                <w:rFonts w:cs="Arial"/>
                <w:b/>
                <w:bCs/>
                <w:color w:val="800000"/>
                <w:sz w:val="18"/>
                <w:szCs w:val="18"/>
              </w:rPr>
            </w:pPr>
            <w:r w:rsidRPr="001A209B">
              <w:rPr>
                <w:rFonts w:cs="Arial"/>
                <w:b/>
                <w:bCs/>
                <w:color w:val="800000"/>
                <w:sz w:val="18"/>
                <w:szCs w:val="18"/>
              </w:rPr>
              <w:t xml:space="preserve">per share </w:t>
            </w:r>
          </w:p>
        </w:tc>
        <w:tc>
          <w:tcPr>
            <w:tcW w:w="533" w:type="pct"/>
            <w:tcBorders>
              <w:top w:val="nil"/>
              <w:left w:val="nil"/>
              <w:bottom w:val="nil"/>
              <w:right w:val="nil"/>
            </w:tcBorders>
            <w:shd w:val="clear" w:color="000000" w:fill="FFFFFF"/>
            <w:noWrap/>
            <w:vAlign w:val="bottom"/>
            <w:hideMark/>
          </w:tcPr>
          <w:p w:rsidR="007F0245" w:rsidRPr="001A209B" w:rsidRDefault="007F0245" w:rsidP="007F0245">
            <w:pPr>
              <w:jc w:val="right"/>
              <w:rPr>
                <w:rFonts w:cs="Arial"/>
                <w:b/>
                <w:bCs/>
                <w:color w:val="800000"/>
                <w:sz w:val="18"/>
                <w:szCs w:val="18"/>
              </w:rPr>
            </w:pPr>
            <w:r w:rsidRPr="001A209B">
              <w:rPr>
                <w:rFonts w:cs="Arial"/>
                <w:b/>
                <w:bCs/>
                <w:color w:val="800000"/>
                <w:sz w:val="18"/>
                <w:szCs w:val="18"/>
              </w:rPr>
              <w:t> </w:t>
            </w:r>
          </w:p>
        </w:tc>
        <w:tc>
          <w:tcPr>
            <w:tcW w:w="567" w:type="pct"/>
            <w:tcBorders>
              <w:top w:val="nil"/>
              <w:left w:val="nil"/>
              <w:bottom w:val="nil"/>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xml:space="preserve">per share </w:t>
            </w:r>
          </w:p>
        </w:tc>
        <w:tc>
          <w:tcPr>
            <w:tcW w:w="500" w:type="pct"/>
            <w:tcBorders>
              <w:top w:val="nil"/>
              <w:left w:val="nil"/>
              <w:bottom w:val="nil"/>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w:t>
            </w:r>
          </w:p>
        </w:tc>
        <w:tc>
          <w:tcPr>
            <w:tcW w:w="529" w:type="pct"/>
            <w:tcBorders>
              <w:top w:val="nil"/>
              <w:left w:val="nil"/>
              <w:bottom w:val="nil"/>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xml:space="preserve">per share </w:t>
            </w:r>
          </w:p>
        </w:tc>
        <w:tc>
          <w:tcPr>
            <w:tcW w:w="500" w:type="pct"/>
            <w:tcBorders>
              <w:top w:val="nil"/>
              <w:left w:val="nil"/>
              <w:bottom w:val="nil"/>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w:t>
            </w:r>
          </w:p>
        </w:tc>
      </w:tr>
      <w:tr w:rsidR="007F0245" w:rsidRPr="001A209B" w:rsidTr="006D48E5">
        <w:trPr>
          <w:trHeight w:val="240"/>
        </w:trPr>
        <w:tc>
          <w:tcPr>
            <w:tcW w:w="1806" w:type="pct"/>
            <w:tcBorders>
              <w:top w:val="nil"/>
              <w:left w:val="nil"/>
              <w:bottom w:val="single" w:sz="4" w:space="0" w:color="800000"/>
              <w:right w:val="nil"/>
            </w:tcBorders>
            <w:shd w:val="clear" w:color="000000" w:fill="FFFFFF"/>
            <w:noWrap/>
            <w:vAlign w:val="bottom"/>
            <w:hideMark/>
          </w:tcPr>
          <w:p w:rsidR="007F0245" w:rsidRPr="001A209B" w:rsidRDefault="007F0245" w:rsidP="007F0245">
            <w:pPr>
              <w:rPr>
                <w:rFonts w:cs="Arial"/>
                <w:sz w:val="18"/>
                <w:szCs w:val="18"/>
              </w:rPr>
            </w:pPr>
            <w:r w:rsidRPr="001A209B">
              <w:rPr>
                <w:rFonts w:cs="Arial"/>
                <w:sz w:val="18"/>
                <w:szCs w:val="18"/>
              </w:rPr>
              <w:t>£ million unless otherwise indicated</w:t>
            </w:r>
          </w:p>
        </w:tc>
        <w:tc>
          <w:tcPr>
            <w:tcW w:w="566" w:type="pct"/>
            <w:tcBorders>
              <w:top w:val="nil"/>
              <w:left w:val="nil"/>
              <w:bottom w:val="single" w:sz="4" w:space="0" w:color="800000"/>
              <w:right w:val="nil"/>
            </w:tcBorders>
            <w:shd w:val="clear" w:color="000000" w:fill="FFFFFF"/>
            <w:noWrap/>
            <w:vAlign w:val="bottom"/>
            <w:hideMark/>
          </w:tcPr>
          <w:p w:rsidR="007F0245" w:rsidRPr="001A209B" w:rsidRDefault="007F0245" w:rsidP="007F0245">
            <w:pPr>
              <w:jc w:val="right"/>
              <w:rPr>
                <w:rFonts w:cs="Arial"/>
                <w:b/>
                <w:bCs/>
                <w:color w:val="800000"/>
                <w:sz w:val="18"/>
                <w:szCs w:val="18"/>
              </w:rPr>
            </w:pPr>
            <w:r w:rsidRPr="001A209B">
              <w:rPr>
                <w:rFonts w:cs="Arial"/>
                <w:b/>
                <w:bCs/>
                <w:color w:val="800000"/>
                <w:sz w:val="18"/>
                <w:szCs w:val="18"/>
              </w:rPr>
              <w:t>(pence)</w:t>
            </w:r>
          </w:p>
        </w:tc>
        <w:tc>
          <w:tcPr>
            <w:tcW w:w="533" w:type="pct"/>
            <w:tcBorders>
              <w:top w:val="nil"/>
              <w:left w:val="nil"/>
              <w:bottom w:val="single" w:sz="4" w:space="0" w:color="800000"/>
              <w:right w:val="nil"/>
            </w:tcBorders>
            <w:shd w:val="clear" w:color="000000" w:fill="FFFFFF"/>
            <w:noWrap/>
            <w:vAlign w:val="bottom"/>
            <w:hideMark/>
          </w:tcPr>
          <w:p w:rsidR="007F0245" w:rsidRPr="001A209B" w:rsidRDefault="007F0245" w:rsidP="007F0245">
            <w:pPr>
              <w:jc w:val="right"/>
              <w:rPr>
                <w:rFonts w:cs="Arial"/>
                <w:b/>
                <w:bCs/>
                <w:color w:val="800000"/>
                <w:sz w:val="18"/>
                <w:szCs w:val="18"/>
              </w:rPr>
            </w:pPr>
            <w:r w:rsidRPr="001A209B">
              <w:rPr>
                <w:rFonts w:cs="Arial"/>
                <w:b/>
                <w:bCs/>
                <w:color w:val="800000"/>
                <w:sz w:val="18"/>
                <w:szCs w:val="18"/>
              </w:rPr>
              <w:t xml:space="preserve">Earnings </w:t>
            </w:r>
          </w:p>
        </w:tc>
        <w:tc>
          <w:tcPr>
            <w:tcW w:w="567" w:type="pct"/>
            <w:tcBorders>
              <w:top w:val="nil"/>
              <w:left w:val="nil"/>
              <w:bottom w:val="single" w:sz="4" w:space="0" w:color="800000"/>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(pence)</w:t>
            </w:r>
          </w:p>
        </w:tc>
        <w:tc>
          <w:tcPr>
            <w:tcW w:w="500" w:type="pct"/>
            <w:tcBorders>
              <w:top w:val="nil"/>
              <w:left w:val="nil"/>
              <w:bottom w:val="single" w:sz="4" w:space="0" w:color="800000"/>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xml:space="preserve">Earnings </w:t>
            </w:r>
          </w:p>
        </w:tc>
        <w:tc>
          <w:tcPr>
            <w:tcW w:w="529" w:type="pct"/>
            <w:tcBorders>
              <w:top w:val="nil"/>
              <w:left w:val="nil"/>
              <w:bottom w:val="single" w:sz="4" w:space="0" w:color="800000"/>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(pence)</w:t>
            </w:r>
          </w:p>
        </w:tc>
        <w:tc>
          <w:tcPr>
            <w:tcW w:w="500" w:type="pct"/>
            <w:tcBorders>
              <w:top w:val="nil"/>
              <w:left w:val="nil"/>
              <w:bottom w:val="single" w:sz="4" w:space="0" w:color="800000"/>
              <w:right w:val="nil"/>
            </w:tcBorders>
            <w:shd w:val="clear" w:color="000000" w:fill="FFFFFF"/>
            <w:noWrap/>
            <w:vAlign w:val="bottom"/>
            <w:hideMark/>
          </w:tcPr>
          <w:p w:rsidR="007F0245" w:rsidRPr="001A209B" w:rsidRDefault="007F0245" w:rsidP="007F0245">
            <w:pPr>
              <w:jc w:val="right"/>
              <w:rPr>
                <w:rFonts w:cs="Arial"/>
                <w:sz w:val="18"/>
                <w:szCs w:val="18"/>
              </w:rPr>
            </w:pPr>
            <w:r w:rsidRPr="001A209B">
              <w:rPr>
                <w:rFonts w:cs="Arial"/>
                <w:sz w:val="18"/>
                <w:szCs w:val="18"/>
              </w:rPr>
              <w:t xml:space="preserve">Earnings </w:t>
            </w:r>
          </w:p>
        </w:tc>
      </w:tr>
      <w:tr w:rsidR="007F0245" w:rsidRPr="001A209B" w:rsidTr="00632DB1">
        <w:trPr>
          <w:trHeight w:val="240"/>
        </w:trPr>
        <w:tc>
          <w:tcPr>
            <w:tcW w:w="1806" w:type="pct"/>
            <w:tcBorders>
              <w:top w:val="nil"/>
              <w:left w:val="nil"/>
              <w:bottom w:val="nil"/>
              <w:right w:val="nil"/>
            </w:tcBorders>
            <w:shd w:val="clear" w:color="000000" w:fill="FFFFFF"/>
            <w:noWrap/>
            <w:vAlign w:val="center"/>
            <w:hideMark/>
          </w:tcPr>
          <w:p w:rsidR="007F0245" w:rsidRPr="001A209B" w:rsidRDefault="007F0245" w:rsidP="00632DB1">
            <w:pPr>
              <w:rPr>
                <w:rFonts w:cs="Arial"/>
                <w:sz w:val="18"/>
                <w:szCs w:val="18"/>
              </w:rPr>
            </w:pPr>
            <w:r w:rsidRPr="001A209B">
              <w:rPr>
                <w:rFonts w:cs="Arial"/>
                <w:sz w:val="18"/>
                <w:szCs w:val="18"/>
              </w:rPr>
              <w:t>Reported basic</w:t>
            </w:r>
          </w:p>
        </w:tc>
        <w:tc>
          <w:tcPr>
            <w:tcW w:w="566" w:type="pct"/>
            <w:tcBorders>
              <w:top w:val="nil"/>
              <w:left w:val="nil"/>
              <w:bottom w:val="nil"/>
              <w:right w:val="nil"/>
            </w:tcBorders>
            <w:shd w:val="clear" w:color="000000" w:fill="C0C0C0"/>
            <w:noWrap/>
            <w:vAlign w:val="center"/>
            <w:hideMark/>
          </w:tcPr>
          <w:p w:rsidR="007F0245" w:rsidRPr="001A209B" w:rsidRDefault="007F0245" w:rsidP="00632DB1">
            <w:pPr>
              <w:jc w:val="right"/>
              <w:rPr>
                <w:rFonts w:cs="Arial"/>
                <w:b/>
                <w:bCs/>
                <w:color w:val="800000"/>
                <w:sz w:val="18"/>
                <w:szCs w:val="18"/>
              </w:rPr>
            </w:pPr>
            <w:r w:rsidRPr="001A209B">
              <w:rPr>
                <w:rFonts w:cs="Arial"/>
                <w:b/>
                <w:bCs/>
                <w:color w:val="800000"/>
                <w:sz w:val="18"/>
                <w:szCs w:val="18"/>
              </w:rPr>
              <w:t>38.1</w:t>
            </w:r>
          </w:p>
        </w:tc>
        <w:tc>
          <w:tcPr>
            <w:tcW w:w="533" w:type="pct"/>
            <w:tcBorders>
              <w:top w:val="nil"/>
              <w:left w:val="nil"/>
              <w:bottom w:val="nil"/>
              <w:right w:val="nil"/>
            </w:tcBorders>
            <w:shd w:val="clear" w:color="000000" w:fill="C0C0C0"/>
            <w:noWrap/>
            <w:vAlign w:val="center"/>
            <w:hideMark/>
          </w:tcPr>
          <w:p w:rsidR="007F0245" w:rsidRPr="001A209B" w:rsidRDefault="007F0245" w:rsidP="00632DB1">
            <w:pPr>
              <w:jc w:val="right"/>
              <w:rPr>
                <w:rFonts w:cs="Arial"/>
                <w:b/>
                <w:bCs/>
                <w:color w:val="800000"/>
                <w:sz w:val="18"/>
                <w:szCs w:val="18"/>
              </w:rPr>
            </w:pPr>
            <w:r w:rsidRPr="001A209B">
              <w:rPr>
                <w:rFonts w:cs="Arial"/>
                <w:b/>
                <w:bCs/>
                <w:color w:val="800000"/>
                <w:sz w:val="18"/>
                <w:szCs w:val="18"/>
              </w:rPr>
              <w:t>366</w:t>
            </w:r>
          </w:p>
        </w:tc>
        <w:tc>
          <w:tcPr>
            <w:tcW w:w="567" w:type="pct"/>
            <w:tcBorders>
              <w:top w:val="nil"/>
              <w:left w:val="nil"/>
              <w:bottom w:val="nil"/>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62.4</w:t>
            </w:r>
          </w:p>
        </w:tc>
        <w:tc>
          <w:tcPr>
            <w:tcW w:w="500" w:type="pct"/>
            <w:tcBorders>
              <w:top w:val="nil"/>
              <w:left w:val="nil"/>
              <w:bottom w:val="nil"/>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611</w:t>
            </w:r>
          </w:p>
        </w:tc>
        <w:tc>
          <w:tcPr>
            <w:tcW w:w="529" w:type="pct"/>
            <w:tcBorders>
              <w:top w:val="nil"/>
              <w:left w:val="nil"/>
              <w:bottom w:val="nil"/>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92.9</w:t>
            </w:r>
          </w:p>
        </w:tc>
        <w:tc>
          <w:tcPr>
            <w:tcW w:w="500" w:type="pct"/>
            <w:tcBorders>
              <w:top w:val="nil"/>
              <w:left w:val="nil"/>
              <w:bottom w:val="nil"/>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905</w:t>
            </w:r>
          </w:p>
        </w:tc>
      </w:tr>
      <w:tr w:rsidR="007F0245" w:rsidRPr="001A209B" w:rsidTr="00632DB1">
        <w:trPr>
          <w:trHeight w:val="240"/>
        </w:trPr>
        <w:tc>
          <w:tcPr>
            <w:tcW w:w="1806" w:type="pct"/>
            <w:tcBorders>
              <w:top w:val="nil"/>
              <w:left w:val="nil"/>
              <w:bottom w:val="nil"/>
              <w:right w:val="nil"/>
            </w:tcBorders>
            <w:shd w:val="clear" w:color="000000" w:fill="FFFFFF"/>
            <w:noWrap/>
            <w:vAlign w:val="center"/>
            <w:hideMark/>
          </w:tcPr>
          <w:p w:rsidR="007F0245" w:rsidRPr="001A209B" w:rsidRDefault="007F0245" w:rsidP="00632DB1">
            <w:pPr>
              <w:rPr>
                <w:rFonts w:cs="Arial"/>
                <w:color w:val="000000"/>
                <w:sz w:val="18"/>
                <w:szCs w:val="18"/>
              </w:rPr>
            </w:pPr>
            <w:r w:rsidRPr="001A209B">
              <w:rPr>
                <w:rFonts w:cs="Arial"/>
                <w:color w:val="000000"/>
                <w:sz w:val="18"/>
                <w:szCs w:val="18"/>
              </w:rPr>
              <w:t>Amortisation of acquired intangibles</w:t>
            </w:r>
          </w:p>
        </w:tc>
        <w:tc>
          <w:tcPr>
            <w:tcW w:w="566" w:type="pct"/>
            <w:tcBorders>
              <w:top w:val="nil"/>
              <w:left w:val="nil"/>
              <w:bottom w:val="nil"/>
              <w:right w:val="nil"/>
            </w:tcBorders>
            <w:shd w:val="clear" w:color="000000" w:fill="C0C0C0"/>
            <w:noWrap/>
            <w:vAlign w:val="center"/>
            <w:hideMark/>
          </w:tcPr>
          <w:p w:rsidR="007F0245" w:rsidRPr="001A209B" w:rsidRDefault="007F0245" w:rsidP="00632DB1">
            <w:pPr>
              <w:jc w:val="right"/>
              <w:rPr>
                <w:rFonts w:cs="Arial"/>
                <w:b/>
                <w:bCs/>
                <w:color w:val="800000"/>
                <w:sz w:val="18"/>
                <w:szCs w:val="18"/>
              </w:rPr>
            </w:pPr>
            <w:r w:rsidRPr="001A209B">
              <w:rPr>
                <w:rFonts w:cs="Arial"/>
                <w:b/>
                <w:bCs/>
                <w:color w:val="800000"/>
                <w:sz w:val="18"/>
                <w:szCs w:val="18"/>
              </w:rPr>
              <w:t>40.9</w:t>
            </w:r>
          </w:p>
        </w:tc>
        <w:tc>
          <w:tcPr>
            <w:tcW w:w="533" w:type="pct"/>
            <w:tcBorders>
              <w:top w:val="nil"/>
              <w:left w:val="nil"/>
              <w:bottom w:val="nil"/>
              <w:right w:val="nil"/>
            </w:tcBorders>
            <w:shd w:val="clear" w:color="000000" w:fill="C0C0C0"/>
            <w:noWrap/>
            <w:vAlign w:val="center"/>
            <w:hideMark/>
          </w:tcPr>
          <w:p w:rsidR="007F0245" w:rsidRPr="001A209B" w:rsidRDefault="007F0245" w:rsidP="00632DB1">
            <w:pPr>
              <w:jc w:val="right"/>
              <w:rPr>
                <w:rFonts w:cs="Arial"/>
                <w:b/>
                <w:bCs/>
                <w:color w:val="800000"/>
                <w:sz w:val="18"/>
                <w:szCs w:val="18"/>
              </w:rPr>
            </w:pPr>
            <w:r w:rsidRPr="001A209B">
              <w:rPr>
                <w:rFonts w:cs="Arial"/>
                <w:b/>
                <w:bCs/>
                <w:color w:val="800000"/>
                <w:sz w:val="18"/>
                <w:szCs w:val="18"/>
              </w:rPr>
              <w:t>393</w:t>
            </w:r>
          </w:p>
        </w:tc>
        <w:tc>
          <w:tcPr>
            <w:tcW w:w="567" w:type="pct"/>
            <w:tcBorders>
              <w:top w:val="nil"/>
              <w:left w:val="nil"/>
              <w:bottom w:val="nil"/>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15.1</w:t>
            </w:r>
          </w:p>
        </w:tc>
        <w:tc>
          <w:tcPr>
            <w:tcW w:w="500" w:type="pct"/>
            <w:tcBorders>
              <w:top w:val="nil"/>
              <w:left w:val="nil"/>
              <w:bottom w:val="nil"/>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148</w:t>
            </w:r>
          </w:p>
        </w:tc>
        <w:tc>
          <w:tcPr>
            <w:tcW w:w="529" w:type="pct"/>
            <w:tcBorders>
              <w:top w:val="nil"/>
              <w:left w:val="nil"/>
              <w:bottom w:val="nil"/>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30.8</w:t>
            </w:r>
          </w:p>
        </w:tc>
        <w:tc>
          <w:tcPr>
            <w:tcW w:w="500" w:type="pct"/>
            <w:tcBorders>
              <w:top w:val="nil"/>
              <w:left w:val="nil"/>
              <w:bottom w:val="nil"/>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300</w:t>
            </w:r>
          </w:p>
        </w:tc>
      </w:tr>
      <w:tr w:rsidR="007F0245" w:rsidRPr="001A209B" w:rsidTr="00632DB1">
        <w:trPr>
          <w:trHeight w:val="240"/>
        </w:trPr>
        <w:tc>
          <w:tcPr>
            <w:tcW w:w="1806" w:type="pct"/>
            <w:tcBorders>
              <w:top w:val="nil"/>
              <w:left w:val="nil"/>
              <w:bottom w:val="nil"/>
              <w:right w:val="nil"/>
            </w:tcBorders>
            <w:shd w:val="clear" w:color="000000" w:fill="FFFFFF"/>
            <w:noWrap/>
            <w:vAlign w:val="center"/>
            <w:hideMark/>
          </w:tcPr>
          <w:p w:rsidR="007F0245" w:rsidRPr="001A209B" w:rsidRDefault="007F0245" w:rsidP="00632DB1">
            <w:pPr>
              <w:rPr>
                <w:rFonts w:cs="Arial"/>
                <w:sz w:val="18"/>
                <w:szCs w:val="18"/>
              </w:rPr>
            </w:pPr>
            <w:r w:rsidRPr="001A209B">
              <w:rPr>
                <w:rFonts w:cs="Arial"/>
                <w:sz w:val="18"/>
                <w:szCs w:val="18"/>
              </w:rPr>
              <w:t>Impairment of acquired intangibles</w:t>
            </w:r>
          </w:p>
        </w:tc>
        <w:tc>
          <w:tcPr>
            <w:tcW w:w="566" w:type="pct"/>
            <w:tcBorders>
              <w:top w:val="nil"/>
              <w:left w:val="nil"/>
              <w:bottom w:val="nil"/>
              <w:right w:val="nil"/>
            </w:tcBorders>
            <w:shd w:val="clear" w:color="000000" w:fill="C0C0C0"/>
            <w:noWrap/>
            <w:vAlign w:val="center"/>
            <w:hideMark/>
          </w:tcPr>
          <w:p w:rsidR="007F0245" w:rsidRPr="001A209B" w:rsidRDefault="007F0245" w:rsidP="00632DB1">
            <w:pPr>
              <w:jc w:val="right"/>
              <w:rPr>
                <w:rFonts w:cs="Arial"/>
                <w:b/>
                <w:bCs/>
                <w:color w:val="800000"/>
                <w:sz w:val="18"/>
                <w:szCs w:val="18"/>
              </w:rPr>
            </w:pPr>
            <w:r w:rsidRPr="001A209B">
              <w:rPr>
                <w:rFonts w:cs="Arial"/>
                <w:b/>
                <w:bCs/>
                <w:color w:val="800000"/>
                <w:sz w:val="18"/>
                <w:szCs w:val="18"/>
              </w:rPr>
              <w:t>-</w:t>
            </w:r>
          </w:p>
        </w:tc>
        <w:tc>
          <w:tcPr>
            <w:tcW w:w="533" w:type="pct"/>
            <w:tcBorders>
              <w:top w:val="nil"/>
              <w:left w:val="nil"/>
              <w:bottom w:val="nil"/>
              <w:right w:val="nil"/>
            </w:tcBorders>
            <w:shd w:val="clear" w:color="000000" w:fill="C0C0C0"/>
            <w:noWrap/>
            <w:vAlign w:val="center"/>
            <w:hideMark/>
          </w:tcPr>
          <w:p w:rsidR="007F0245" w:rsidRPr="001A209B" w:rsidRDefault="007F0245" w:rsidP="00632DB1">
            <w:pPr>
              <w:jc w:val="right"/>
              <w:rPr>
                <w:rFonts w:cs="Arial"/>
                <w:b/>
                <w:bCs/>
                <w:color w:val="800000"/>
                <w:sz w:val="18"/>
                <w:szCs w:val="18"/>
              </w:rPr>
            </w:pPr>
            <w:r w:rsidRPr="001A209B">
              <w:rPr>
                <w:rFonts w:cs="Arial"/>
                <w:b/>
                <w:bCs/>
                <w:color w:val="800000"/>
                <w:sz w:val="18"/>
                <w:szCs w:val="18"/>
              </w:rPr>
              <w:t>-</w:t>
            </w:r>
          </w:p>
        </w:tc>
        <w:tc>
          <w:tcPr>
            <w:tcW w:w="567" w:type="pct"/>
            <w:tcBorders>
              <w:top w:val="nil"/>
              <w:left w:val="nil"/>
              <w:bottom w:val="nil"/>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w:t>
            </w:r>
          </w:p>
        </w:tc>
        <w:tc>
          <w:tcPr>
            <w:tcW w:w="500" w:type="pct"/>
            <w:tcBorders>
              <w:top w:val="nil"/>
              <w:left w:val="nil"/>
              <w:bottom w:val="nil"/>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w:t>
            </w:r>
          </w:p>
        </w:tc>
        <w:tc>
          <w:tcPr>
            <w:tcW w:w="529" w:type="pct"/>
            <w:tcBorders>
              <w:top w:val="nil"/>
              <w:left w:val="nil"/>
              <w:bottom w:val="nil"/>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48.6</w:t>
            </w:r>
          </w:p>
        </w:tc>
        <w:tc>
          <w:tcPr>
            <w:tcW w:w="500" w:type="pct"/>
            <w:tcBorders>
              <w:top w:val="nil"/>
              <w:left w:val="nil"/>
              <w:bottom w:val="nil"/>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473</w:t>
            </w:r>
          </w:p>
        </w:tc>
      </w:tr>
      <w:tr w:rsidR="007F0245" w:rsidRPr="001A209B" w:rsidTr="00632DB1">
        <w:trPr>
          <w:trHeight w:val="480"/>
        </w:trPr>
        <w:tc>
          <w:tcPr>
            <w:tcW w:w="1806" w:type="pct"/>
            <w:tcBorders>
              <w:top w:val="nil"/>
              <w:left w:val="nil"/>
              <w:bottom w:val="nil"/>
              <w:right w:val="nil"/>
            </w:tcBorders>
            <w:shd w:val="clear" w:color="000000" w:fill="FFFFFF"/>
            <w:hideMark/>
          </w:tcPr>
          <w:p w:rsidR="007F0245" w:rsidRPr="001A209B" w:rsidRDefault="007F0245" w:rsidP="00632DB1">
            <w:pPr>
              <w:rPr>
                <w:rFonts w:cs="Arial"/>
                <w:sz w:val="18"/>
                <w:szCs w:val="18"/>
              </w:rPr>
            </w:pPr>
            <w:r w:rsidRPr="001A209B">
              <w:rPr>
                <w:rFonts w:cs="Arial"/>
                <w:sz w:val="18"/>
                <w:szCs w:val="18"/>
              </w:rPr>
              <w:t>Net fair value and exchange losses on financial instruments providing commercial hedges</w:t>
            </w:r>
          </w:p>
        </w:tc>
        <w:tc>
          <w:tcPr>
            <w:tcW w:w="566" w:type="pct"/>
            <w:tcBorders>
              <w:top w:val="nil"/>
              <w:left w:val="nil"/>
              <w:bottom w:val="nil"/>
              <w:right w:val="nil"/>
            </w:tcBorders>
            <w:shd w:val="clear" w:color="000000" w:fill="C0C0C0"/>
            <w:noWrap/>
            <w:hideMark/>
          </w:tcPr>
          <w:p w:rsidR="007F0245" w:rsidRPr="001A209B" w:rsidRDefault="007F0245" w:rsidP="00632DB1">
            <w:pPr>
              <w:jc w:val="right"/>
              <w:rPr>
                <w:rFonts w:cs="Arial"/>
                <w:b/>
                <w:bCs/>
                <w:color w:val="800000"/>
                <w:sz w:val="18"/>
                <w:szCs w:val="18"/>
              </w:rPr>
            </w:pPr>
            <w:r w:rsidRPr="001A209B">
              <w:rPr>
                <w:rFonts w:cs="Arial"/>
                <w:b/>
                <w:bCs/>
                <w:color w:val="800000"/>
                <w:sz w:val="18"/>
                <w:szCs w:val="18"/>
              </w:rPr>
              <w:t>6.0</w:t>
            </w:r>
          </w:p>
        </w:tc>
        <w:tc>
          <w:tcPr>
            <w:tcW w:w="533" w:type="pct"/>
            <w:tcBorders>
              <w:top w:val="nil"/>
              <w:left w:val="nil"/>
              <w:bottom w:val="nil"/>
              <w:right w:val="nil"/>
            </w:tcBorders>
            <w:shd w:val="clear" w:color="000000" w:fill="C0C0C0"/>
            <w:noWrap/>
            <w:hideMark/>
          </w:tcPr>
          <w:p w:rsidR="007F0245" w:rsidRPr="001A209B" w:rsidRDefault="007F0245" w:rsidP="00632DB1">
            <w:pPr>
              <w:jc w:val="right"/>
              <w:rPr>
                <w:rFonts w:cs="Arial"/>
                <w:b/>
                <w:bCs/>
                <w:color w:val="800000"/>
                <w:sz w:val="18"/>
                <w:szCs w:val="18"/>
              </w:rPr>
            </w:pPr>
            <w:r w:rsidRPr="001A209B">
              <w:rPr>
                <w:rFonts w:cs="Arial"/>
                <w:b/>
                <w:bCs/>
                <w:color w:val="800000"/>
                <w:sz w:val="18"/>
                <w:szCs w:val="18"/>
              </w:rPr>
              <w:t>58</w:t>
            </w:r>
          </w:p>
        </w:tc>
        <w:tc>
          <w:tcPr>
            <w:tcW w:w="567" w:type="pct"/>
            <w:tcBorders>
              <w:top w:val="nil"/>
              <w:left w:val="nil"/>
              <w:bottom w:val="nil"/>
              <w:right w:val="nil"/>
            </w:tcBorders>
            <w:shd w:val="clear" w:color="000000" w:fill="FFFFFF"/>
            <w:noWrap/>
            <w:hideMark/>
          </w:tcPr>
          <w:p w:rsidR="007F0245" w:rsidRPr="001A209B" w:rsidRDefault="007F0245" w:rsidP="00632DB1">
            <w:pPr>
              <w:jc w:val="right"/>
              <w:rPr>
                <w:rFonts w:cs="Arial"/>
                <w:sz w:val="18"/>
                <w:szCs w:val="18"/>
              </w:rPr>
            </w:pPr>
            <w:r w:rsidRPr="001A209B">
              <w:rPr>
                <w:rFonts w:cs="Arial"/>
                <w:sz w:val="18"/>
                <w:szCs w:val="18"/>
              </w:rPr>
              <w:t>8.4</w:t>
            </w:r>
          </w:p>
        </w:tc>
        <w:tc>
          <w:tcPr>
            <w:tcW w:w="500" w:type="pct"/>
            <w:tcBorders>
              <w:top w:val="nil"/>
              <w:left w:val="nil"/>
              <w:bottom w:val="nil"/>
              <w:right w:val="nil"/>
            </w:tcBorders>
            <w:shd w:val="clear" w:color="000000" w:fill="FFFFFF"/>
            <w:noWrap/>
            <w:hideMark/>
          </w:tcPr>
          <w:p w:rsidR="007F0245" w:rsidRPr="001A209B" w:rsidRDefault="007F0245" w:rsidP="00632DB1">
            <w:pPr>
              <w:jc w:val="right"/>
              <w:rPr>
                <w:rFonts w:cs="Arial"/>
                <w:sz w:val="18"/>
                <w:szCs w:val="18"/>
              </w:rPr>
            </w:pPr>
            <w:r w:rsidRPr="001A209B">
              <w:rPr>
                <w:rFonts w:cs="Arial"/>
                <w:sz w:val="18"/>
                <w:szCs w:val="18"/>
              </w:rPr>
              <w:t>82</w:t>
            </w:r>
          </w:p>
        </w:tc>
        <w:tc>
          <w:tcPr>
            <w:tcW w:w="529" w:type="pct"/>
            <w:tcBorders>
              <w:top w:val="nil"/>
              <w:left w:val="nil"/>
              <w:bottom w:val="nil"/>
              <w:right w:val="nil"/>
            </w:tcBorders>
            <w:shd w:val="clear" w:color="000000" w:fill="FFFFFF"/>
            <w:noWrap/>
            <w:hideMark/>
          </w:tcPr>
          <w:p w:rsidR="007F0245" w:rsidRPr="001A209B" w:rsidRDefault="007F0245" w:rsidP="00632DB1">
            <w:pPr>
              <w:jc w:val="right"/>
              <w:rPr>
                <w:rFonts w:cs="Arial"/>
                <w:sz w:val="18"/>
                <w:szCs w:val="18"/>
              </w:rPr>
            </w:pPr>
            <w:r w:rsidRPr="001A209B">
              <w:rPr>
                <w:rFonts w:cs="Arial"/>
                <w:sz w:val="18"/>
                <w:szCs w:val="18"/>
              </w:rPr>
              <w:t>15.1</w:t>
            </w:r>
          </w:p>
        </w:tc>
        <w:tc>
          <w:tcPr>
            <w:tcW w:w="500" w:type="pct"/>
            <w:tcBorders>
              <w:top w:val="nil"/>
              <w:left w:val="nil"/>
              <w:bottom w:val="nil"/>
              <w:right w:val="nil"/>
            </w:tcBorders>
            <w:shd w:val="clear" w:color="000000" w:fill="FFFFFF"/>
            <w:noWrap/>
            <w:hideMark/>
          </w:tcPr>
          <w:p w:rsidR="007F0245" w:rsidRPr="001A209B" w:rsidRDefault="007F0245" w:rsidP="00632DB1">
            <w:pPr>
              <w:jc w:val="right"/>
              <w:rPr>
                <w:rFonts w:cs="Arial"/>
                <w:sz w:val="18"/>
                <w:szCs w:val="18"/>
              </w:rPr>
            </w:pPr>
            <w:r w:rsidRPr="001A209B">
              <w:rPr>
                <w:rFonts w:cs="Arial"/>
                <w:sz w:val="18"/>
                <w:szCs w:val="18"/>
              </w:rPr>
              <w:t>147</w:t>
            </w:r>
          </w:p>
        </w:tc>
      </w:tr>
      <w:tr w:rsidR="007F0245" w:rsidRPr="001A209B" w:rsidTr="00632DB1">
        <w:trPr>
          <w:trHeight w:val="240"/>
        </w:trPr>
        <w:tc>
          <w:tcPr>
            <w:tcW w:w="1806" w:type="pct"/>
            <w:tcBorders>
              <w:top w:val="nil"/>
              <w:left w:val="nil"/>
              <w:bottom w:val="nil"/>
              <w:right w:val="nil"/>
            </w:tcBorders>
            <w:shd w:val="clear" w:color="000000" w:fill="FFFFFF"/>
            <w:hideMark/>
          </w:tcPr>
          <w:p w:rsidR="007F0245" w:rsidRPr="001A209B" w:rsidRDefault="007F0245" w:rsidP="00632DB1">
            <w:pPr>
              <w:rPr>
                <w:rFonts w:cs="Arial"/>
                <w:sz w:val="18"/>
                <w:szCs w:val="18"/>
              </w:rPr>
            </w:pPr>
            <w:r w:rsidRPr="001A209B">
              <w:rPr>
                <w:rFonts w:cs="Arial"/>
                <w:sz w:val="18"/>
                <w:szCs w:val="18"/>
              </w:rPr>
              <w:t>Post-employment benefits net financing cost</w:t>
            </w:r>
          </w:p>
        </w:tc>
        <w:tc>
          <w:tcPr>
            <w:tcW w:w="566" w:type="pct"/>
            <w:tcBorders>
              <w:top w:val="nil"/>
              <w:left w:val="nil"/>
              <w:bottom w:val="nil"/>
              <w:right w:val="nil"/>
            </w:tcBorders>
            <w:shd w:val="clear" w:color="000000" w:fill="C0C0C0"/>
            <w:noWrap/>
            <w:hideMark/>
          </w:tcPr>
          <w:p w:rsidR="007F0245" w:rsidRPr="001A209B" w:rsidRDefault="007F0245" w:rsidP="00632DB1">
            <w:pPr>
              <w:jc w:val="right"/>
              <w:rPr>
                <w:rFonts w:cs="Arial"/>
                <w:b/>
                <w:bCs/>
                <w:color w:val="800000"/>
                <w:sz w:val="18"/>
                <w:szCs w:val="18"/>
              </w:rPr>
            </w:pPr>
            <w:r w:rsidRPr="001A209B">
              <w:rPr>
                <w:rFonts w:cs="Arial"/>
                <w:b/>
                <w:bCs/>
                <w:color w:val="800000"/>
                <w:sz w:val="18"/>
                <w:szCs w:val="18"/>
              </w:rPr>
              <w:t>1.6</w:t>
            </w:r>
          </w:p>
        </w:tc>
        <w:tc>
          <w:tcPr>
            <w:tcW w:w="533" w:type="pct"/>
            <w:tcBorders>
              <w:top w:val="nil"/>
              <w:left w:val="nil"/>
              <w:bottom w:val="nil"/>
              <w:right w:val="nil"/>
            </w:tcBorders>
            <w:shd w:val="clear" w:color="000000" w:fill="C0C0C0"/>
            <w:noWrap/>
            <w:hideMark/>
          </w:tcPr>
          <w:p w:rsidR="007F0245" w:rsidRPr="001A209B" w:rsidRDefault="007F0245" w:rsidP="00632DB1">
            <w:pPr>
              <w:jc w:val="right"/>
              <w:rPr>
                <w:rFonts w:cs="Arial"/>
                <w:b/>
                <w:bCs/>
                <w:color w:val="800000"/>
                <w:sz w:val="18"/>
                <w:szCs w:val="18"/>
              </w:rPr>
            </w:pPr>
            <w:r w:rsidRPr="001A209B">
              <w:rPr>
                <w:rFonts w:cs="Arial"/>
                <w:b/>
                <w:bCs/>
                <w:color w:val="800000"/>
                <w:sz w:val="18"/>
                <w:szCs w:val="18"/>
              </w:rPr>
              <w:t>15</w:t>
            </w:r>
          </w:p>
        </w:tc>
        <w:tc>
          <w:tcPr>
            <w:tcW w:w="567" w:type="pct"/>
            <w:tcBorders>
              <w:top w:val="nil"/>
              <w:left w:val="nil"/>
              <w:bottom w:val="nil"/>
              <w:right w:val="nil"/>
            </w:tcBorders>
            <w:shd w:val="clear" w:color="000000" w:fill="FFFFFF"/>
            <w:noWrap/>
            <w:hideMark/>
          </w:tcPr>
          <w:p w:rsidR="007F0245" w:rsidRPr="001A209B" w:rsidRDefault="007F0245" w:rsidP="00632DB1">
            <w:pPr>
              <w:jc w:val="right"/>
              <w:rPr>
                <w:rFonts w:cs="Arial"/>
                <w:sz w:val="18"/>
                <w:szCs w:val="18"/>
              </w:rPr>
            </w:pPr>
            <w:r w:rsidRPr="001A209B">
              <w:rPr>
                <w:rFonts w:cs="Arial"/>
                <w:sz w:val="18"/>
                <w:szCs w:val="18"/>
              </w:rPr>
              <w:t>1.5</w:t>
            </w:r>
          </w:p>
        </w:tc>
        <w:tc>
          <w:tcPr>
            <w:tcW w:w="500" w:type="pct"/>
            <w:tcBorders>
              <w:top w:val="nil"/>
              <w:left w:val="nil"/>
              <w:bottom w:val="nil"/>
              <w:right w:val="nil"/>
            </w:tcBorders>
            <w:shd w:val="clear" w:color="000000" w:fill="FFFFFF"/>
            <w:noWrap/>
            <w:hideMark/>
          </w:tcPr>
          <w:p w:rsidR="007F0245" w:rsidRPr="001A209B" w:rsidRDefault="007F0245" w:rsidP="00632DB1">
            <w:pPr>
              <w:jc w:val="right"/>
              <w:rPr>
                <w:rFonts w:cs="Arial"/>
                <w:sz w:val="18"/>
                <w:szCs w:val="18"/>
              </w:rPr>
            </w:pPr>
            <w:r w:rsidRPr="001A209B">
              <w:rPr>
                <w:rFonts w:cs="Arial"/>
                <w:sz w:val="18"/>
                <w:szCs w:val="18"/>
              </w:rPr>
              <w:t>15</w:t>
            </w:r>
          </w:p>
        </w:tc>
        <w:tc>
          <w:tcPr>
            <w:tcW w:w="529" w:type="pct"/>
            <w:tcBorders>
              <w:top w:val="nil"/>
              <w:left w:val="nil"/>
              <w:bottom w:val="nil"/>
              <w:right w:val="nil"/>
            </w:tcBorders>
            <w:shd w:val="clear" w:color="000000" w:fill="FFFFFF"/>
            <w:noWrap/>
            <w:hideMark/>
          </w:tcPr>
          <w:p w:rsidR="007F0245" w:rsidRPr="001A209B" w:rsidRDefault="007F0245" w:rsidP="00632DB1">
            <w:pPr>
              <w:jc w:val="right"/>
              <w:rPr>
                <w:rFonts w:cs="Arial"/>
                <w:sz w:val="18"/>
                <w:szCs w:val="18"/>
              </w:rPr>
            </w:pPr>
            <w:r w:rsidRPr="001A209B">
              <w:rPr>
                <w:rFonts w:cs="Arial"/>
                <w:sz w:val="18"/>
                <w:szCs w:val="18"/>
              </w:rPr>
              <w:t>3.7</w:t>
            </w:r>
          </w:p>
        </w:tc>
        <w:tc>
          <w:tcPr>
            <w:tcW w:w="500" w:type="pct"/>
            <w:tcBorders>
              <w:top w:val="nil"/>
              <w:left w:val="nil"/>
              <w:bottom w:val="nil"/>
              <w:right w:val="nil"/>
            </w:tcBorders>
            <w:shd w:val="clear" w:color="000000" w:fill="FFFFFF"/>
            <w:noWrap/>
            <w:hideMark/>
          </w:tcPr>
          <w:p w:rsidR="007F0245" w:rsidRPr="001A209B" w:rsidRDefault="007F0245" w:rsidP="00632DB1">
            <w:pPr>
              <w:jc w:val="right"/>
              <w:rPr>
                <w:rFonts w:cs="Arial"/>
                <w:sz w:val="18"/>
                <w:szCs w:val="18"/>
              </w:rPr>
            </w:pPr>
            <w:r w:rsidRPr="001A209B">
              <w:rPr>
                <w:rFonts w:cs="Arial"/>
                <w:sz w:val="18"/>
                <w:szCs w:val="18"/>
              </w:rPr>
              <w:t>36</w:t>
            </w:r>
          </w:p>
        </w:tc>
      </w:tr>
      <w:tr w:rsidR="007F0245" w:rsidRPr="001A209B" w:rsidTr="00632DB1">
        <w:trPr>
          <w:trHeight w:val="240"/>
        </w:trPr>
        <w:tc>
          <w:tcPr>
            <w:tcW w:w="1806" w:type="pct"/>
            <w:tcBorders>
              <w:top w:val="nil"/>
              <w:left w:val="nil"/>
              <w:bottom w:val="nil"/>
              <w:right w:val="nil"/>
            </w:tcBorders>
            <w:shd w:val="clear" w:color="000000" w:fill="FFFFFF"/>
            <w:noWrap/>
            <w:vAlign w:val="center"/>
            <w:hideMark/>
          </w:tcPr>
          <w:p w:rsidR="007F0245" w:rsidRPr="001A209B" w:rsidRDefault="007F0245" w:rsidP="00632DB1">
            <w:pPr>
              <w:rPr>
                <w:rFonts w:cs="Arial"/>
                <w:sz w:val="18"/>
                <w:szCs w:val="18"/>
              </w:rPr>
            </w:pPr>
            <w:r w:rsidRPr="001A209B">
              <w:rPr>
                <w:rFonts w:cs="Arial"/>
                <w:sz w:val="18"/>
                <w:szCs w:val="18"/>
              </w:rPr>
              <w:t>Restructuring costs</w:t>
            </w:r>
          </w:p>
        </w:tc>
        <w:tc>
          <w:tcPr>
            <w:tcW w:w="566" w:type="pct"/>
            <w:tcBorders>
              <w:top w:val="nil"/>
              <w:left w:val="nil"/>
              <w:bottom w:val="nil"/>
              <w:right w:val="nil"/>
            </w:tcBorders>
            <w:shd w:val="clear" w:color="000000" w:fill="C0C0C0"/>
            <w:noWrap/>
            <w:vAlign w:val="center"/>
            <w:hideMark/>
          </w:tcPr>
          <w:p w:rsidR="007F0245" w:rsidRPr="001A209B" w:rsidRDefault="007F0245" w:rsidP="00632DB1">
            <w:pPr>
              <w:jc w:val="right"/>
              <w:rPr>
                <w:rFonts w:cs="Arial"/>
                <w:b/>
                <w:bCs/>
                <w:color w:val="800000"/>
                <w:sz w:val="18"/>
                <w:szCs w:val="18"/>
              </w:rPr>
            </w:pPr>
            <w:r w:rsidRPr="001A209B">
              <w:rPr>
                <w:rFonts w:cs="Arial"/>
                <w:b/>
                <w:bCs/>
                <w:color w:val="800000"/>
                <w:sz w:val="18"/>
                <w:szCs w:val="18"/>
              </w:rPr>
              <w:t>3.0</w:t>
            </w:r>
          </w:p>
        </w:tc>
        <w:tc>
          <w:tcPr>
            <w:tcW w:w="533" w:type="pct"/>
            <w:tcBorders>
              <w:top w:val="nil"/>
              <w:left w:val="nil"/>
              <w:bottom w:val="nil"/>
              <w:right w:val="nil"/>
            </w:tcBorders>
            <w:shd w:val="clear" w:color="000000" w:fill="C0C0C0"/>
            <w:noWrap/>
            <w:vAlign w:val="center"/>
            <w:hideMark/>
          </w:tcPr>
          <w:p w:rsidR="007F0245" w:rsidRPr="001A209B" w:rsidRDefault="007F0245" w:rsidP="00632DB1">
            <w:pPr>
              <w:jc w:val="right"/>
              <w:rPr>
                <w:rFonts w:cs="Arial"/>
                <w:b/>
                <w:bCs/>
                <w:color w:val="800000"/>
                <w:sz w:val="18"/>
                <w:szCs w:val="18"/>
              </w:rPr>
            </w:pPr>
            <w:r w:rsidRPr="001A209B">
              <w:rPr>
                <w:rFonts w:cs="Arial"/>
                <w:b/>
                <w:bCs/>
                <w:color w:val="800000"/>
                <w:sz w:val="18"/>
                <w:szCs w:val="18"/>
              </w:rPr>
              <w:t>29</w:t>
            </w:r>
          </w:p>
        </w:tc>
        <w:tc>
          <w:tcPr>
            <w:tcW w:w="567" w:type="pct"/>
            <w:tcBorders>
              <w:top w:val="nil"/>
              <w:left w:val="nil"/>
              <w:bottom w:val="nil"/>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2.8</w:t>
            </w:r>
          </w:p>
        </w:tc>
        <w:tc>
          <w:tcPr>
            <w:tcW w:w="500" w:type="pct"/>
            <w:tcBorders>
              <w:top w:val="nil"/>
              <w:left w:val="nil"/>
              <w:bottom w:val="nil"/>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28</w:t>
            </w:r>
          </w:p>
        </w:tc>
        <w:tc>
          <w:tcPr>
            <w:tcW w:w="529" w:type="pct"/>
            <w:tcBorders>
              <w:top w:val="nil"/>
              <w:left w:val="nil"/>
              <w:bottom w:val="nil"/>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19.6</w:t>
            </w:r>
          </w:p>
        </w:tc>
        <w:tc>
          <w:tcPr>
            <w:tcW w:w="500" w:type="pct"/>
            <w:tcBorders>
              <w:top w:val="nil"/>
              <w:left w:val="nil"/>
              <w:bottom w:val="nil"/>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191</w:t>
            </w:r>
          </w:p>
        </w:tc>
      </w:tr>
      <w:tr w:rsidR="007F0245" w:rsidRPr="001A209B" w:rsidTr="00632DB1">
        <w:trPr>
          <w:trHeight w:val="255"/>
        </w:trPr>
        <w:tc>
          <w:tcPr>
            <w:tcW w:w="1806" w:type="pct"/>
            <w:tcBorders>
              <w:top w:val="single" w:sz="4" w:space="0" w:color="800000"/>
              <w:left w:val="nil"/>
              <w:bottom w:val="single" w:sz="8" w:space="0" w:color="800000"/>
              <w:right w:val="nil"/>
            </w:tcBorders>
            <w:shd w:val="clear" w:color="000000" w:fill="FFFFFF"/>
            <w:noWrap/>
            <w:vAlign w:val="center"/>
            <w:hideMark/>
          </w:tcPr>
          <w:p w:rsidR="007F0245" w:rsidRPr="001A209B" w:rsidRDefault="007F0245" w:rsidP="00632DB1">
            <w:pPr>
              <w:rPr>
                <w:rFonts w:cs="Arial"/>
                <w:sz w:val="18"/>
                <w:szCs w:val="18"/>
              </w:rPr>
            </w:pPr>
            <w:r w:rsidRPr="001A209B">
              <w:rPr>
                <w:rFonts w:cs="Arial"/>
                <w:sz w:val="18"/>
                <w:szCs w:val="18"/>
              </w:rPr>
              <w:t xml:space="preserve">Adjusted </w:t>
            </w:r>
          </w:p>
        </w:tc>
        <w:tc>
          <w:tcPr>
            <w:tcW w:w="566" w:type="pct"/>
            <w:tcBorders>
              <w:top w:val="single" w:sz="4" w:space="0" w:color="800000"/>
              <w:left w:val="nil"/>
              <w:bottom w:val="single" w:sz="8" w:space="0" w:color="800000"/>
              <w:right w:val="nil"/>
            </w:tcBorders>
            <w:shd w:val="clear" w:color="000000" w:fill="C0C0C0"/>
            <w:noWrap/>
            <w:vAlign w:val="center"/>
            <w:hideMark/>
          </w:tcPr>
          <w:p w:rsidR="007F0245" w:rsidRPr="001A209B" w:rsidRDefault="007F0245" w:rsidP="00632DB1">
            <w:pPr>
              <w:jc w:val="right"/>
              <w:rPr>
                <w:rFonts w:cs="Arial"/>
                <w:b/>
                <w:bCs/>
                <w:color w:val="800000"/>
                <w:sz w:val="18"/>
                <w:szCs w:val="18"/>
              </w:rPr>
            </w:pPr>
            <w:r w:rsidRPr="001A209B">
              <w:rPr>
                <w:rFonts w:cs="Arial"/>
                <w:b/>
                <w:bCs/>
                <w:color w:val="800000"/>
                <w:sz w:val="18"/>
                <w:szCs w:val="18"/>
              </w:rPr>
              <w:t>89.6</w:t>
            </w:r>
          </w:p>
        </w:tc>
        <w:tc>
          <w:tcPr>
            <w:tcW w:w="533" w:type="pct"/>
            <w:tcBorders>
              <w:top w:val="single" w:sz="4" w:space="0" w:color="800000"/>
              <w:left w:val="nil"/>
              <w:bottom w:val="single" w:sz="8" w:space="0" w:color="800000"/>
              <w:right w:val="nil"/>
            </w:tcBorders>
            <w:shd w:val="clear" w:color="000000" w:fill="C0C0C0"/>
            <w:noWrap/>
            <w:vAlign w:val="center"/>
            <w:hideMark/>
          </w:tcPr>
          <w:p w:rsidR="007F0245" w:rsidRPr="001A209B" w:rsidRDefault="007F0245" w:rsidP="00632DB1">
            <w:pPr>
              <w:jc w:val="right"/>
              <w:rPr>
                <w:rFonts w:cs="Arial"/>
                <w:b/>
                <w:bCs/>
                <w:color w:val="800000"/>
                <w:sz w:val="18"/>
                <w:szCs w:val="18"/>
              </w:rPr>
            </w:pPr>
            <w:r w:rsidRPr="001A209B">
              <w:rPr>
                <w:rFonts w:cs="Arial"/>
                <w:b/>
                <w:bCs/>
                <w:color w:val="800000"/>
                <w:sz w:val="18"/>
                <w:szCs w:val="18"/>
              </w:rPr>
              <w:t>861</w:t>
            </w:r>
          </w:p>
        </w:tc>
        <w:tc>
          <w:tcPr>
            <w:tcW w:w="567" w:type="pct"/>
            <w:tcBorders>
              <w:top w:val="single" w:sz="4" w:space="0" w:color="800000"/>
              <w:left w:val="nil"/>
              <w:bottom w:val="single" w:sz="8" w:space="0" w:color="800000"/>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90.2</w:t>
            </w:r>
          </w:p>
        </w:tc>
        <w:tc>
          <w:tcPr>
            <w:tcW w:w="500" w:type="pct"/>
            <w:tcBorders>
              <w:top w:val="single" w:sz="4" w:space="0" w:color="800000"/>
              <w:left w:val="nil"/>
              <w:bottom w:val="single" w:sz="8" w:space="0" w:color="800000"/>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884</w:t>
            </w:r>
          </w:p>
        </w:tc>
        <w:tc>
          <w:tcPr>
            <w:tcW w:w="529" w:type="pct"/>
            <w:tcBorders>
              <w:top w:val="single" w:sz="4" w:space="0" w:color="800000"/>
              <w:left w:val="nil"/>
              <w:bottom w:val="single" w:sz="8" w:space="0" w:color="800000"/>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210.7</w:t>
            </w:r>
          </w:p>
        </w:tc>
        <w:tc>
          <w:tcPr>
            <w:tcW w:w="500" w:type="pct"/>
            <w:tcBorders>
              <w:top w:val="single" w:sz="4" w:space="0" w:color="800000"/>
              <w:left w:val="nil"/>
              <w:bottom w:val="single" w:sz="8" w:space="0" w:color="800000"/>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2,052</w:t>
            </w:r>
          </w:p>
        </w:tc>
      </w:tr>
      <w:tr w:rsidR="007F0245" w:rsidRPr="001A209B" w:rsidTr="00632DB1">
        <w:trPr>
          <w:trHeight w:val="255"/>
        </w:trPr>
        <w:tc>
          <w:tcPr>
            <w:tcW w:w="1806" w:type="pct"/>
            <w:tcBorders>
              <w:top w:val="single" w:sz="4" w:space="0" w:color="800000"/>
              <w:left w:val="nil"/>
              <w:bottom w:val="single" w:sz="8" w:space="0" w:color="800000"/>
              <w:right w:val="nil"/>
            </w:tcBorders>
            <w:shd w:val="clear" w:color="000000" w:fill="FFFFFF"/>
            <w:noWrap/>
            <w:vAlign w:val="center"/>
            <w:hideMark/>
          </w:tcPr>
          <w:p w:rsidR="007F0245" w:rsidRPr="001A209B" w:rsidRDefault="007F0245" w:rsidP="00632DB1">
            <w:pPr>
              <w:rPr>
                <w:rFonts w:cs="Arial"/>
                <w:sz w:val="18"/>
                <w:szCs w:val="18"/>
              </w:rPr>
            </w:pPr>
            <w:r w:rsidRPr="001A209B">
              <w:rPr>
                <w:rFonts w:cs="Arial"/>
                <w:sz w:val="18"/>
                <w:szCs w:val="18"/>
              </w:rPr>
              <w:t>Adjusted diluted</w:t>
            </w:r>
          </w:p>
        </w:tc>
        <w:tc>
          <w:tcPr>
            <w:tcW w:w="566" w:type="pct"/>
            <w:tcBorders>
              <w:top w:val="single" w:sz="4" w:space="0" w:color="800000"/>
              <w:left w:val="nil"/>
              <w:bottom w:val="single" w:sz="8" w:space="0" w:color="800000"/>
              <w:right w:val="nil"/>
            </w:tcBorders>
            <w:shd w:val="clear" w:color="000000" w:fill="C0C0C0"/>
            <w:noWrap/>
            <w:vAlign w:val="center"/>
            <w:hideMark/>
          </w:tcPr>
          <w:p w:rsidR="007F0245" w:rsidRPr="001A209B" w:rsidRDefault="007F0245" w:rsidP="00632DB1">
            <w:pPr>
              <w:jc w:val="right"/>
              <w:rPr>
                <w:rFonts w:cs="Arial"/>
                <w:b/>
                <w:bCs/>
                <w:color w:val="800000"/>
                <w:sz w:val="18"/>
                <w:szCs w:val="18"/>
              </w:rPr>
            </w:pPr>
            <w:r w:rsidRPr="001A209B">
              <w:rPr>
                <w:rFonts w:cs="Arial"/>
                <w:b/>
                <w:bCs/>
                <w:color w:val="800000"/>
                <w:sz w:val="18"/>
                <w:szCs w:val="18"/>
              </w:rPr>
              <w:t>89.4</w:t>
            </w:r>
          </w:p>
        </w:tc>
        <w:tc>
          <w:tcPr>
            <w:tcW w:w="533" w:type="pct"/>
            <w:tcBorders>
              <w:top w:val="single" w:sz="4" w:space="0" w:color="800000"/>
              <w:left w:val="nil"/>
              <w:bottom w:val="single" w:sz="8" w:space="0" w:color="800000"/>
              <w:right w:val="nil"/>
            </w:tcBorders>
            <w:shd w:val="clear" w:color="000000" w:fill="C0C0C0"/>
            <w:noWrap/>
            <w:vAlign w:val="center"/>
            <w:hideMark/>
          </w:tcPr>
          <w:p w:rsidR="007F0245" w:rsidRPr="001A209B" w:rsidRDefault="007F0245" w:rsidP="00632DB1">
            <w:pPr>
              <w:jc w:val="right"/>
              <w:rPr>
                <w:rFonts w:cs="Arial"/>
                <w:b/>
                <w:bCs/>
                <w:color w:val="800000"/>
                <w:sz w:val="18"/>
                <w:szCs w:val="18"/>
              </w:rPr>
            </w:pPr>
            <w:r w:rsidRPr="001A209B">
              <w:rPr>
                <w:rFonts w:cs="Arial"/>
                <w:b/>
                <w:bCs/>
                <w:color w:val="800000"/>
                <w:sz w:val="18"/>
                <w:szCs w:val="18"/>
              </w:rPr>
              <w:t>861</w:t>
            </w:r>
          </w:p>
        </w:tc>
        <w:tc>
          <w:tcPr>
            <w:tcW w:w="567" w:type="pct"/>
            <w:tcBorders>
              <w:top w:val="single" w:sz="4" w:space="0" w:color="800000"/>
              <w:left w:val="nil"/>
              <w:bottom w:val="single" w:sz="8" w:space="0" w:color="800000"/>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90.0</w:t>
            </w:r>
          </w:p>
        </w:tc>
        <w:tc>
          <w:tcPr>
            <w:tcW w:w="500" w:type="pct"/>
            <w:tcBorders>
              <w:top w:val="single" w:sz="4" w:space="0" w:color="800000"/>
              <w:left w:val="nil"/>
              <w:bottom w:val="single" w:sz="8" w:space="0" w:color="800000"/>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884</w:t>
            </w:r>
          </w:p>
        </w:tc>
        <w:tc>
          <w:tcPr>
            <w:tcW w:w="529" w:type="pct"/>
            <w:tcBorders>
              <w:top w:val="single" w:sz="4" w:space="0" w:color="800000"/>
              <w:left w:val="nil"/>
              <w:bottom w:val="single" w:sz="8" w:space="0" w:color="800000"/>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210.1</w:t>
            </w:r>
          </w:p>
        </w:tc>
        <w:tc>
          <w:tcPr>
            <w:tcW w:w="500" w:type="pct"/>
            <w:tcBorders>
              <w:top w:val="single" w:sz="4" w:space="0" w:color="800000"/>
              <w:left w:val="nil"/>
              <w:bottom w:val="single" w:sz="8" w:space="0" w:color="800000"/>
              <w:right w:val="nil"/>
            </w:tcBorders>
            <w:shd w:val="clear" w:color="000000" w:fill="FFFFFF"/>
            <w:noWrap/>
            <w:vAlign w:val="center"/>
            <w:hideMark/>
          </w:tcPr>
          <w:p w:rsidR="007F0245" w:rsidRPr="001A209B" w:rsidRDefault="007F0245" w:rsidP="00632DB1">
            <w:pPr>
              <w:jc w:val="right"/>
              <w:rPr>
                <w:rFonts w:cs="Arial"/>
                <w:sz w:val="18"/>
                <w:szCs w:val="18"/>
              </w:rPr>
            </w:pPr>
            <w:r w:rsidRPr="001A209B">
              <w:rPr>
                <w:rFonts w:cs="Arial"/>
                <w:sz w:val="18"/>
                <w:szCs w:val="18"/>
              </w:rPr>
              <w:t>2,052</w:t>
            </w:r>
          </w:p>
        </w:tc>
      </w:tr>
    </w:tbl>
    <w:p w:rsidR="006D48E5" w:rsidRPr="001A209B" w:rsidRDefault="006D48E5" w:rsidP="004C4821">
      <w:pPr>
        <w:jc w:val="both"/>
        <w:rPr>
          <w:rFonts w:cs="Arial"/>
          <w:color w:val="A60D1F"/>
          <w:sz w:val="18"/>
          <w:szCs w:val="18"/>
        </w:rPr>
      </w:pPr>
    </w:p>
    <w:p w:rsidR="006D48E5" w:rsidRPr="001A209B" w:rsidRDefault="006D48E5" w:rsidP="004C4821">
      <w:pPr>
        <w:jc w:val="both"/>
        <w:rPr>
          <w:rFonts w:cs="Arial"/>
          <w:color w:val="A60D1F"/>
          <w:sz w:val="18"/>
          <w:szCs w:val="18"/>
        </w:rPr>
      </w:pPr>
    </w:p>
    <w:p w:rsidR="006D48E5" w:rsidRPr="001A209B" w:rsidRDefault="006D48E5" w:rsidP="006D48E5">
      <w:pPr>
        <w:jc w:val="both"/>
        <w:rPr>
          <w:rFonts w:cs="Arial"/>
          <w:b/>
          <w:color w:val="A60D1F"/>
          <w:sz w:val="18"/>
          <w:szCs w:val="18"/>
        </w:rPr>
      </w:pPr>
      <w:r w:rsidRPr="001A209B">
        <w:rPr>
          <w:rFonts w:cs="Arial"/>
          <w:b/>
          <w:color w:val="A60D1F"/>
          <w:sz w:val="18"/>
          <w:szCs w:val="18"/>
        </w:rPr>
        <w:t>9   Intangible Assets</w:t>
      </w:r>
    </w:p>
    <w:p w:rsidR="006D48E5" w:rsidRPr="001A209B" w:rsidRDefault="006D48E5" w:rsidP="006D48E5">
      <w:pPr>
        <w:jc w:val="both"/>
        <w:rPr>
          <w:rFonts w:cs="Arial"/>
          <w:sz w:val="18"/>
          <w:szCs w:val="18"/>
        </w:rPr>
      </w:pPr>
      <w:r w:rsidRPr="001A209B">
        <w:rPr>
          <w:rFonts w:cs="Arial"/>
          <w:sz w:val="18"/>
          <w:szCs w:val="18"/>
        </w:rPr>
        <w:t>In November 2013, the Group acquired e-vapour intellectual property rights from the Hong Kong based company Dragonite for £46 million.</w:t>
      </w:r>
    </w:p>
    <w:p w:rsidR="006D48E5" w:rsidRPr="001A209B" w:rsidRDefault="006D48E5" w:rsidP="006D48E5">
      <w:pPr>
        <w:jc w:val="both"/>
        <w:rPr>
          <w:rFonts w:cs="Arial"/>
          <w:sz w:val="18"/>
          <w:szCs w:val="18"/>
        </w:rPr>
      </w:pPr>
    </w:p>
    <w:p w:rsidR="006D48E5" w:rsidRPr="001A209B" w:rsidRDefault="006D48E5" w:rsidP="006D48E5">
      <w:pPr>
        <w:jc w:val="both"/>
        <w:rPr>
          <w:rFonts w:cs="Arial"/>
          <w:sz w:val="18"/>
          <w:szCs w:val="18"/>
        </w:rPr>
      </w:pPr>
      <w:r w:rsidRPr="001A209B">
        <w:rPr>
          <w:rFonts w:cs="Arial"/>
          <w:sz w:val="18"/>
          <w:szCs w:val="18"/>
        </w:rPr>
        <w:t>With effect from 1 October 2013 we have revised the estimated useful lives over which certain brands, trademarks and supply agreements in the Tobacco business will be amortised. In line with our strategy to focus on Growth and Specialist brands, we have reduced the estimated remaining useful lives for all other brands to a maximum of five years. The effect of this change in estimate has been to increase the charge for amortisation of acquired intangibles by £150 million to £326 million for the six months ended 31 March 2014.</w:t>
      </w:r>
    </w:p>
    <w:p w:rsidR="006D48E5" w:rsidRPr="001A209B" w:rsidRDefault="006D48E5" w:rsidP="006D48E5">
      <w:pPr>
        <w:jc w:val="both"/>
        <w:rPr>
          <w:rFonts w:cs="Arial"/>
          <w:sz w:val="18"/>
          <w:szCs w:val="18"/>
        </w:rPr>
      </w:pPr>
    </w:p>
    <w:p w:rsidR="006D48E5" w:rsidRPr="001A209B" w:rsidRDefault="006D48E5" w:rsidP="006D48E5">
      <w:pPr>
        <w:jc w:val="both"/>
        <w:rPr>
          <w:rFonts w:cs="Arial"/>
          <w:color w:val="A60D1F"/>
          <w:sz w:val="18"/>
          <w:szCs w:val="18"/>
        </w:rPr>
      </w:pPr>
    </w:p>
    <w:p w:rsidR="006D48E5" w:rsidRPr="001A209B" w:rsidRDefault="006D48E5" w:rsidP="006D48E5">
      <w:pPr>
        <w:jc w:val="both"/>
        <w:rPr>
          <w:rFonts w:cs="Arial"/>
          <w:b/>
          <w:color w:val="A60D1F"/>
          <w:sz w:val="18"/>
          <w:szCs w:val="18"/>
        </w:rPr>
      </w:pPr>
      <w:r w:rsidRPr="001A209B">
        <w:rPr>
          <w:rFonts w:cs="Arial"/>
          <w:b/>
          <w:color w:val="A60D1F"/>
          <w:sz w:val="18"/>
          <w:szCs w:val="18"/>
        </w:rPr>
        <w:t>10  Net Debt</w:t>
      </w:r>
      <w:r w:rsidRPr="001A209B">
        <w:rPr>
          <w:rFonts w:cs="Arial"/>
          <w:b/>
          <w:color w:val="A60D1F"/>
          <w:sz w:val="18"/>
          <w:szCs w:val="18"/>
        </w:rPr>
        <w:tab/>
      </w:r>
      <w:r w:rsidRPr="001A209B">
        <w:rPr>
          <w:rFonts w:cs="Arial"/>
          <w:b/>
          <w:color w:val="A60D1F"/>
          <w:sz w:val="18"/>
          <w:szCs w:val="18"/>
        </w:rPr>
        <w:tab/>
      </w:r>
      <w:r w:rsidRPr="001A209B">
        <w:rPr>
          <w:rFonts w:cs="Arial"/>
          <w:b/>
          <w:color w:val="A60D1F"/>
          <w:sz w:val="18"/>
          <w:szCs w:val="18"/>
        </w:rPr>
        <w:tab/>
      </w:r>
      <w:r w:rsidRPr="001A209B">
        <w:rPr>
          <w:rFonts w:cs="Arial"/>
          <w:b/>
          <w:color w:val="A60D1F"/>
          <w:sz w:val="18"/>
          <w:szCs w:val="18"/>
        </w:rPr>
        <w:tab/>
      </w:r>
      <w:r w:rsidRPr="001A209B">
        <w:rPr>
          <w:rFonts w:cs="Arial"/>
          <w:b/>
          <w:color w:val="A60D1F"/>
          <w:sz w:val="18"/>
          <w:szCs w:val="18"/>
        </w:rPr>
        <w:tab/>
      </w:r>
      <w:r w:rsidRPr="001A209B">
        <w:rPr>
          <w:rFonts w:cs="Arial"/>
          <w:b/>
          <w:color w:val="A60D1F"/>
          <w:sz w:val="18"/>
          <w:szCs w:val="18"/>
        </w:rPr>
        <w:tab/>
      </w:r>
      <w:r w:rsidRPr="001A209B">
        <w:rPr>
          <w:rFonts w:cs="Arial"/>
          <w:b/>
          <w:color w:val="A60D1F"/>
          <w:sz w:val="18"/>
          <w:szCs w:val="18"/>
        </w:rPr>
        <w:tab/>
      </w:r>
    </w:p>
    <w:p w:rsidR="006D48E5" w:rsidRPr="001A209B" w:rsidRDefault="006D48E5" w:rsidP="006D48E5">
      <w:pPr>
        <w:jc w:val="both"/>
        <w:rPr>
          <w:rFonts w:cs="Arial"/>
          <w:sz w:val="18"/>
          <w:szCs w:val="18"/>
        </w:rPr>
      </w:pPr>
      <w:r w:rsidRPr="001A209B">
        <w:rPr>
          <w:rFonts w:cs="Arial"/>
          <w:sz w:val="18"/>
          <w:szCs w:val="18"/>
        </w:rPr>
        <w:t>The movements in cash and cash equivalents, borrowings, and derivative financial instruments in the period were as follows:</w:t>
      </w:r>
    </w:p>
    <w:tbl>
      <w:tblPr>
        <w:tblW w:w="5000" w:type="pct"/>
        <w:tblLook w:val="04A0" w:firstRow="1" w:lastRow="0" w:firstColumn="1" w:lastColumn="0" w:noHBand="0" w:noVBand="1"/>
      </w:tblPr>
      <w:tblGrid>
        <w:gridCol w:w="3004"/>
        <w:gridCol w:w="1325"/>
        <w:gridCol w:w="1201"/>
        <w:gridCol w:w="1325"/>
        <w:gridCol w:w="1325"/>
        <w:gridCol w:w="1086"/>
      </w:tblGrid>
      <w:tr w:rsidR="00E80373" w:rsidRPr="001A209B" w:rsidTr="00E80373">
        <w:trPr>
          <w:trHeight w:val="240"/>
        </w:trPr>
        <w:tc>
          <w:tcPr>
            <w:tcW w:w="1621" w:type="pct"/>
            <w:tcBorders>
              <w:top w:val="nil"/>
              <w:left w:val="nil"/>
              <w:bottom w:val="nil"/>
              <w:right w:val="nil"/>
            </w:tcBorders>
            <w:shd w:val="clear" w:color="000000" w:fill="FFFFFF"/>
            <w:noWrap/>
            <w:vAlign w:val="bottom"/>
            <w:hideMark/>
          </w:tcPr>
          <w:p w:rsidR="00E80373" w:rsidRPr="001A209B" w:rsidRDefault="00E80373" w:rsidP="00E80373">
            <w:pPr>
              <w:rPr>
                <w:rFonts w:cs="Arial"/>
                <w:color w:val="000000"/>
                <w:sz w:val="18"/>
                <w:szCs w:val="18"/>
              </w:rPr>
            </w:pPr>
            <w:r w:rsidRPr="001A209B">
              <w:rPr>
                <w:rFonts w:cs="Arial"/>
                <w:color w:val="000000"/>
                <w:sz w:val="18"/>
                <w:szCs w:val="18"/>
              </w:rPr>
              <w:t> </w:t>
            </w:r>
          </w:p>
        </w:tc>
        <w:tc>
          <w:tcPr>
            <w:tcW w:w="715"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xml:space="preserve">Cash </w:t>
            </w:r>
          </w:p>
        </w:tc>
        <w:tc>
          <w:tcPr>
            <w:tcW w:w="648"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w:t>
            </w:r>
          </w:p>
        </w:tc>
        <w:tc>
          <w:tcPr>
            <w:tcW w:w="715"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w:t>
            </w:r>
          </w:p>
        </w:tc>
        <w:tc>
          <w:tcPr>
            <w:tcW w:w="715"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xml:space="preserve">Derivative </w:t>
            </w:r>
          </w:p>
        </w:tc>
        <w:tc>
          <w:tcPr>
            <w:tcW w:w="586"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w:t>
            </w:r>
          </w:p>
        </w:tc>
      </w:tr>
      <w:tr w:rsidR="00E80373" w:rsidRPr="001A209B" w:rsidTr="00E80373">
        <w:trPr>
          <w:trHeight w:val="240"/>
        </w:trPr>
        <w:tc>
          <w:tcPr>
            <w:tcW w:w="1621" w:type="pct"/>
            <w:tcBorders>
              <w:top w:val="nil"/>
              <w:left w:val="nil"/>
              <w:bottom w:val="nil"/>
              <w:right w:val="nil"/>
            </w:tcBorders>
            <w:shd w:val="clear" w:color="000000" w:fill="FFFFFF"/>
            <w:noWrap/>
            <w:vAlign w:val="bottom"/>
            <w:hideMark/>
          </w:tcPr>
          <w:p w:rsidR="00E80373" w:rsidRPr="001A209B" w:rsidRDefault="00E80373" w:rsidP="00E80373">
            <w:pPr>
              <w:rPr>
                <w:rFonts w:cs="Arial"/>
                <w:color w:val="000000"/>
                <w:sz w:val="18"/>
                <w:szCs w:val="18"/>
              </w:rPr>
            </w:pPr>
            <w:r w:rsidRPr="001A209B">
              <w:rPr>
                <w:rFonts w:cs="Arial"/>
                <w:color w:val="000000"/>
                <w:sz w:val="18"/>
                <w:szCs w:val="18"/>
              </w:rPr>
              <w:t> </w:t>
            </w:r>
          </w:p>
        </w:tc>
        <w:tc>
          <w:tcPr>
            <w:tcW w:w="715"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xml:space="preserve">and cash </w:t>
            </w:r>
          </w:p>
        </w:tc>
        <w:tc>
          <w:tcPr>
            <w:tcW w:w="648"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xml:space="preserve">Current </w:t>
            </w:r>
          </w:p>
        </w:tc>
        <w:tc>
          <w:tcPr>
            <w:tcW w:w="715"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xml:space="preserve">Non-current </w:t>
            </w:r>
          </w:p>
        </w:tc>
        <w:tc>
          <w:tcPr>
            <w:tcW w:w="715"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xml:space="preserve">financial </w:t>
            </w:r>
          </w:p>
        </w:tc>
        <w:tc>
          <w:tcPr>
            <w:tcW w:w="586"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w:t>
            </w:r>
          </w:p>
        </w:tc>
      </w:tr>
      <w:tr w:rsidR="00E80373" w:rsidRPr="001A209B" w:rsidTr="00E80373">
        <w:trPr>
          <w:trHeight w:val="240"/>
        </w:trPr>
        <w:tc>
          <w:tcPr>
            <w:tcW w:w="1621" w:type="pct"/>
            <w:tcBorders>
              <w:top w:val="nil"/>
              <w:left w:val="nil"/>
              <w:bottom w:val="single" w:sz="4" w:space="0" w:color="800000"/>
              <w:right w:val="nil"/>
            </w:tcBorders>
            <w:shd w:val="clear" w:color="000000" w:fill="FFFFFF"/>
            <w:noWrap/>
            <w:vAlign w:val="bottom"/>
            <w:hideMark/>
          </w:tcPr>
          <w:p w:rsidR="00E80373" w:rsidRPr="001A209B" w:rsidRDefault="00E80373" w:rsidP="00E80373">
            <w:pPr>
              <w:rPr>
                <w:rFonts w:cs="Arial"/>
                <w:sz w:val="18"/>
                <w:szCs w:val="18"/>
              </w:rPr>
            </w:pPr>
            <w:r w:rsidRPr="001A209B">
              <w:rPr>
                <w:rFonts w:cs="Arial"/>
                <w:sz w:val="18"/>
                <w:szCs w:val="18"/>
              </w:rPr>
              <w:t>£ million</w:t>
            </w:r>
          </w:p>
        </w:tc>
        <w:tc>
          <w:tcPr>
            <w:tcW w:w="715" w:type="pct"/>
            <w:tcBorders>
              <w:top w:val="nil"/>
              <w:left w:val="nil"/>
              <w:bottom w:val="single" w:sz="4" w:space="0" w:color="800000"/>
              <w:right w:val="nil"/>
            </w:tcBorders>
            <w:shd w:val="clear" w:color="000000" w:fill="FFFFFF"/>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xml:space="preserve">equivalents </w:t>
            </w:r>
          </w:p>
        </w:tc>
        <w:tc>
          <w:tcPr>
            <w:tcW w:w="648" w:type="pct"/>
            <w:tcBorders>
              <w:top w:val="nil"/>
              <w:left w:val="nil"/>
              <w:bottom w:val="single" w:sz="4" w:space="0" w:color="800000"/>
              <w:right w:val="nil"/>
            </w:tcBorders>
            <w:shd w:val="clear" w:color="000000" w:fill="FFFFFF"/>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xml:space="preserve">borrowings </w:t>
            </w:r>
          </w:p>
        </w:tc>
        <w:tc>
          <w:tcPr>
            <w:tcW w:w="715" w:type="pct"/>
            <w:tcBorders>
              <w:top w:val="nil"/>
              <w:left w:val="nil"/>
              <w:bottom w:val="single" w:sz="4" w:space="0" w:color="800000"/>
              <w:right w:val="nil"/>
            </w:tcBorders>
            <w:shd w:val="clear" w:color="000000" w:fill="FFFFFF"/>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xml:space="preserve">borrowings </w:t>
            </w:r>
          </w:p>
        </w:tc>
        <w:tc>
          <w:tcPr>
            <w:tcW w:w="715" w:type="pct"/>
            <w:tcBorders>
              <w:top w:val="nil"/>
              <w:left w:val="nil"/>
              <w:bottom w:val="single" w:sz="4" w:space="0" w:color="800000"/>
              <w:right w:val="nil"/>
            </w:tcBorders>
            <w:shd w:val="clear" w:color="000000" w:fill="FFFFFF"/>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xml:space="preserve">instruments </w:t>
            </w:r>
          </w:p>
        </w:tc>
        <w:tc>
          <w:tcPr>
            <w:tcW w:w="586" w:type="pct"/>
            <w:tcBorders>
              <w:top w:val="nil"/>
              <w:left w:val="nil"/>
              <w:bottom w:val="single" w:sz="4" w:space="0" w:color="800000"/>
              <w:right w:val="nil"/>
            </w:tcBorders>
            <w:shd w:val="clear" w:color="000000" w:fill="FFFFFF"/>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xml:space="preserve">Total </w:t>
            </w:r>
          </w:p>
        </w:tc>
      </w:tr>
      <w:tr w:rsidR="00E80373" w:rsidRPr="001A209B" w:rsidTr="00632DB1">
        <w:trPr>
          <w:trHeight w:val="240"/>
        </w:trPr>
        <w:tc>
          <w:tcPr>
            <w:tcW w:w="1621" w:type="pct"/>
            <w:tcBorders>
              <w:top w:val="nil"/>
              <w:left w:val="nil"/>
              <w:bottom w:val="nil"/>
              <w:right w:val="nil"/>
            </w:tcBorders>
            <w:shd w:val="clear" w:color="000000" w:fill="FFFFFF"/>
            <w:noWrap/>
            <w:vAlign w:val="center"/>
            <w:hideMark/>
          </w:tcPr>
          <w:p w:rsidR="00E80373" w:rsidRPr="001A209B" w:rsidRDefault="00E80373" w:rsidP="00632DB1">
            <w:pPr>
              <w:rPr>
                <w:rFonts w:cs="Arial"/>
                <w:color w:val="000000"/>
                <w:sz w:val="18"/>
                <w:szCs w:val="18"/>
              </w:rPr>
            </w:pPr>
            <w:r w:rsidRPr="001A209B">
              <w:rPr>
                <w:rFonts w:cs="Arial"/>
                <w:color w:val="000000"/>
                <w:sz w:val="18"/>
                <w:szCs w:val="18"/>
              </w:rPr>
              <w:t>At 1 October 2013</w:t>
            </w:r>
          </w:p>
        </w:tc>
        <w:tc>
          <w:tcPr>
            <w:tcW w:w="715"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 xml:space="preserve">1,809 </w:t>
            </w:r>
          </w:p>
        </w:tc>
        <w:tc>
          <w:tcPr>
            <w:tcW w:w="648"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(3,276)</w:t>
            </w:r>
          </w:p>
        </w:tc>
        <w:tc>
          <w:tcPr>
            <w:tcW w:w="715"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(7,858)</w:t>
            </w:r>
          </w:p>
        </w:tc>
        <w:tc>
          <w:tcPr>
            <w:tcW w:w="715"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(193)</w:t>
            </w:r>
          </w:p>
        </w:tc>
        <w:tc>
          <w:tcPr>
            <w:tcW w:w="586"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(9,518)</w:t>
            </w:r>
          </w:p>
        </w:tc>
      </w:tr>
      <w:tr w:rsidR="00E80373" w:rsidRPr="001A209B" w:rsidTr="00632DB1">
        <w:trPr>
          <w:trHeight w:val="240"/>
        </w:trPr>
        <w:tc>
          <w:tcPr>
            <w:tcW w:w="1621" w:type="pct"/>
            <w:tcBorders>
              <w:top w:val="nil"/>
              <w:left w:val="nil"/>
              <w:bottom w:val="nil"/>
              <w:right w:val="nil"/>
            </w:tcBorders>
            <w:shd w:val="clear" w:color="000000" w:fill="FFFFFF"/>
            <w:noWrap/>
            <w:vAlign w:val="center"/>
            <w:hideMark/>
          </w:tcPr>
          <w:p w:rsidR="00E80373" w:rsidRPr="001A209B" w:rsidRDefault="00E80373" w:rsidP="00632DB1">
            <w:pPr>
              <w:rPr>
                <w:rFonts w:cs="Arial"/>
                <w:color w:val="000000"/>
                <w:sz w:val="18"/>
                <w:szCs w:val="18"/>
              </w:rPr>
            </w:pPr>
            <w:r w:rsidRPr="001A209B">
              <w:rPr>
                <w:rFonts w:cs="Arial"/>
                <w:color w:val="000000"/>
                <w:sz w:val="18"/>
                <w:szCs w:val="18"/>
              </w:rPr>
              <w:t>Cash flow</w:t>
            </w:r>
          </w:p>
        </w:tc>
        <w:tc>
          <w:tcPr>
            <w:tcW w:w="715"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(1,148)</w:t>
            </w:r>
          </w:p>
        </w:tc>
        <w:tc>
          <w:tcPr>
            <w:tcW w:w="648"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 xml:space="preserve">949 </w:t>
            </w:r>
          </w:p>
        </w:tc>
        <w:tc>
          <w:tcPr>
            <w:tcW w:w="715"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(1,838)</w:t>
            </w:r>
          </w:p>
        </w:tc>
        <w:tc>
          <w:tcPr>
            <w:tcW w:w="715"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 xml:space="preserve">- </w:t>
            </w:r>
          </w:p>
        </w:tc>
        <w:tc>
          <w:tcPr>
            <w:tcW w:w="586"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(2,037)</w:t>
            </w:r>
          </w:p>
        </w:tc>
      </w:tr>
      <w:tr w:rsidR="00E80373" w:rsidRPr="001A209B" w:rsidTr="00632DB1">
        <w:trPr>
          <w:trHeight w:val="240"/>
        </w:trPr>
        <w:tc>
          <w:tcPr>
            <w:tcW w:w="1621" w:type="pct"/>
            <w:tcBorders>
              <w:top w:val="nil"/>
              <w:left w:val="nil"/>
              <w:bottom w:val="nil"/>
              <w:right w:val="nil"/>
            </w:tcBorders>
            <w:shd w:val="clear" w:color="000000" w:fill="FFFFFF"/>
            <w:vAlign w:val="center"/>
            <w:hideMark/>
          </w:tcPr>
          <w:p w:rsidR="00E80373" w:rsidRPr="001A209B" w:rsidRDefault="00E80373" w:rsidP="00632DB1">
            <w:pPr>
              <w:rPr>
                <w:rFonts w:cs="Arial"/>
                <w:color w:val="000000"/>
                <w:sz w:val="18"/>
                <w:szCs w:val="18"/>
              </w:rPr>
            </w:pPr>
            <w:r w:rsidRPr="001A209B">
              <w:rPr>
                <w:rFonts w:cs="Arial"/>
                <w:color w:val="000000"/>
                <w:sz w:val="18"/>
                <w:szCs w:val="18"/>
              </w:rPr>
              <w:t xml:space="preserve">Accretion of interest </w:t>
            </w:r>
          </w:p>
        </w:tc>
        <w:tc>
          <w:tcPr>
            <w:tcW w:w="715"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 xml:space="preserve">- </w:t>
            </w:r>
          </w:p>
        </w:tc>
        <w:tc>
          <w:tcPr>
            <w:tcW w:w="648"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 xml:space="preserve">17 </w:t>
            </w:r>
          </w:p>
        </w:tc>
        <w:tc>
          <w:tcPr>
            <w:tcW w:w="715"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 xml:space="preserve">129 </w:t>
            </w:r>
          </w:p>
        </w:tc>
        <w:tc>
          <w:tcPr>
            <w:tcW w:w="715"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 xml:space="preserve">- </w:t>
            </w:r>
          </w:p>
        </w:tc>
        <w:tc>
          <w:tcPr>
            <w:tcW w:w="586"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 xml:space="preserve">146 </w:t>
            </w:r>
          </w:p>
        </w:tc>
      </w:tr>
      <w:tr w:rsidR="00E80373" w:rsidRPr="001A209B" w:rsidTr="00632DB1">
        <w:trPr>
          <w:trHeight w:val="240"/>
        </w:trPr>
        <w:tc>
          <w:tcPr>
            <w:tcW w:w="1621" w:type="pct"/>
            <w:tcBorders>
              <w:top w:val="nil"/>
              <w:left w:val="nil"/>
              <w:bottom w:val="nil"/>
              <w:right w:val="nil"/>
            </w:tcBorders>
            <w:shd w:val="clear" w:color="000000" w:fill="FFFFFF"/>
            <w:vAlign w:val="center"/>
            <w:hideMark/>
          </w:tcPr>
          <w:p w:rsidR="00E80373" w:rsidRPr="001A209B" w:rsidRDefault="00E80373" w:rsidP="00632DB1">
            <w:pPr>
              <w:rPr>
                <w:rFonts w:cs="Arial"/>
                <w:color w:val="000000"/>
                <w:sz w:val="18"/>
                <w:szCs w:val="18"/>
              </w:rPr>
            </w:pPr>
            <w:r w:rsidRPr="001A209B">
              <w:rPr>
                <w:rFonts w:cs="Arial"/>
                <w:color w:val="000000"/>
                <w:sz w:val="18"/>
                <w:szCs w:val="18"/>
              </w:rPr>
              <w:t xml:space="preserve">Change in fair values </w:t>
            </w:r>
          </w:p>
        </w:tc>
        <w:tc>
          <w:tcPr>
            <w:tcW w:w="715"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 xml:space="preserve">- </w:t>
            </w:r>
          </w:p>
        </w:tc>
        <w:tc>
          <w:tcPr>
            <w:tcW w:w="648"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 xml:space="preserve">- </w:t>
            </w:r>
          </w:p>
        </w:tc>
        <w:tc>
          <w:tcPr>
            <w:tcW w:w="715"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 xml:space="preserve">- </w:t>
            </w:r>
          </w:p>
        </w:tc>
        <w:tc>
          <w:tcPr>
            <w:tcW w:w="715"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(2)</w:t>
            </w:r>
          </w:p>
        </w:tc>
        <w:tc>
          <w:tcPr>
            <w:tcW w:w="586"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(2)</w:t>
            </w:r>
          </w:p>
        </w:tc>
      </w:tr>
      <w:tr w:rsidR="00E80373" w:rsidRPr="001A209B" w:rsidTr="00632DB1">
        <w:trPr>
          <w:trHeight w:val="240"/>
        </w:trPr>
        <w:tc>
          <w:tcPr>
            <w:tcW w:w="1621" w:type="pct"/>
            <w:tcBorders>
              <w:top w:val="nil"/>
              <w:left w:val="nil"/>
              <w:bottom w:val="nil"/>
              <w:right w:val="nil"/>
            </w:tcBorders>
            <w:shd w:val="clear" w:color="000000" w:fill="FFFFFF"/>
            <w:noWrap/>
            <w:vAlign w:val="center"/>
            <w:hideMark/>
          </w:tcPr>
          <w:p w:rsidR="00E80373" w:rsidRPr="001A209B" w:rsidRDefault="00E80373" w:rsidP="00632DB1">
            <w:pPr>
              <w:rPr>
                <w:rFonts w:cs="Arial"/>
                <w:color w:val="000000"/>
                <w:sz w:val="18"/>
                <w:szCs w:val="18"/>
              </w:rPr>
            </w:pPr>
            <w:r w:rsidRPr="001A209B">
              <w:rPr>
                <w:rFonts w:cs="Arial"/>
                <w:color w:val="000000"/>
                <w:sz w:val="18"/>
                <w:szCs w:val="18"/>
              </w:rPr>
              <w:t>Exchange movements</w:t>
            </w:r>
          </w:p>
        </w:tc>
        <w:tc>
          <w:tcPr>
            <w:tcW w:w="715"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(30)</w:t>
            </w:r>
          </w:p>
        </w:tc>
        <w:tc>
          <w:tcPr>
            <w:tcW w:w="648"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 xml:space="preserve">10 </w:t>
            </w:r>
          </w:p>
        </w:tc>
        <w:tc>
          <w:tcPr>
            <w:tcW w:w="715"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 xml:space="preserve">22 </w:t>
            </w:r>
          </w:p>
        </w:tc>
        <w:tc>
          <w:tcPr>
            <w:tcW w:w="715"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 xml:space="preserve">- </w:t>
            </w:r>
          </w:p>
        </w:tc>
        <w:tc>
          <w:tcPr>
            <w:tcW w:w="586" w:type="pct"/>
            <w:tcBorders>
              <w:top w:val="nil"/>
              <w:left w:val="nil"/>
              <w:bottom w:val="nil"/>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 xml:space="preserve">2 </w:t>
            </w:r>
          </w:p>
        </w:tc>
      </w:tr>
      <w:tr w:rsidR="00E80373" w:rsidRPr="001A209B" w:rsidTr="00632DB1">
        <w:trPr>
          <w:trHeight w:val="255"/>
        </w:trPr>
        <w:tc>
          <w:tcPr>
            <w:tcW w:w="1621" w:type="pct"/>
            <w:tcBorders>
              <w:top w:val="single" w:sz="4" w:space="0" w:color="800000"/>
              <w:left w:val="nil"/>
              <w:bottom w:val="single" w:sz="8" w:space="0" w:color="800000"/>
              <w:right w:val="nil"/>
            </w:tcBorders>
            <w:shd w:val="clear" w:color="000000" w:fill="FFFFFF"/>
            <w:noWrap/>
            <w:vAlign w:val="center"/>
            <w:hideMark/>
          </w:tcPr>
          <w:p w:rsidR="00E80373" w:rsidRPr="001A209B" w:rsidRDefault="00E80373" w:rsidP="00632DB1">
            <w:pPr>
              <w:rPr>
                <w:rFonts w:cs="Arial"/>
                <w:sz w:val="18"/>
                <w:szCs w:val="18"/>
              </w:rPr>
            </w:pPr>
            <w:r w:rsidRPr="001A209B">
              <w:rPr>
                <w:rFonts w:cs="Arial"/>
                <w:sz w:val="18"/>
                <w:szCs w:val="18"/>
              </w:rPr>
              <w:t>At 31 March 2014</w:t>
            </w:r>
          </w:p>
        </w:tc>
        <w:tc>
          <w:tcPr>
            <w:tcW w:w="715" w:type="pct"/>
            <w:tcBorders>
              <w:top w:val="single" w:sz="4" w:space="0" w:color="800000"/>
              <w:left w:val="nil"/>
              <w:bottom w:val="single" w:sz="8" w:space="0" w:color="800000"/>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 xml:space="preserve">631 </w:t>
            </w:r>
          </w:p>
        </w:tc>
        <w:tc>
          <w:tcPr>
            <w:tcW w:w="648" w:type="pct"/>
            <w:tcBorders>
              <w:top w:val="single" w:sz="4" w:space="0" w:color="800000"/>
              <w:left w:val="nil"/>
              <w:bottom w:val="single" w:sz="8" w:space="0" w:color="800000"/>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(2,300)</w:t>
            </w:r>
          </w:p>
        </w:tc>
        <w:tc>
          <w:tcPr>
            <w:tcW w:w="715" w:type="pct"/>
            <w:tcBorders>
              <w:top w:val="single" w:sz="4" w:space="0" w:color="800000"/>
              <w:left w:val="nil"/>
              <w:bottom w:val="single" w:sz="8" w:space="0" w:color="800000"/>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(9,545)</w:t>
            </w:r>
          </w:p>
        </w:tc>
        <w:tc>
          <w:tcPr>
            <w:tcW w:w="715" w:type="pct"/>
            <w:tcBorders>
              <w:top w:val="single" w:sz="4" w:space="0" w:color="800000"/>
              <w:left w:val="nil"/>
              <w:bottom w:val="single" w:sz="8" w:space="0" w:color="800000"/>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(195)</w:t>
            </w:r>
          </w:p>
        </w:tc>
        <w:tc>
          <w:tcPr>
            <w:tcW w:w="586" w:type="pct"/>
            <w:tcBorders>
              <w:top w:val="single" w:sz="4" w:space="0" w:color="800000"/>
              <w:left w:val="nil"/>
              <w:bottom w:val="single" w:sz="8" w:space="0" w:color="800000"/>
              <w:right w:val="nil"/>
            </w:tcBorders>
            <w:shd w:val="clear" w:color="000000" w:fill="C0C0C0"/>
            <w:noWrap/>
            <w:vAlign w:val="center"/>
            <w:hideMark/>
          </w:tcPr>
          <w:p w:rsidR="00E80373" w:rsidRPr="001A209B" w:rsidRDefault="00E80373" w:rsidP="00632DB1">
            <w:pPr>
              <w:jc w:val="right"/>
              <w:rPr>
                <w:rFonts w:cs="Arial"/>
                <w:b/>
                <w:bCs/>
                <w:color w:val="800000"/>
                <w:sz w:val="18"/>
                <w:szCs w:val="18"/>
              </w:rPr>
            </w:pPr>
            <w:r w:rsidRPr="001A209B">
              <w:rPr>
                <w:rFonts w:cs="Arial"/>
                <w:b/>
                <w:bCs/>
                <w:color w:val="800000"/>
                <w:sz w:val="18"/>
                <w:szCs w:val="18"/>
              </w:rPr>
              <w:t>(11,409)</w:t>
            </w:r>
          </w:p>
        </w:tc>
      </w:tr>
    </w:tbl>
    <w:p w:rsidR="006D48E5" w:rsidRPr="001A209B" w:rsidRDefault="006D48E5" w:rsidP="006D48E5">
      <w:pPr>
        <w:jc w:val="both"/>
        <w:rPr>
          <w:rFonts w:cs="Arial"/>
          <w:sz w:val="18"/>
          <w:szCs w:val="18"/>
        </w:rPr>
      </w:pPr>
    </w:p>
    <w:p w:rsidR="00E80373" w:rsidRPr="001A209B" w:rsidRDefault="00E80373" w:rsidP="00E80373">
      <w:pPr>
        <w:jc w:val="both"/>
        <w:rPr>
          <w:rFonts w:cs="Arial"/>
          <w:sz w:val="18"/>
          <w:szCs w:val="18"/>
        </w:rPr>
      </w:pPr>
      <w:r w:rsidRPr="001A209B">
        <w:rPr>
          <w:rFonts w:cs="Arial"/>
          <w:sz w:val="18"/>
          <w:szCs w:val="18"/>
        </w:rPr>
        <w:t>During the period we repaid €500 million 5.125 per cent notes in October 2013 and €1,200 million 4.375 per cent notes in November 2013.</w:t>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p>
    <w:p w:rsidR="00E80373" w:rsidRPr="001A209B" w:rsidRDefault="00E80373" w:rsidP="00E80373">
      <w:pPr>
        <w:jc w:val="both"/>
        <w:rPr>
          <w:rFonts w:cs="Arial"/>
          <w:sz w:val="18"/>
          <w:szCs w:val="18"/>
        </w:rPr>
      </w:pP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r w:rsidRPr="001A209B">
        <w:rPr>
          <w:rFonts w:cs="Arial"/>
          <w:sz w:val="18"/>
          <w:szCs w:val="18"/>
        </w:rPr>
        <w:tab/>
      </w:r>
    </w:p>
    <w:p w:rsidR="00E80373" w:rsidRPr="001A209B" w:rsidRDefault="00E80373" w:rsidP="00E80373">
      <w:pPr>
        <w:jc w:val="both"/>
        <w:rPr>
          <w:rFonts w:cs="Arial"/>
          <w:sz w:val="18"/>
          <w:szCs w:val="18"/>
        </w:rPr>
      </w:pPr>
      <w:r w:rsidRPr="001A209B">
        <w:rPr>
          <w:rFonts w:cs="Arial"/>
          <w:sz w:val="18"/>
          <w:szCs w:val="18"/>
        </w:rPr>
        <w:t>On 25 February 2014, we raised £1.8 billion through the capital markets by issuance of three bonds: €1,000 million 2.25 per cent notes due February 2021, €650 million 3.375 per cent notes due February 2026 and £500 million 4.875 per cent notes due February 2032.</w:t>
      </w:r>
    </w:p>
    <w:p w:rsidR="00E80373" w:rsidRPr="001A209B" w:rsidRDefault="00E80373" w:rsidP="00E80373">
      <w:pPr>
        <w:jc w:val="both"/>
        <w:rPr>
          <w:rFonts w:cs="Arial"/>
          <w:sz w:val="18"/>
          <w:szCs w:val="18"/>
        </w:rPr>
      </w:pPr>
    </w:p>
    <w:p w:rsidR="00C40103" w:rsidRPr="001A209B" w:rsidRDefault="00C40103">
      <w:pPr>
        <w:rPr>
          <w:rFonts w:cs="Arial"/>
          <w:b/>
          <w:color w:val="A60D1F"/>
          <w:sz w:val="18"/>
          <w:szCs w:val="18"/>
        </w:rPr>
      </w:pPr>
      <w:r w:rsidRPr="001A209B">
        <w:rPr>
          <w:rFonts w:cs="Arial"/>
          <w:b/>
          <w:color w:val="A60D1F"/>
          <w:sz w:val="18"/>
          <w:szCs w:val="18"/>
        </w:rPr>
        <w:br w:type="page"/>
      </w:r>
    </w:p>
    <w:p w:rsidR="00E80373" w:rsidRPr="001A209B" w:rsidRDefault="00E80373" w:rsidP="00E80373">
      <w:pPr>
        <w:jc w:val="both"/>
        <w:rPr>
          <w:rFonts w:cs="Arial"/>
          <w:b/>
          <w:color w:val="A60D1F"/>
          <w:sz w:val="18"/>
          <w:szCs w:val="18"/>
        </w:rPr>
      </w:pPr>
      <w:r w:rsidRPr="001A209B">
        <w:rPr>
          <w:rFonts w:cs="Arial"/>
          <w:b/>
          <w:color w:val="A60D1F"/>
          <w:sz w:val="18"/>
          <w:szCs w:val="18"/>
        </w:rPr>
        <w:t>Adjusted net debt</w:t>
      </w:r>
    </w:p>
    <w:p w:rsidR="00E80373" w:rsidRPr="001A209B" w:rsidRDefault="00E80373" w:rsidP="00E80373">
      <w:pPr>
        <w:jc w:val="both"/>
        <w:rPr>
          <w:rFonts w:cs="Arial"/>
          <w:sz w:val="18"/>
          <w:szCs w:val="18"/>
        </w:rPr>
      </w:pPr>
      <w:r w:rsidRPr="001A209B">
        <w:rPr>
          <w:rFonts w:cs="Arial"/>
          <w:sz w:val="18"/>
          <w:szCs w:val="18"/>
        </w:rPr>
        <w:t>Management monitors the Group’s borrowing levels using adjusted net debt which excludes interest accruals, the fair value of derivative financial instruments providing commercial cash flow hedges and finance lease liabilities.</w:t>
      </w:r>
    </w:p>
    <w:p w:rsidR="00EB0B36" w:rsidRPr="001A209B" w:rsidRDefault="00EB0B36" w:rsidP="00E80373">
      <w:pPr>
        <w:jc w:val="both"/>
        <w:rPr>
          <w:rFonts w:cs="Arial"/>
          <w:sz w:val="18"/>
          <w:szCs w:val="18"/>
        </w:rPr>
      </w:pPr>
    </w:p>
    <w:tbl>
      <w:tblPr>
        <w:tblW w:w="5000" w:type="pct"/>
        <w:tblLook w:val="04A0" w:firstRow="1" w:lastRow="0" w:firstColumn="1" w:lastColumn="0" w:noHBand="0" w:noVBand="1"/>
      </w:tblPr>
      <w:tblGrid>
        <w:gridCol w:w="5343"/>
        <w:gridCol w:w="1182"/>
        <w:gridCol w:w="1145"/>
        <w:gridCol w:w="1596"/>
      </w:tblGrid>
      <w:tr w:rsidR="00E80373" w:rsidRPr="001A209B" w:rsidTr="00C40103">
        <w:trPr>
          <w:trHeight w:val="409"/>
        </w:trPr>
        <w:tc>
          <w:tcPr>
            <w:tcW w:w="2883" w:type="pct"/>
            <w:tcBorders>
              <w:top w:val="nil"/>
              <w:left w:val="nil"/>
              <w:bottom w:val="single" w:sz="4" w:space="0" w:color="800000"/>
              <w:right w:val="nil"/>
            </w:tcBorders>
            <w:shd w:val="clear" w:color="000000" w:fill="FFFFFF"/>
            <w:noWrap/>
            <w:vAlign w:val="bottom"/>
            <w:hideMark/>
          </w:tcPr>
          <w:p w:rsidR="00E80373" w:rsidRPr="001A209B" w:rsidRDefault="00E80373" w:rsidP="00E80373">
            <w:pPr>
              <w:rPr>
                <w:rFonts w:cs="Arial"/>
                <w:sz w:val="18"/>
                <w:szCs w:val="18"/>
              </w:rPr>
            </w:pPr>
            <w:r w:rsidRPr="001A209B">
              <w:rPr>
                <w:rFonts w:cs="Arial"/>
                <w:sz w:val="18"/>
                <w:szCs w:val="18"/>
              </w:rPr>
              <w:t>£ million</w:t>
            </w:r>
          </w:p>
        </w:tc>
        <w:tc>
          <w:tcPr>
            <w:tcW w:w="638" w:type="pct"/>
            <w:tcBorders>
              <w:top w:val="nil"/>
              <w:left w:val="nil"/>
              <w:bottom w:val="single" w:sz="4" w:space="0" w:color="800000"/>
              <w:right w:val="nil"/>
            </w:tcBorders>
            <w:shd w:val="clear" w:color="000000" w:fill="FFFFFF"/>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xml:space="preserve">31 March </w:t>
            </w:r>
            <w:r w:rsidRPr="001A209B">
              <w:rPr>
                <w:rFonts w:cs="Arial"/>
                <w:b/>
                <w:bCs/>
                <w:color w:val="800000"/>
                <w:sz w:val="18"/>
                <w:szCs w:val="18"/>
              </w:rPr>
              <w:br/>
              <w:t xml:space="preserve">2014 </w:t>
            </w:r>
          </w:p>
        </w:tc>
        <w:tc>
          <w:tcPr>
            <w:tcW w:w="618" w:type="pct"/>
            <w:tcBorders>
              <w:top w:val="nil"/>
              <w:left w:val="nil"/>
              <w:bottom w:val="single" w:sz="4" w:space="0" w:color="800000"/>
              <w:right w:val="nil"/>
            </w:tcBorders>
            <w:shd w:val="clear" w:color="000000" w:fill="FFFFFF"/>
            <w:vAlign w:val="bottom"/>
            <w:hideMark/>
          </w:tcPr>
          <w:p w:rsidR="00E80373" w:rsidRPr="001A209B" w:rsidRDefault="00E80373" w:rsidP="00E80373">
            <w:pPr>
              <w:jc w:val="right"/>
              <w:rPr>
                <w:rFonts w:cs="Arial"/>
                <w:color w:val="000000"/>
                <w:sz w:val="18"/>
                <w:szCs w:val="18"/>
              </w:rPr>
            </w:pPr>
            <w:r w:rsidRPr="001A209B">
              <w:rPr>
                <w:rFonts w:cs="Arial"/>
                <w:color w:val="000000"/>
                <w:sz w:val="18"/>
                <w:szCs w:val="18"/>
              </w:rPr>
              <w:t xml:space="preserve">31 March </w:t>
            </w:r>
            <w:r w:rsidRPr="001A209B">
              <w:rPr>
                <w:rFonts w:cs="Arial"/>
                <w:color w:val="000000"/>
                <w:sz w:val="18"/>
                <w:szCs w:val="18"/>
              </w:rPr>
              <w:br/>
              <w:t xml:space="preserve">2013 </w:t>
            </w:r>
          </w:p>
        </w:tc>
        <w:tc>
          <w:tcPr>
            <w:tcW w:w="861" w:type="pct"/>
            <w:tcBorders>
              <w:top w:val="nil"/>
              <w:left w:val="nil"/>
              <w:bottom w:val="single" w:sz="4" w:space="0" w:color="800000"/>
              <w:right w:val="nil"/>
            </w:tcBorders>
            <w:shd w:val="clear" w:color="000000" w:fill="FFFFFF"/>
            <w:vAlign w:val="bottom"/>
            <w:hideMark/>
          </w:tcPr>
          <w:p w:rsidR="00E80373" w:rsidRPr="001A209B" w:rsidRDefault="001339E2" w:rsidP="00E80373">
            <w:pPr>
              <w:jc w:val="right"/>
              <w:rPr>
                <w:rFonts w:cs="Arial"/>
                <w:color w:val="000000"/>
                <w:sz w:val="18"/>
                <w:szCs w:val="18"/>
              </w:rPr>
            </w:pPr>
            <w:r w:rsidRPr="001A209B">
              <w:rPr>
                <w:rFonts w:cs="Arial"/>
                <w:color w:val="000000"/>
                <w:sz w:val="18"/>
                <w:szCs w:val="18"/>
              </w:rPr>
              <w:t xml:space="preserve">30 </w:t>
            </w:r>
            <w:r w:rsidR="00EB0B36" w:rsidRPr="001A209B">
              <w:rPr>
                <w:rFonts w:cs="Arial"/>
                <w:color w:val="000000"/>
                <w:sz w:val="18"/>
                <w:szCs w:val="18"/>
              </w:rPr>
              <w:t>S</w:t>
            </w:r>
            <w:r w:rsidR="00E80373" w:rsidRPr="001A209B">
              <w:rPr>
                <w:rFonts w:cs="Arial"/>
                <w:color w:val="000000"/>
                <w:sz w:val="18"/>
                <w:szCs w:val="18"/>
              </w:rPr>
              <w:t>eptember</w:t>
            </w:r>
            <w:r w:rsidR="00E80373" w:rsidRPr="001A209B">
              <w:rPr>
                <w:rFonts w:cs="Arial"/>
                <w:color w:val="000000"/>
                <w:sz w:val="18"/>
                <w:szCs w:val="18"/>
              </w:rPr>
              <w:br/>
              <w:t xml:space="preserve">2013 </w:t>
            </w:r>
          </w:p>
        </w:tc>
      </w:tr>
      <w:tr w:rsidR="00E80373" w:rsidRPr="001A209B" w:rsidTr="00C40103">
        <w:trPr>
          <w:trHeight w:val="240"/>
        </w:trPr>
        <w:tc>
          <w:tcPr>
            <w:tcW w:w="2883" w:type="pct"/>
            <w:tcBorders>
              <w:top w:val="nil"/>
              <w:left w:val="nil"/>
              <w:bottom w:val="nil"/>
              <w:right w:val="nil"/>
            </w:tcBorders>
            <w:shd w:val="clear" w:color="000000" w:fill="FFFFFF"/>
            <w:noWrap/>
            <w:vAlign w:val="bottom"/>
            <w:hideMark/>
          </w:tcPr>
          <w:p w:rsidR="00E80373" w:rsidRPr="001A209B" w:rsidRDefault="00E80373" w:rsidP="00E80373">
            <w:pPr>
              <w:rPr>
                <w:rFonts w:cs="Arial"/>
                <w:sz w:val="18"/>
                <w:szCs w:val="18"/>
              </w:rPr>
            </w:pPr>
            <w:r w:rsidRPr="001A209B">
              <w:rPr>
                <w:rFonts w:cs="Arial"/>
                <w:sz w:val="18"/>
                <w:szCs w:val="18"/>
              </w:rPr>
              <w:t>Reported net debt</w:t>
            </w:r>
          </w:p>
        </w:tc>
        <w:tc>
          <w:tcPr>
            <w:tcW w:w="638" w:type="pct"/>
            <w:tcBorders>
              <w:top w:val="nil"/>
              <w:left w:val="nil"/>
              <w:bottom w:val="nil"/>
              <w:right w:val="nil"/>
            </w:tcBorders>
            <w:shd w:val="clear" w:color="000000" w:fill="C0C0C0"/>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(11,409)</w:t>
            </w:r>
          </w:p>
        </w:tc>
        <w:tc>
          <w:tcPr>
            <w:tcW w:w="618"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(11,229)</w:t>
            </w:r>
          </w:p>
        </w:tc>
        <w:tc>
          <w:tcPr>
            <w:tcW w:w="861"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(9,518)</w:t>
            </w:r>
          </w:p>
        </w:tc>
      </w:tr>
      <w:tr w:rsidR="00E80373" w:rsidRPr="001A209B" w:rsidTr="00C40103">
        <w:trPr>
          <w:trHeight w:val="240"/>
        </w:trPr>
        <w:tc>
          <w:tcPr>
            <w:tcW w:w="2883" w:type="pct"/>
            <w:tcBorders>
              <w:top w:val="nil"/>
              <w:left w:val="nil"/>
              <w:bottom w:val="nil"/>
              <w:right w:val="nil"/>
            </w:tcBorders>
            <w:shd w:val="clear" w:color="000000" w:fill="FFFFFF"/>
            <w:noWrap/>
            <w:vAlign w:val="bottom"/>
            <w:hideMark/>
          </w:tcPr>
          <w:p w:rsidR="00E80373" w:rsidRPr="001A209B" w:rsidRDefault="00E80373" w:rsidP="00E80373">
            <w:pPr>
              <w:rPr>
                <w:rFonts w:cs="Arial"/>
                <w:sz w:val="18"/>
                <w:szCs w:val="18"/>
              </w:rPr>
            </w:pPr>
            <w:r w:rsidRPr="001A209B">
              <w:rPr>
                <w:rFonts w:cs="Arial"/>
                <w:sz w:val="18"/>
                <w:szCs w:val="18"/>
              </w:rPr>
              <w:t>Accrued interest</w:t>
            </w:r>
          </w:p>
        </w:tc>
        <w:tc>
          <w:tcPr>
            <w:tcW w:w="638" w:type="pct"/>
            <w:tcBorders>
              <w:top w:val="nil"/>
              <w:left w:val="nil"/>
              <w:bottom w:val="nil"/>
              <w:right w:val="nil"/>
            </w:tcBorders>
            <w:shd w:val="clear" w:color="000000" w:fill="C0C0C0"/>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xml:space="preserve">175 </w:t>
            </w:r>
          </w:p>
        </w:tc>
        <w:tc>
          <w:tcPr>
            <w:tcW w:w="618"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 xml:space="preserve">181 </w:t>
            </w:r>
          </w:p>
        </w:tc>
        <w:tc>
          <w:tcPr>
            <w:tcW w:w="861"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 xml:space="preserve">321 </w:t>
            </w:r>
          </w:p>
        </w:tc>
      </w:tr>
      <w:tr w:rsidR="00E80373" w:rsidRPr="001A209B" w:rsidTr="00C40103">
        <w:trPr>
          <w:trHeight w:val="240"/>
        </w:trPr>
        <w:tc>
          <w:tcPr>
            <w:tcW w:w="2883" w:type="pct"/>
            <w:tcBorders>
              <w:top w:val="nil"/>
              <w:left w:val="nil"/>
              <w:bottom w:val="nil"/>
              <w:right w:val="nil"/>
            </w:tcBorders>
            <w:shd w:val="clear" w:color="000000" w:fill="FFFFFF"/>
            <w:noWrap/>
            <w:vAlign w:val="bottom"/>
            <w:hideMark/>
          </w:tcPr>
          <w:p w:rsidR="00E80373" w:rsidRPr="001A209B" w:rsidRDefault="00E80373" w:rsidP="00E80373">
            <w:pPr>
              <w:rPr>
                <w:rFonts w:cs="Arial"/>
                <w:sz w:val="18"/>
                <w:szCs w:val="18"/>
              </w:rPr>
            </w:pPr>
            <w:r w:rsidRPr="001A209B">
              <w:rPr>
                <w:rFonts w:cs="Arial"/>
                <w:sz w:val="18"/>
                <w:szCs w:val="18"/>
              </w:rPr>
              <w:t>Fair value of derivatives providing commercial hedges</w:t>
            </w:r>
          </w:p>
        </w:tc>
        <w:tc>
          <w:tcPr>
            <w:tcW w:w="638" w:type="pct"/>
            <w:tcBorders>
              <w:top w:val="nil"/>
              <w:left w:val="nil"/>
              <w:bottom w:val="nil"/>
              <w:right w:val="nil"/>
            </w:tcBorders>
            <w:shd w:val="clear" w:color="000000" w:fill="C0C0C0"/>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xml:space="preserve">176 </w:t>
            </w:r>
          </w:p>
        </w:tc>
        <w:tc>
          <w:tcPr>
            <w:tcW w:w="618"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 xml:space="preserve">51 </w:t>
            </w:r>
          </w:p>
        </w:tc>
        <w:tc>
          <w:tcPr>
            <w:tcW w:w="861"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 xml:space="preserve">99 </w:t>
            </w:r>
          </w:p>
        </w:tc>
      </w:tr>
      <w:tr w:rsidR="00E80373" w:rsidRPr="001A209B" w:rsidTr="00C40103">
        <w:trPr>
          <w:trHeight w:val="255"/>
        </w:trPr>
        <w:tc>
          <w:tcPr>
            <w:tcW w:w="2883" w:type="pct"/>
            <w:tcBorders>
              <w:top w:val="single" w:sz="4" w:space="0" w:color="800000"/>
              <w:left w:val="nil"/>
              <w:bottom w:val="single" w:sz="8" w:space="0" w:color="800000"/>
              <w:right w:val="nil"/>
            </w:tcBorders>
            <w:shd w:val="clear" w:color="000000" w:fill="FFFFFF"/>
            <w:noWrap/>
            <w:vAlign w:val="bottom"/>
            <w:hideMark/>
          </w:tcPr>
          <w:p w:rsidR="00E80373" w:rsidRPr="001A209B" w:rsidRDefault="00E80373" w:rsidP="00E80373">
            <w:pPr>
              <w:rPr>
                <w:rFonts w:cs="Arial"/>
                <w:sz w:val="18"/>
                <w:szCs w:val="18"/>
              </w:rPr>
            </w:pPr>
            <w:r w:rsidRPr="001A209B">
              <w:rPr>
                <w:rFonts w:cs="Arial"/>
                <w:sz w:val="18"/>
                <w:szCs w:val="18"/>
              </w:rPr>
              <w:t>Adjusted net debt</w:t>
            </w:r>
          </w:p>
        </w:tc>
        <w:tc>
          <w:tcPr>
            <w:tcW w:w="638" w:type="pct"/>
            <w:tcBorders>
              <w:top w:val="single" w:sz="4" w:space="0" w:color="800000"/>
              <w:left w:val="nil"/>
              <w:bottom w:val="single" w:sz="8" w:space="0" w:color="800000"/>
              <w:right w:val="nil"/>
            </w:tcBorders>
            <w:shd w:val="clear" w:color="000000" w:fill="C0C0C0"/>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(11,058)</w:t>
            </w:r>
          </w:p>
        </w:tc>
        <w:tc>
          <w:tcPr>
            <w:tcW w:w="618" w:type="pct"/>
            <w:tcBorders>
              <w:top w:val="single" w:sz="4" w:space="0" w:color="800000"/>
              <w:left w:val="nil"/>
              <w:bottom w:val="single" w:sz="8" w:space="0" w:color="800000"/>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(10,997)</w:t>
            </w:r>
          </w:p>
        </w:tc>
        <w:tc>
          <w:tcPr>
            <w:tcW w:w="861" w:type="pct"/>
            <w:tcBorders>
              <w:top w:val="single" w:sz="4" w:space="0" w:color="800000"/>
              <w:left w:val="nil"/>
              <w:bottom w:val="single" w:sz="8" w:space="0" w:color="800000"/>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(9,098)</w:t>
            </w:r>
          </w:p>
        </w:tc>
      </w:tr>
    </w:tbl>
    <w:p w:rsidR="00E80373" w:rsidRPr="001A209B" w:rsidRDefault="00E80373" w:rsidP="00E80373">
      <w:pPr>
        <w:jc w:val="both"/>
        <w:rPr>
          <w:rFonts w:cs="Arial"/>
          <w:color w:val="A60D1F"/>
          <w:sz w:val="18"/>
          <w:szCs w:val="18"/>
        </w:rPr>
      </w:pPr>
    </w:p>
    <w:p w:rsidR="00C40103" w:rsidRPr="001A209B" w:rsidRDefault="00FA670E" w:rsidP="00632DB1">
      <w:pPr>
        <w:jc w:val="both"/>
        <w:rPr>
          <w:rFonts w:cs="Arial"/>
          <w:sz w:val="18"/>
          <w:szCs w:val="18"/>
        </w:rPr>
      </w:pPr>
      <w:r w:rsidRPr="001A209B">
        <w:rPr>
          <w:rFonts w:cs="Arial"/>
          <w:sz w:val="18"/>
          <w:szCs w:val="18"/>
        </w:rPr>
        <w:t>The fair value of bonds is estimated to be £11,2</w:t>
      </w:r>
      <w:r w:rsidR="000C30E9" w:rsidRPr="001A209B">
        <w:rPr>
          <w:rFonts w:cs="Arial"/>
          <w:sz w:val="18"/>
          <w:szCs w:val="18"/>
        </w:rPr>
        <w:t>10 million (2013 6 months: £11,044</w:t>
      </w:r>
      <w:r w:rsidRPr="001A209B">
        <w:rPr>
          <w:rFonts w:cs="Arial"/>
          <w:sz w:val="18"/>
          <w:szCs w:val="18"/>
        </w:rPr>
        <w:t xml:space="preserve"> million) and has been determined using quoted market prices or discounted cash flow analysis.  The carrying value of bonds is £10,189 million (2013 6 months: £10,062 million). The value of other assets and liabilities held at amortised cost are not materially different to their fair values.</w:t>
      </w:r>
    </w:p>
    <w:p w:rsidR="00C40103" w:rsidRDefault="00C40103">
      <w:pPr>
        <w:rPr>
          <w:rFonts w:cs="Arial"/>
          <w:sz w:val="18"/>
          <w:szCs w:val="18"/>
        </w:rPr>
      </w:pPr>
    </w:p>
    <w:p w:rsidR="0047622F" w:rsidRPr="001A209B" w:rsidRDefault="0047622F">
      <w:pPr>
        <w:rPr>
          <w:rFonts w:cs="Arial"/>
          <w:sz w:val="18"/>
          <w:szCs w:val="18"/>
        </w:rPr>
      </w:pPr>
    </w:p>
    <w:p w:rsidR="00E80373" w:rsidRPr="001A209B" w:rsidRDefault="00E80373" w:rsidP="00E80373">
      <w:pPr>
        <w:jc w:val="both"/>
        <w:rPr>
          <w:rFonts w:cs="Arial"/>
          <w:b/>
          <w:color w:val="A60D1F"/>
          <w:sz w:val="18"/>
          <w:szCs w:val="18"/>
        </w:rPr>
      </w:pPr>
      <w:r w:rsidRPr="001A209B">
        <w:rPr>
          <w:rFonts w:cs="Arial"/>
          <w:b/>
          <w:color w:val="A60D1F"/>
          <w:sz w:val="18"/>
          <w:szCs w:val="18"/>
        </w:rPr>
        <w:t>11  Derivative Financial Instruments</w:t>
      </w:r>
    </w:p>
    <w:tbl>
      <w:tblPr>
        <w:tblW w:w="5000" w:type="pct"/>
        <w:tblLook w:val="04A0" w:firstRow="1" w:lastRow="0" w:firstColumn="1" w:lastColumn="0" w:noHBand="0" w:noVBand="1"/>
      </w:tblPr>
      <w:tblGrid>
        <w:gridCol w:w="5408"/>
        <w:gridCol w:w="1143"/>
        <w:gridCol w:w="1145"/>
        <w:gridCol w:w="1570"/>
      </w:tblGrid>
      <w:tr w:rsidR="00C40103" w:rsidRPr="001A209B" w:rsidTr="00C40103">
        <w:trPr>
          <w:trHeight w:val="216"/>
        </w:trPr>
        <w:tc>
          <w:tcPr>
            <w:tcW w:w="2918" w:type="pct"/>
            <w:tcBorders>
              <w:top w:val="nil"/>
              <w:left w:val="nil"/>
              <w:bottom w:val="single" w:sz="4" w:space="0" w:color="800000"/>
              <w:right w:val="nil"/>
            </w:tcBorders>
            <w:shd w:val="clear" w:color="000000" w:fill="FFFFFF"/>
            <w:noWrap/>
            <w:vAlign w:val="bottom"/>
            <w:hideMark/>
          </w:tcPr>
          <w:p w:rsidR="00E80373" w:rsidRPr="001A209B" w:rsidRDefault="00E80373" w:rsidP="00E80373">
            <w:pPr>
              <w:rPr>
                <w:rFonts w:cs="Arial"/>
                <w:sz w:val="18"/>
                <w:szCs w:val="18"/>
              </w:rPr>
            </w:pPr>
            <w:r w:rsidRPr="001A209B">
              <w:rPr>
                <w:rFonts w:cs="Arial"/>
                <w:sz w:val="18"/>
                <w:szCs w:val="18"/>
              </w:rPr>
              <w:t>£ million</w:t>
            </w:r>
          </w:p>
        </w:tc>
        <w:tc>
          <w:tcPr>
            <w:tcW w:w="617" w:type="pct"/>
            <w:tcBorders>
              <w:top w:val="nil"/>
              <w:left w:val="nil"/>
              <w:bottom w:val="single" w:sz="4" w:space="0" w:color="800000"/>
              <w:right w:val="nil"/>
            </w:tcBorders>
            <w:shd w:val="clear" w:color="000000" w:fill="FFFFFF"/>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xml:space="preserve">31 March </w:t>
            </w:r>
            <w:r w:rsidRPr="001A209B">
              <w:rPr>
                <w:rFonts w:cs="Arial"/>
                <w:b/>
                <w:bCs/>
                <w:color w:val="800000"/>
                <w:sz w:val="18"/>
                <w:szCs w:val="18"/>
              </w:rPr>
              <w:br/>
              <w:t xml:space="preserve">2014 </w:t>
            </w:r>
          </w:p>
        </w:tc>
        <w:tc>
          <w:tcPr>
            <w:tcW w:w="618" w:type="pct"/>
            <w:tcBorders>
              <w:top w:val="nil"/>
              <w:left w:val="nil"/>
              <w:bottom w:val="single" w:sz="4" w:space="0" w:color="800000"/>
              <w:right w:val="nil"/>
            </w:tcBorders>
            <w:shd w:val="clear" w:color="000000" w:fill="FFFFFF"/>
            <w:vAlign w:val="bottom"/>
            <w:hideMark/>
          </w:tcPr>
          <w:p w:rsidR="00E80373" w:rsidRPr="001A209B" w:rsidRDefault="00E80373" w:rsidP="00E80373">
            <w:pPr>
              <w:jc w:val="right"/>
              <w:rPr>
                <w:rFonts w:cs="Arial"/>
                <w:color w:val="000000"/>
                <w:sz w:val="18"/>
                <w:szCs w:val="18"/>
              </w:rPr>
            </w:pPr>
            <w:r w:rsidRPr="001A209B">
              <w:rPr>
                <w:rFonts w:cs="Arial"/>
                <w:color w:val="000000"/>
                <w:sz w:val="18"/>
                <w:szCs w:val="18"/>
              </w:rPr>
              <w:t xml:space="preserve">31 March </w:t>
            </w:r>
            <w:r w:rsidRPr="001A209B">
              <w:rPr>
                <w:rFonts w:cs="Arial"/>
                <w:color w:val="000000"/>
                <w:sz w:val="18"/>
                <w:szCs w:val="18"/>
              </w:rPr>
              <w:br/>
              <w:t xml:space="preserve">2013 </w:t>
            </w:r>
          </w:p>
        </w:tc>
        <w:tc>
          <w:tcPr>
            <w:tcW w:w="848" w:type="pct"/>
            <w:tcBorders>
              <w:top w:val="nil"/>
              <w:left w:val="nil"/>
              <w:bottom w:val="single" w:sz="4" w:space="0" w:color="800000"/>
              <w:right w:val="nil"/>
            </w:tcBorders>
            <w:shd w:val="clear" w:color="000000" w:fill="FFFFFF"/>
            <w:vAlign w:val="bottom"/>
            <w:hideMark/>
          </w:tcPr>
          <w:p w:rsidR="00E80373" w:rsidRPr="001A209B" w:rsidRDefault="00C40103" w:rsidP="00E80373">
            <w:pPr>
              <w:jc w:val="right"/>
              <w:rPr>
                <w:rFonts w:cs="Arial"/>
                <w:color w:val="000000"/>
                <w:sz w:val="18"/>
                <w:szCs w:val="18"/>
              </w:rPr>
            </w:pPr>
            <w:r w:rsidRPr="001A209B">
              <w:rPr>
                <w:rFonts w:cs="Arial"/>
                <w:color w:val="000000"/>
                <w:sz w:val="18"/>
                <w:szCs w:val="18"/>
              </w:rPr>
              <w:t xml:space="preserve">30 </w:t>
            </w:r>
            <w:r w:rsidR="00E80373" w:rsidRPr="001A209B">
              <w:rPr>
                <w:rFonts w:cs="Arial"/>
                <w:color w:val="000000"/>
                <w:sz w:val="18"/>
                <w:szCs w:val="18"/>
              </w:rPr>
              <w:t>September</w:t>
            </w:r>
            <w:r w:rsidR="00E80373" w:rsidRPr="001A209B">
              <w:rPr>
                <w:rFonts w:cs="Arial"/>
                <w:color w:val="000000"/>
                <w:sz w:val="18"/>
                <w:szCs w:val="18"/>
              </w:rPr>
              <w:br/>
              <w:t xml:space="preserve">2013 </w:t>
            </w:r>
          </w:p>
        </w:tc>
      </w:tr>
      <w:tr w:rsidR="00C40103" w:rsidRPr="001A209B" w:rsidTr="00C40103">
        <w:trPr>
          <w:trHeight w:val="240"/>
        </w:trPr>
        <w:tc>
          <w:tcPr>
            <w:tcW w:w="2918" w:type="pct"/>
            <w:tcBorders>
              <w:top w:val="nil"/>
              <w:left w:val="nil"/>
              <w:bottom w:val="nil"/>
              <w:right w:val="nil"/>
            </w:tcBorders>
            <w:shd w:val="clear" w:color="000000" w:fill="FFFFFF"/>
            <w:noWrap/>
            <w:vAlign w:val="bottom"/>
            <w:hideMark/>
          </w:tcPr>
          <w:p w:rsidR="00E80373" w:rsidRPr="001A209B" w:rsidRDefault="00E80373" w:rsidP="00E80373">
            <w:pPr>
              <w:rPr>
                <w:rFonts w:cs="Arial"/>
                <w:sz w:val="18"/>
                <w:szCs w:val="18"/>
              </w:rPr>
            </w:pPr>
            <w:r w:rsidRPr="001A209B">
              <w:rPr>
                <w:rFonts w:cs="Arial"/>
                <w:sz w:val="18"/>
                <w:szCs w:val="18"/>
              </w:rPr>
              <w:t>Interest rate swaps and options</w:t>
            </w:r>
          </w:p>
        </w:tc>
        <w:tc>
          <w:tcPr>
            <w:tcW w:w="617" w:type="pct"/>
            <w:tcBorders>
              <w:top w:val="nil"/>
              <w:left w:val="nil"/>
              <w:bottom w:val="nil"/>
              <w:right w:val="nil"/>
            </w:tcBorders>
            <w:shd w:val="clear" w:color="000000" w:fill="C0C0C0"/>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xml:space="preserve">505 </w:t>
            </w:r>
          </w:p>
        </w:tc>
        <w:tc>
          <w:tcPr>
            <w:tcW w:w="618"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 xml:space="preserve">764 </w:t>
            </w:r>
          </w:p>
        </w:tc>
        <w:tc>
          <w:tcPr>
            <w:tcW w:w="848"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 xml:space="preserve">515 </w:t>
            </w:r>
          </w:p>
        </w:tc>
      </w:tr>
      <w:tr w:rsidR="00C40103" w:rsidRPr="001A209B" w:rsidTr="00C40103">
        <w:trPr>
          <w:trHeight w:val="240"/>
        </w:trPr>
        <w:tc>
          <w:tcPr>
            <w:tcW w:w="2918" w:type="pct"/>
            <w:tcBorders>
              <w:top w:val="nil"/>
              <w:left w:val="nil"/>
              <w:bottom w:val="nil"/>
              <w:right w:val="nil"/>
            </w:tcBorders>
            <w:shd w:val="clear" w:color="000000" w:fill="FFFFFF"/>
            <w:noWrap/>
            <w:vAlign w:val="bottom"/>
            <w:hideMark/>
          </w:tcPr>
          <w:p w:rsidR="00E80373" w:rsidRPr="001A209B" w:rsidRDefault="00E80373" w:rsidP="00E80373">
            <w:pPr>
              <w:rPr>
                <w:rFonts w:cs="Arial"/>
                <w:sz w:val="18"/>
                <w:szCs w:val="18"/>
              </w:rPr>
            </w:pPr>
            <w:r w:rsidRPr="001A209B">
              <w:rPr>
                <w:rFonts w:cs="Arial"/>
                <w:sz w:val="18"/>
                <w:szCs w:val="18"/>
              </w:rPr>
              <w:t>Forward foreign currency contracts</w:t>
            </w:r>
          </w:p>
        </w:tc>
        <w:tc>
          <w:tcPr>
            <w:tcW w:w="617" w:type="pct"/>
            <w:tcBorders>
              <w:top w:val="nil"/>
              <w:left w:val="nil"/>
              <w:bottom w:val="nil"/>
              <w:right w:val="nil"/>
            </w:tcBorders>
            <w:shd w:val="clear" w:color="000000" w:fill="C0C0C0"/>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xml:space="preserve">11 </w:t>
            </w:r>
          </w:p>
        </w:tc>
        <w:tc>
          <w:tcPr>
            <w:tcW w:w="618"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 xml:space="preserve">8 </w:t>
            </w:r>
          </w:p>
        </w:tc>
        <w:tc>
          <w:tcPr>
            <w:tcW w:w="848"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 xml:space="preserve">3 </w:t>
            </w:r>
          </w:p>
        </w:tc>
      </w:tr>
      <w:tr w:rsidR="00C40103" w:rsidRPr="001A209B" w:rsidTr="00C40103">
        <w:trPr>
          <w:trHeight w:val="240"/>
        </w:trPr>
        <w:tc>
          <w:tcPr>
            <w:tcW w:w="2918" w:type="pct"/>
            <w:tcBorders>
              <w:top w:val="nil"/>
              <w:left w:val="nil"/>
              <w:bottom w:val="nil"/>
              <w:right w:val="nil"/>
            </w:tcBorders>
            <w:shd w:val="clear" w:color="000000" w:fill="FFFFFF"/>
            <w:noWrap/>
            <w:vAlign w:val="bottom"/>
            <w:hideMark/>
          </w:tcPr>
          <w:p w:rsidR="00E80373" w:rsidRPr="001A209B" w:rsidRDefault="00E80373" w:rsidP="00E80373">
            <w:pPr>
              <w:rPr>
                <w:rFonts w:cs="Arial"/>
                <w:sz w:val="18"/>
                <w:szCs w:val="18"/>
              </w:rPr>
            </w:pPr>
            <w:r w:rsidRPr="001A209B">
              <w:rPr>
                <w:rFonts w:cs="Arial"/>
                <w:sz w:val="18"/>
                <w:szCs w:val="18"/>
              </w:rPr>
              <w:t>Cross currency swaps</w:t>
            </w:r>
          </w:p>
        </w:tc>
        <w:tc>
          <w:tcPr>
            <w:tcW w:w="617" w:type="pct"/>
            <w:tcBorders>
              <w:top w:val="nil"/>
              <w:left w:val="nil"/>
              <w:bottom w:val="nil"/>
              <w:right w:val="nil"/>
            </w:tcBorders>
            <w:shd w:val="clear" w:color="000000" w:fill="C0C0C0"/>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xml:space="preserve">69 </w:t>
            </w:r>
          </w:p>
        </w:tc>
        <w:tc>
          <w:tcPr>
            <w:tcW w:w="618"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 xml:space="preserve">50 </w:t>
            </w:r>
          </w:p>
        </w:tc>
        <w:tc>
          <w:tcPr>
            <w:tcW w:w="848"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 xml:space="preserve">39 </w:t>
            </w:r>
          </w:p>
        </w:tc>
      </w:tr>
      <w:tr w:rsidR="00C40103" w:rsidRPr="001A209B" w:rsidTr="00C40103">
        <w:trPr>
          <w:trHeight w:val="240"/>
        </w:trPr>
        <w:tc>
          <w:tcPr>
            <w:tcW w:w="2918" w:type="pct"/>
            <w:tcBorders>
              <w:top w:val="nil"/>
              <w:left w:val="nil"/>
              <w:bottom w:val="single" w:sz="4" w:space="0" w:color="800000"/>
              <w:right w:val="nil"/>
            </w:tcBorders>
            <w:shd w:val="clear" w:color="000000" w:fill="FFFFFF"/>
            <w:noWrap/>
            <w:vAlign w:val="bottom"/>
            <w:hideMark/>
          </w:tcPr>
          <w:p w:rsidR="00E80373" w:rsidRPr="001A209B" w:rsidRDefault="00E80373" w:rsidP="00E80373">
            <w:pPr>
              <w:rPr>
                <w:rFonts w:cs="Arial"/>
                <w:sz w:val="18"/>
                <w:szCs w:val="18"/>
              </w:rPr>
            </w:pPr>
            <w:r w:rsidRPr="001A209B">
              <w:rPr>
                <w:rFonts w:cs="Arial"/>
                <w:sz w:val="18"/>
                <w:szCs w:val="18"/>
              </w:rPr>
              <w:t xml:space="preserve">Collateral </w:t>
            </w:r>
          </w:p>
        </w:tc>
        <w:tc>
          <w:tcPr>
            <w:tcW w:w="617" w:type="pct"/>
            <w:tcBorders>
              <w:top w:val="nil"/>
              <w:left w:val="nil"/>
              <w:bottom w:val="single" w:sz="4" w:space="0" w:color="800000"/>
              <w:right w:val="nil"/>
            </w:tcBorders>
            <w:shd w:val="clear" w:color="000000" w:fill="C0C0C0"/>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xml:space="preserve">- </w:t>
            </w:r>
          </w:p>
        </w:tc>
        <w:tc>
          <w:tcPr>
            <w:tcW w:w="618" w:type="pct"/>
            <w:tcBorders>
              <w:top w:val="nil"/>
              <w:left w:val="nil"/>
              <w:bottom w:val="single" w:sz="4" w:space="0" w:color="800000"/>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 xml:space="preserve">65 </w:t>
            </w:r>
          </w:p>
        </w:tc>
        <w:tc>
          <w:tcPr>
            <w:tcW w:w="848" w:type="pct"/>
            <w:tcBorders>
              <w:top w:val="nil"/>
              <w:left w:val="nil"/>
              <w:bottom w:val="single" w:sz="4" w:space="0" w:color="800000"/>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 xml:space="preserve">- </w:t>
            </w:r>
          </w:p>
        </w:tc>
      </w:tr>
      <w:tr w:rsidR="00C40103" w:rsidRPr="001A209B" w:rsidTr="00C40103">
        <w:trPr>
          <w:trHeight w:val="240"/>
        </w:trPr>
        <w:tc>
          <w:tcPr>
            <w:tcW w:w="2918" w:type="pct"/>
            <w:tcBorders>
              <w:top w:val="nil"/>
              <w:left w:val="nil"/>
              <w:bottom w:val="nil"/>
              <w:right w:val="nil"/>
            </w:tcBorders>
            <w:shd w:val="clear" w:color="000000" w:fill="FFFFFF"/>
            <w:noWrap/>
            <w:vAlign w:val="bottom"/>
            <w:hideMark/>
          </w:tcPr>
          <w:p w:rsidR="00E80373" w:rsidRPr="001A209B" w:rsidRDefault="00E80373" w:rsidP="00E80373">
            <w:pPr>
              <w:rPr>
                <w:rFonts w:cs="Arial"/>
                <w:sz w:val="18"/>
                <w:szCs w:val="18"/>
              </w:rPr>
            </w:pPr>
            <w:r w:rsidRPr="001A209B">
              <w:rPr>
                <w:rFonts w:cs="Arial"/>
                <w:sz w:val="18"/>
                <w:szCs w:val="18"/>
              </w:rPr>
              <w:t>Assets</w:t>
            </w:r>
          </w:p>
        </w:tc>
        <w:tc>
          <w:tcPr>
            <w:tcW w:w="617" w:type="pct"/>
            <w:tcBorders>
              <w:top w:val="nil"/>
              <w:left w:val="nil"/>
              <w:bottom w:val="nil"/>
              <w:right w:val="nil"/>
            </w:tcBorders>
            <w:shd w:val="clear" w:color="000000" w:fill="C0C0C0"/>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xml:space="preserve">585 </w:t>
            </w:r>
          </w:p>
        </w:tc>
        <w:tc>
          <w:tcPr>
            <w:tcW w:w="618"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 xml:space="preserve">887 </w:t>
            </w:r>
          </w:p>
        </w:tc>
        <w:tc>
          <w:tcPr>
            <w:tcW w:w="848"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 xml:space="preserve">557 </w:t>
            </w:r>
          </w:p>
        </w:tc>
      </w:tr>
      <w:tr w:rsidR="00C40103" w:rsidRPr="001A209B" w:rsidTr="00C40103">
        <w:trPr>
          <w:trHeight w:val="240"/>
        </w:trPr>
        <w:tc>
          <w:tcPr>
            <w:tcW w:w="2918" w:type="pct"/>
            <w:tcBorders>
              <w:top w:val="nil"/>
              <w:left w:val="nil"/>
              <w:bottom w:val="nil"/>
              <w:right w:val="nil"/>
            </w:tcBorders>
            <w:shd w:val="clear" w:color="000000" w:fill="FFFFFF"/>
            <w:noWrap/>
            <w:vAlign w:val="bottom"/>
            <w:hideMark/>
          </w:tcPr>
          <w:p w:rsidR="00E80373" w:rsidRPr="001A209B" w:rsidRDefault="00E80373" w:rsidP="00E80373">
            <w:pPr>
              <w:rPr>
                <w:rFonts w:cs="Arial"/>
                <w:sz w:val="18"/>
                <w:szCs w:val="18"/>
              </w:rPr>
            </w:pPr>
            <w:r w:rsidRPr="001A209B">
              <w:rPr>
                <w:rFonts w:cs="Arial"/>
                <w:sz w:val="18"/>
                <w:szCs w:val="18"/>
              </w:rPr>
              <w:t> </w:t>
            </w:r>
          </w:p>
        </w:tc>
        <w:tc>
          <w:tcPr>
            <w:tcW w:w="617" w:type="pct"/>
            <w:tcBorders>
              <w:top w:val="nil"/>
              <w:left w:val="nil"/>
              <w:bottom w:val="nil"/>
              <w:right w:val="nil"/>
            </w:tcBorders>
            <w:shd w:val="clear" w:color="000000" w:fill="C0C0C0"/>
            <w:noWrap/>
            <w:vAlign w:val="bottom"/>
            <w:hideMark/>
          </w:tcPr>
          <w:p w:rsidR="00E80373" w:rsidRPr="001A209B" w:rsidRDefault="00E80373" w:rsidP="00E80373">
            <w:pPr>
              <w:rPr>
                <w:rFonts w:cs="Arial"/>
                <w:b/>
                <w:bCs/>
                <w:color w:val="800000"/>
                <w:sz w:val="18"/>
                <w:szCs w:val="18"/>
              </w:rPr>
            </w:pPr>
            <w:r w:rsidRPr="001A209B">
              <w:rPr>
                <w:rFonts w:cs="Arial"/>
                <w:b/>
                <w:bCs/>
                <w:color w:val="800000"/>
                <w:sz w:val="18"/>
                <w:szCs w:val="18"/>
              </w:rPr>
              <w:t> </w:t>
            </w:r>
          </w:p>
        </w:tc>
        <w:tc>
          <w:tcPr>
            <w:tcW w:w="618" w:type="pct"/>
            <w:tcBorders>
              <w:top w:val="nil"/>
              <w:left w:val="nil"/>
              <w:bottom w:val="nil"/>
              <w:right w:val="nil"/>
            </w:tcBorders>
            <w:shd w:val="clear" w:color="000000" w:fill="FFFFFF"/>
            <w:noWrap/>
            <w:vAlign w:val="bottom"/>
            <w:hideMark/>
          </w:tcPr>
          <w:p w:rsidR="00E80373" w:rsidRPr="001A209B" w:rsidRDefault="00E80373" w:rsidP="00E80373">
            <w:pPr>
              <w:rPr>
                <w:rFonts w:cs="Arial"/>
                <w:sz w:val="18"/>
                <w:szCs w:val="18"/>
              </w:rPr>
            </w:pPr>
            <w:r w:rsidRPr="001A209B">
              <w:rPr>
                <w:rFonts w:cs="Arial"/>
                <w:sz w:val="18"/>
                <w:szCs w:val="18"/>
              </w:rPr>
              <w:t> </w:t>
            </w:r>
          </w:p>
        </w:tc>
        <w:tc>
          <w:tcPr>
            <w:tcW w:w="848" w:type="pct"/>
            <w:tcBorders>
              <w:top w:val="nil"/>
              <w:left w:val="nil"/>
              <w:bottom w:val="nil"/>
              <w:right w:val="nil"/>
            </w:tcBorders>
            <w:shd w:val="clear" w:color="000000" w:fill="FFFFFF"/>
            <w:noWrap/>
            <w:vAlign w:val="bottom"/>
            <w:hideMark/>
          </w:tcPr>
          <w:p w:rsidR="00E80373" w:rsidRPr="001A209B" w:rsidRDefault="00E80373" w:rsidP="00E80373">
            <w:pPr>
              <w:rPr>
                <w:rFonts w:cs="Arial"/>
                <w:sz w:val="18"/>
                <w:szCs w:val="18"/>
              </w:rPr>
            </w:pPr>
            <w:r w:rsidRPr="001A209B">
              <w:rPr>
                <w:rFonts w:cs="Arial"/>
                <w:sz w:val="18"/>
                <w:szCs w:val="18"/>
              </w:rPr>
              <w:t> </w:t>
            </w:r>
          </w:p>
        </w:tc>
      </w:tr>
      <w:tr w:rsidR="00C40103" w:rsidRPr="001A209B" w:rsidTr="00C40103">
        <w:trPr>
          <w:trHeight w:val="240"/>
        </w:trPr>
        <w:tc>
          <w:tcPr>
            <w:tcW w:w="2918" w:type="pct"/>
            <w:tcBorders>
              <w:top w:val="nil"/>
              <w:left w:val="nil"/>
              <w:bottom w:val="nil"/>
              <w:right w:val="nil"/>
            </w:tcBorders>
            <w:shd w:val="clear" w:color="000000" w:fill="FFFFFF"/>
            <w:noWrap/>
            <w:vAlign w:val="bottom"/>
            <w:hideMark/>
          </w:tcPr>
          <w:p w:rsidR="00E80373" w:rsidRPr="001A209B" w:rsidRDefault="00E80373" w:rsidP="00E80373">
            <w:pPr>
              <w:rPr>
                <w:rFonts w:cs="Arial"/>
                <w:sz w:val="18"/>
                <w:szCs w:val="18"/>
              </w:rPr>
            </w:pPr>
            <w:r w:rsidRPr="001A209B">
              <w:rPr>
                <w:rFonts w:cs="Arial"/>
                <w:sz w:val="18"/>
                <w:szCs w:val="18"/>
              </w:rPr>
              <w:t>Interest rate swaps and options</w:t>
            </w:r>
          </w:p>
        </w:tc>
        <w:tc>
          <w:tcPr>
            <w:tcW w:w="617" w:type="pct"/>
            <w:tcBorders>
              <w:top w:val="nil"/>
              <w:left w:val="nil"/>
              <w:bottom w:val="nil"/>
              <w:right w:val="nil"/>
            </w:tcBorders>
            <w:shd w:val="clear" w:color="000000" w:fill="C0C0C0"/>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(705)</w:t>
            </w:r>
          </w:p>
        </w:tc>
        <w:tc>
          <w:tcPr>
            <w:tcW w:w="618"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(802)</w:t>
            </w:r>
          </w:p>
        </w:tc>
        <w:tc>
          <w:tcPr>
            <w:tcW w:w="848"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(628)</w:t>
            </w:r>
          </w:p>
        </w:tc>
      </w:tr>
      <w:tr w:rsidR="00C40103" w:rsidRPr="001A209B" w:rsidTr="00C40103">
        <w:trPr>
          <w:trHeight w:val="240"/>
        </w:trPr>
        <w:tc>
          <w:tcPr>
            <w:tcW w:w="2918" w:type="pct"/>
            <w:tcBorders>
              <w:top w:val="nil"/>
              <w:left w:val="nil"/>
              <w:bottom w:val="nil"/>
              <w:right w:val="nil"/>
            </w:tcBorders>
            <w:shd w:val="clear" w:color="000000" w:fill="FFFFFF"/>
            <w:noWrap/>
            <w:vAlign w:val="bottom"/>
            <w:hideMark/>
          </w:tcPr>
          <w:p w:rsidR="00E80373" w:rsidRPr="001A209B" w:rsidRDefault="00E80373" w:rsidP="00E80373">
            <w:pPr>
              <w:rPr>
                <w:rFonts w:cs="Arial"/>
                <w:sz w:val="18"/>
                <w:szCs w:val="18"/>
              </w:rPr>
            </w:pPr>
            <w:r w:rsidRPr="001A209B">
              <w:rPr>
                <w:rFonts w:cs="Arial"/>
                <w:sz w:val="18"/>
                <w:szCs w:val="18"/>
              </w:rPr>
              <w:t>Forward foreign currency contracts</w:t>
            </w:r>
          </w:p>
        </w:tc>
        <w:tc>
          <w:tcPr>
            <w:tcW w:w="617" w:type="pct"/>
            <w:tcBorders>
              <w:top w:val="nil"/>
              <w:left w:val="nil"/>
              <w:bottom w:val="nil"/>
              <w:right w:val="nil"/>
            </w:tcBorders>
            <w:shd w:val="clear" w:color="000000" w:fill="C0C0C0"/>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(6)</w:t>
            </w:r>
          </w:p>
        </w:tc>
        <w:tc>
          <w:tcPr>
            <w:tcW w:w="618"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(39)</w:t>
            </w:r>
          </w:p>
        </w:tc>
        <w:tc>
          <w:tcPr>
            <w:tcW w:w="848"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(50)</w:t>
            </w:r>
          </w:p>
        </w:tc>
      </w:tr>
      <w:tr w:rsidR="00C40103" w:rsidRPr="001A209B" w:rsidTr="00C40103">
        <w:trPr>
          <w:trHeight w:val="240"/>
        </w:trPr>
        <w:tc>
          <w:tcPr>
            <w:tcW w:w="2918" w:type="pct"/>
            <w:tcBorders>
              <w:top w:val="nil"/>
              <w:left w:val="nil"/>
              <w:bottom w:val="nil"/>
              <w:right w:val="nil"/>
            </w:tcBorders>
            <w:shd w:val="clear" w:color="000000" w:fill="FFFFFF"/>
            <w:noWrap/>
            <w:vAlign w:val="bottom"/>
            <w:hideMark/>
          </w:tcPr>
          <w:p w:rsidR="00E80373" w:rsidRPr="001A209B" w:rsidRDefault="00E80373" w:rsidP="00E80373">
            <w:pPr>
              <w:rPr>
                <w:rFonts w:cs="Arial"/>
                <w:sz w:val="18"/>
                <w:szCs w:val="18"/>
              </w:rPr>
            </w:pPr>
            <w:r w:rsidRPr="001A209B">
              <w:rPr>
                <w:rFonts w:cs="Arial"/>
                <w:sz w:val="18"/>
                <w:szCs w:val="18"/>
              </w:rPr>
              <w:t>Cross currency swaps</w:t>
            </w:r>
          </w:p>
        </w:tc>
        <w:tc>
          <w:tcPr>
            <w:tcW w:w="617" w:type="pct"/>
            <w:tcBorders>
              <w:top w:val="nil"/>
              <w:left w:val="nil"/>
              <w:bottom w:val="nil"/>
              <w:right w:val="nil"/>
            </w:tcBorders>
            <w:shd w:val="clear" w:color="000000" w:fill="C0C0C0"/>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(179)</w:t>
            </w:r>
          </w:p>
        </w:tc>
        <w:tc>
          <w:tcPr>
            <w:tcW w:w="618"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(226)</w:t>
            </w:r>
          </w:p>
        </w:tc>
        <w:tc>
          <w:tcPr>
            <w:tcW w:w="848"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(182)</w:t>
            </w:r>
          </w:p>
        </w:tc>
      </w:tr>
      <w:tr w:rsidR="00C40103" w:rsidRPr="001A209B" w:rsidTr="00C40103">
        <w:trPr>
          <w:trHeight w:val="240"/>
        </w:trPr>
        <w:tc>
          <w:tcPr>
            <w:tcW w:w="2918" w:type="pct"/>
            <w:tcBorders>
              <w:top w:val="nil"/>
              <w:left w:val="nil"/>
              <w:bottom w:val="single" w:sz="4" w:space="0" w:color="800000"/>
              <w:right w:val="nil"/>
            </w:tcBorders>
            <w:shd w:val="clear" w:color="000000" w:fill="FFFFFF"/>
            <w:noWrap/>
            <w:vAlign w:val="bottom"/>
            <w:hideMark/>
          </w:tcPr>
          <w:p w:rsidR="00E80373" w:rsidRPr="001A209B" w:rsidRDefault="00E80373" w:rsidP="00E80373">
            <w:pPr>
              <w:rPr>
                <w:rFonts w:cs="Arial"/>
                <w:sz w:val="18"/>
                <w:szCs w:val="18"/>
              </w:rPr>
            </w:pPr>
            <w:r w:rsidRPr="001A209B">
              <w:rPr>
                <w:rFonts w:cs="Arial"/>
                <w:sz w:val="18"/>
                <w:szCs w:val="18"/>
              </w:rPr>
              <w:t>Collateral</w:t>
            </w:r>
          </w:p>
        </w:tc>
        <w:tc>
          <w:tcPr>
            <w:tcW w:w="617" w:type="pct"/>
            <w:tcBorders>
              <w:top w:val="nil"/>
              <w:left w:val="nil"/>
              <w:bottom w:val="single" w:sz="4" w:space="0" w:color="800000"/>
              <w:right w:val="nil"/>
            </w:tcBorders>
            <w:shd w:val="clear" w:color="000000" w:fill="C0C0C0"/>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 xml:space="preserve">110 </w:t>
            </w:r>
          </w:p>
        </w:tc>
        <w:tc>
          <w:tcPr>
            <w:tcW w:w="618" w:type="pct"/>
            <w:tcBorders>
              <w:top w:val="nil"/>
              <w:left w:val="nil"/>
              <w:bottom w:val="single" w:sz="4" w:space="0" w:color="800000"/>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 xml:space="preserve">- </w:t>
            </w:r>
          </w:p>
        </w:tc>
        <w:tc>
          <w:tcPr>
            <w:tcW w:w="848" w:type="pct"/>
            <w:tcBorders>
              <w:top w:val="nil"/>
              <w:left w:val="nil"/>
              <w:bottom w:val="single" w:sz="4" w:space="0" w:color="800000"/>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 xml:space="preserve">110 </w:t>
            </w:r>
          </w:p>
        </w:tc>
      </w:tr>
      <w:tr w:rsidR="00C40103" w:rsidRPr="001A209B" w:rsidTr="00C40103">
        <w:trPr>
          <w:trHeight w:val="240"/>
        </w:trPr>
        <w:tc>
          <w:tcPr>
            <w:tcW w:w="2918" w:type="pct"/>
            <w:tcBorders>
              <w:top w:val="nil"/>
              <w:left w:val="nil"/>
              <w:bottom w:val="nil"/>
              <w:right w:val="nil"/>
            </w:tcBorders>
            <w:shd w:val="clear" w:color="000000" w:fill="FFFFFF"/>
            <w:noWrap/>
            <w:vAlign w:val="bottom"/>
            <w:hideMark/>
          </w:tcPr>
          <w:p w:rsidR="00E80373" w:rsidRPr="001A209B" w:rsidRDefault="00E80373" w:rsidP="00E80373">
            <w:pPr>
              <w:rPr>
                <w:rFonts w:cs="Arial"/>
                <w:sz w:val="18"/>
                <w:szCs w:val="18"/>
              </w:rPr>
            </w:pPr>
            <w:r w:rsidRPr="001A209B">
              <w:rPr>
                <w:rFonts w:cs="Arial"/>
                <w:sz w:val="18"/>
                <w:szCs w:val="18"/>
              </w:rPr>
              <w:t>Liabilities</w:t>
            </w:r>
          </w:p>
        </w:tc>
        <w:tc>
          <w:tcPr>
            <w:tcW w:w="617" w:type="pct"/>
            <w:tcBorders>
              <w:top w:val="nil"/>
              <w:left w:val="nil"/>
              <w:bottom w:val="nil"/>
              <w:right w:val="nil"/>
            </w:tcBorders>
            <w:shd w:val="clear" w:color="000000" w:fill="C0C0C0"/>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(780)</w:t>
            </w:r>
          </w:p>
        </w:tc>
        <w:tc>
          <w:tcPr>
            <w:tcW w:w="618"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(1,067)</w:t>
            </w:r>
          </w:p>
        </w:tc>
        <w:tc>
          <w:tcPr>
            <w:tcW w:w="848" w:type="pct"/>
            <w:tcBorders>
              <w:top w:val="nil"/>
              <w:left w:val="nil"/>
              <w:bottom w:val="nil"/>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(750)</w:t>
            </w:r>
          </w:p>
        </w:tc>
      </w:tr>
      <w:tr w:rsidR="00C40103" w:rsidRPr="001A209B" w:rsidTr="00C40103">
        <w:trPr>
          <w:trHeight w:val="255"/>
        </w:trPr>
        <w:tc>
          <w:tcPr>
            <w:tcW w:w="2918" w:type="pct"/>
            <w:tcBorders>
              <w:top w:val="single" w:sz="4" w:space="0" w:color="800000"/>
              <w:left w:val="nil"/>
              <w:bottom w:val="single" w:sz="8" w:space="0" w:color="800000"/>
              <w:right w:val="nil"/>
            </w:tcBorders>
            <w:shd w:val="clear" w:color="000000" w:fill="FFFFFF"/>
            <w:noWrap/>
            <w:vAlign w:val="bottom"/>
            <w:hideMark/>
          </w:tcPr>
          <w:p w:rsidR="00E80373" w:rsidRPr="001A209B" w:rsidRDefault="00E80373" w:rsidP="00E80373">
            <w:pPr>
              <w:rPr>
                <w:rFonts w:cs="Arial"/>
                <w:sz w:val="18"/>
                <w:szCs w:val="18"/>
              </w:rPr>
            </w:pPr>
            <w:r w:rsidRPr="001A209B">
              <w:rPr>
                <w:rFonts w:cs="Arial"/>
                <w:sz w:val="18"/>
                <w:szCs w:val="18"/>
              </w:rPr>
              <w:t> </w:t>
            </w:r>
          </w:p>
        </w:tc>
        <w:tc>
          <w:tcPr>
            <w:tcW w:w="617" w:type="pct"/>
            <w:tcBorders>
              <w:top w:val="single" w:sz="4" w:space="0" w:color="800000"/>
              <w:left w:val="nil"/>
              <w:bottom w:val="single" w:sz="8" w:space="0" w:color="800000"/>
              <w:right w:val="nil"/>
            </w:tcBorders>
            <w:shd w:val="clear" w:color="000000" w:fill="C0C0C0"/>
            <w:noWrap/>
            <w:vAlign w:val="bottom"/>
            <w:hideMark/>
          </w:tcPr>
          <w:p w:rsidR="00E80373" w:rsidRPr="001A209B" w:rsidRDefault="00E80373" w:rsidP="00E80373">
            <w:pPr>
              <w:jc w:val="right"/>
              <w:rPr>
                <w:rFonts w:cs="Arial"/>
                <w:b/>
                <w:bCs/>
                <w:color w:val="800000"/>
                <w:sz w:val="18"/>
                <w:szCs w:val="18"/>
              </w:rPr>
            </w:pPr>
            <w:r w:rsidRPr="001A209B">
              <w:rPr>
                <w:rFonts w:cs="Arial"/>
                <w:b/>
                <w:bCs/>
                <w:color w:val="800000"/>
                <w:sz w:val="18"/>
                <w:szCs w:val="18"/>
              </w:rPr>
              <w:t>(195)</w:t>
            </w:r>
          </w:p>
        </w:tc>
        <w:tc>
          <w:tcPr>
            <w:tcW w:w="618" w:type="pct"/>
            <w:tcBorders>
              <w:top w:val="single" w:sz="4" w:space="0" w:color="800000"/>
              <w:left w:val="nil"/>
              <w:bottom w:val="single" w:sz="8" w:space="0" w:color="800000"/>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(180)</w:t>
            </w:r>
          </w:p>
        </w:tc>
        <w:tc>
          <w:tcPr>
            <w:tcW w:w="848" w:type="pct"/>
            <w:tcBorders>
              <w:top w:val="single" w:sz="4" w:space="0" w:color="800000"/>
              <w:left w:val="nil"/>
              <w:bottom w:val="single" w:sz="8" w:space="0" w:color="800000"/>
              <w:right w:val="nil"/>
            </w:tcBorders>
            <w:shd w:val="clear" w:color="000000" w:fill="FFFFFF"/>
            <w:noWrap/>
            <w:vAlign w:val="bottom"/>
            <w:hideMark/>
          </w:tcPr>
          <w:p w:rsidR="00E80373" w:rsidRPr="001A209B" w:rsidRDefault="00E80373" w:rsidP="00E80373">
            <w:pPr>
              <w:jc w:val="right"/>
              <w:rPr>
                <w:rFonts w:cs="Arial"/>
                <w:sz w:val="18"/>
                <w:szCs w:val="18"/>
              </w:rPr>
            </w:pPr>
            <w:r w:rsidRPr="001A209B">
              <w:rPr>
                <w:rFonts w:cs="Arial"/>
                <w:sz w:val="18"/>
                <w:szCs w:val="18"/>
              </w:rPr>
              <w:t>(193)</w:t>
            </w:r>
          </w:p>
        </w:tc>
      </w:tr>
    </w:tbl>
    <w:p w:rsidR="00E80373" w:rsidRPr="001A209B" w:rsidRDefault="00E80373" w:rsidP="006D48E5">
      <w:pPr>
        <w:jc w:val="both"/>
        <w:rPr>
          <w:rFonts w:cs="Arial"/>
          <w:color w:val="A60D1F"/>
          <w:sz w:val="18"/>
          <w:szCs w:val="18"/>
        </w:rPr>
      </w:pPr>
    </w:p>
    <w:p w:rsidR="00E80373" w:rsidRPr="001A209B" w:rsidRDefault="00E80373" w:rsidP="00E80373">
      <w:pPr>
        <w:jc w:val="both"/>
        <w:rPr>
          <w:rFonts w:cs="Arial"/>
          <w:sz w:val="18"/>
          <w:szCs w:val="18"/>
        </w:rPr>
      </w:pPr>
      <w:r w:rsidRPr="001A209B">
        <w:rPr>
          <w:rFonts w:cs="Arial"/>
          <w:sz w:val="18"/>
          <w:szCs w:val="18"/>
        </w:rPr>
        <w:t>The valuation techniques used are based on observable market data (level 2) and are consistent with those applied during the year ended 30 September 2013.</w:t>
      </w:r>
    </w:p>
    <w:p w:rsidR="00E80373" w:rsidRDefault="00E80373" w:rsidP="00E80373">
      <w:pPr>
        <w:jc w:val="both"/>
        <w:rPr>
          <w:rFonts w:cs="Arial"/>
          <w:sz w:val="18"/>
          <w:szCs w:val="18"/>
        </w:rPr>
      </w:pPr>
    </w:p>
    <w:p w:rsidR="0047622F" w:rsidRPr="001A209B" w:rsidRDefault="0047622F" w:rsidP="00E80373">
      <w:pPr>
        <w:jc w:val="both"/>
        <w:rPr>
          <w:rFonts w:cs="Arial"/>
          <w:sz w:val="18"/>
          <w:szCs w:val="18"/>
        </w:rPr>
      </w:pPr>
    </w:p>
    <w:p w:rsidR="00E80373" w:rsidRPr="001A209B" w:rsidRDefault="00E80373" w:rsidP="00E80373">
      <w:pPr>
        <w:jc w:val="both"/>
        <w:rPr>
          <w:rFonts w:cs="Arial"/>
          <w:b/>
          <w:color w:val="A60D1F"/>
          <w:sz w:val="18"/>
          <w:szCs w:val="18"/>
        </w:rPr>
      </w:pPr>
      <w:r w:rsidRPr="001A209B">
        <w:rPr>
          <w:rFonts w:cs="Arial"/>
          <w:b/>
          <w:color w:val="A60D1F"/>
          <w:sz w:val="18"/>
          <w:szCs w:val="18"/>
        </w:rPr>
        <w:t>12  Retirement Benefit Schemes</w:t>
      </w:r>
    </w:p>
    <w:p w:rsidR="00E80373" w:rsidRPr="001A209B" w:rsidRDefault="00E80373" w:rsidP="00E80373">
      <w:pPr>
        <w:jc w:val="both"/>
        <w:rPr>
          <w:rFonts w:cs="Arial"/>
          <w:sz w:val="18"/>
          <w:szCs w:val="18"/>
        </w:rPr>
      </w:pPr>
      <w:r w:rsidRPr="001A209B">
        <w:rPr>
          <w:rFonts w:cs="Arial"/>
          <w:sz w:val="18"/>
          <w:szCs w:val="18"/>
        </w:rPr>
        <w:t>Actuarial valuations for the Group's retirement benefit plans are updated annually as at 30 September. An interim update is carried out at 31 March for the main plans. As part of this interim update, the most material plan assets are revalued based on market data at the period end and the liabilities for the most significant schemes are recalculated to reflect key changes in membership data and revised actuarial assumptions.</w:t>
      </w:r>
    </w:p>
    <w:p w:rsidR="00E80373" w:rsidRPr="001A209B" w:rsidRDefault="00E80373" w:rsidP="00E80373">
      <w:pPr>
        <w:jc w:val="both"/>
        <w:rPr>
          <w:rFonts w:cs="Arial"/>
          <w:sz w:val="18"/>
          <w:szCs w:val="18"/>
        </w:rPr>
      </w:pPr>
    </w:p>
    <w:p w:rsidR="00E80373" w:rsidRPr="001A209B" w:rsidRDefault="00FA670E" w:rsidP="00E80373">
      <w:pPr>
        <w:jc w:val="both"/>
        <w:rPr>
          <w:rFonts w:cs="Arial"/>
          <w:sz w:val="18"/>
          <w:szCs w:val="18"/>
        </w:rPr>
      </w:pPr>
      <w:r w:rsidRPr="001A209B">
        <w:rPr>
          <w:rFonts w:cs="Arial"/>
          <w:sz w:val="18"/>
          <w:szCs w:val="18"/>
        </w:rPr>
        <w:t>As part of the triennial valuation of the Imperial Tobacco Pension Fund (the main UK Group scheme) as at 31 March 2013, the level of employer’s contribution to this scheme has increased from £31 million per annum to an initial payment of £48 million on 31 March 2014, expected to be followed by payments of £53 million and £58 million in March 2015 and 2016 respectively, and then followed by payments of £65 million in March each year until 2028. These contributions have been proposed by the scheme actuary, and will be reviewed again when the next triennial valuation is undertaken as at 31 March 2016, at which time contributions may be increased or decreased.</w:t>
      </w:r>
    </w:p>
    <w:p w:rsidR="00FA670E" w:rsidRDefault="00FA670E" w:rsidP="00E80373">
      <w:pPr>
        <w:jc w:val="both"/>
        <w:rPr>
          <w:rFonts w:cs="Arial"/>
          <w:sz w:val="18"/>
          <w:szCs w:val="18"/>
        </w:rPr>
      </w:pPr>
    </w:p>
    <w:p w:rsidR="0047622F" w:rsidRPr="001A209B" w:rsidRDefault="0047622F" w:rsidP="00E80373">
      <w:pPr>
        <w:jc w:val="both"/>
        <w:rPr>
          <w:rFonts w:cs="Arial"/>
          <w:sz w:val="18"/>
          <w:szCs w:val="18"/>
        </w:rPr>
      </w:pPr>
    </w:p>
    <w:p w:rsidR="00E80373" w:rsidRPr="001A209B" w:rsidRDefault="00E80373" w:rsidP="00E80373">
      <w:pPr>
        <w:jc w:val="both"/>
        <w:rPr>
          <w:rFonts w:cs="Arial"/>
          <w:b/>
          <w:color w:val="A60D1F"/>
          <w:sz w:val="18"/>
          <w:szCs w:val="18"/>
        </w:rPr>
      </w:pPr>
      <w:r w:rsidRPr="001A209B">
        <w:rPr>
          <w:rFonts w:cs="Arial"/>
          <w:b/>
          <w:color w:val="A60D1F"/>
          <w:sz w:val="18"/>
          <w:szCs w:val="18"/>
        </w:rPr>
        <w:t>13  Share Capital and Treasury Shares</w:t>
      </w:r>
    </w:p>
    <w:p w:rsidR="00E80373" w:rsidRPr="004E52E8" w:rsidRDefault="00E80373" w:rsidP="00E80373">
      <w:pPr>
        <w:jc w:val="both"/>
        <w:rPr>
          <w:rFonts w:cs="Arial"/>
          <w:sz w:val="18"/>
          <w:szCs w:val="18"/>
        </w:rPr>
      </w:pPr>
      <w:r w:rsidRPr="001A209B">
        <w:rPr>
          <w:rFonts w:cs="Arial"/>
          <w:sz w:val="18"/>
          <w:szCs w:val="18"/>
        </w:rPr>
        <w:t>During the six months ended 31 March 2014 the Group purchased 10,141,000 shares (2013: 12,346,000 shares) at a cost of £237 million (2013: £295 million). Shares purchased under the Group's buyback programme are normally retained in issue and represent a deduction from equity attributable to owners of the parent. However, during the six months ended 31 March 2014, 31,943,000 shares were cancelled and 2,000,000 shares (2013: nil shares) were gifted to the Group's Employee Share Ownership Trusts.</w:t>
      </w:r>
      <w:r w:rsidRPr="004E52E8">
        <w:rPr>
          <w:rFonts w:cs="Arial"/>
          <w:sz w:val="18"/>
          <w:szCs w:val="18"/>
        </w:rPr>
        <w:tab/>
      </w:r>
    </w:p>
    <w:bookmarkEnd w:id="0"/>
    <w:p w:rsidR="00E80373" w:rsidRPr="004E52E8" w:rsidRDefault="00E80373" w:rsidP="00E80373">
      <w:pPr>
        <w:jc w:val="both"/>
        <w:rPr>
          <w:rFonts w:cs="Arial"/>
          <w:sz w:val="18"/>
          <w:szCs w:val="18"/>
        </w:rPr>
      </w:pPr>
    </w:p>
    <w:sectPr w:rsidR="00E80373" w:rsidRPr="004E52E8" w:rsidSect="00171906">
      <w:footerReference w:type="default" r:id="rId12"/>
      <w:headerReference w:type="first" r:id="rId13"/>
      <w:footerReference w:type="first" r:id="rId14"/>
      <w:pgSz w:w="11906" w:h="16838"/>
      <w:pgMar w:top="1440" w:right="1416" w:bottom="1276"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924" w:rsidRDefault="001C1924">
      <w:r>
        <w:separator/>
      </w:r>
    </w:p>
  </w:endnote>
  <w:endnote w:type="continuationSeparator" w:id="0">
    <w:p w:rsidR="001C1924" w:rsidRDefault="001C1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924" w:rsidRPr="006A4D37" w:rsidRDefault="001C1924" w:rsidP="006A4D37">
    <w:pPr>
      <w:pStyle w:val="Footer"/>
      <w:jc w:val="right"/>
      <w:rPr>
        <w:i/>
        <w:sz w:val="16"/>
        <w:szCs w:val="16"/>
      </w:rPr>
    </w:pPr>
    <w:r w:rsidRPr="006A4D37">
      <w:rPr>
        <w:i/>
        <w:sz w:val="16"/>
        <w:szCs w:val="16"/>
      </w:rPr>
      <w:t xml:space="preserve">Page </w:t>
    </w:r>
    <w:r w:rsidRPr="006A4D37">
      <w:rPr>
        <w:i/>
        <w:sz w:val="16"/>
        <w:szCs w:val="16"/>
      </w:rPr>
      <w:fldChar w:fldCharType="begin"/>
    </w:r>
    <w:r w:rsidRPr="006A4D37">
      <w:rPr>
        <w:i/>
        <w:sz w:val="16"/>
        <w:szCs w:val="16"/>
      </w:rPr>
      <w:instrText xml:space="preserve"> PAGE </w:instrText>
    </w:r>
    <w:r w:rsidRPr="006A4D37">
      <w:rPr>
        <w:i/>
        <w:sz w:val="16"/>
        <w:szCs w:val="16"/>
      </w:rPr>
      <w:fldChar w:fldCharType="separate"/>
    </w:r>
    <w:r w:rsidR="005958BF">
      <w:rPr>
        <w:i/>
        <w:noProof/>
        <w:sz w:val="16"/>
        <w:szCs w:val="16"/>
      </w:rPr>
      <w:t>24</w:t>
    </w:r>
    <w:r w:rsidRPr="006A4D37">
      <w:rPr>
        <w:i/>
        <w:sz w:val="16"/>
        <w:szCs w:val="16"/>
      </w:rPr>
      <w:fldChar w:fldCharType="end"/>
    </w:r>
    <w:r w:rsidRPr="006A4D37">
      <w:rPr>
        <w:i/>
        <w:sz w:val="16"/>
        <w:szCs w:val="16"/>
      </w:rPr>
      <w:t xml:space="preserve"> of </w:t>
    </w:r>
    <w:r w:rsidRPr="006A4D37">
      <w:rPr>
        <w:i/>
        <w:sz w:val="16"/>
        <w:szCs w:val="16"/>
      </w:rPr>
      <w:fldChar w:fldCharType="begin"/>
    </w:r>
    <w:r w:rsidRPr="006A4D37">
      <w:rPr>
        <w:i/>
        <w:sz w:val="16"/>
        <w:szCs w:val="16"/>
      </w:rPr>
      <w:instrText xml:space="preserve"> NUMPAGES </w:instrText>
    </w:r>
    <w:r w:rsidRPr="006A4D37">
      <w:rPr>
        <w:i/>
        <w:sz w:val="16"/>
        <w:szCs w:val="16"/>
      </w:rPr>
      <w:fldChar w:fldCharType="separate"/>
    </w:r>
    <w:r w:rsidR="005958BF">
      <w:rPr>
        <w:i/>
        <w:noProof/>
        <w:sz w:val="16"/>
        <w:szCs w:val="16"/>
      </w:rPr>
      <w:t>24</w:t>
    </w:r>
    <w:r w:rsidRPr="006A4D37">
      <w:rPr>
        <w:i/>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924" w:rsidRPr="006A4D37" w:rsidRDefault="001C1924" w:rsidP="00707DB4">
    <w:pPr>
      <w:pStyle w:val="Footer"/>
      <w:jc w:val="right"/>
      <w:rPr>
        <w:i/>
        <w:sz w:val="16"/>
        <w:szCs w:val="16"/>
      </w:rPr>
    </w:pPr>
    <w:r w:rsidRPr="006A4D37">
      <w:rPr>
        <w:i/>
        <w:sz w:val="16"/>
        <w:szCs w:val="16"/>
      </w:rPr>
      <w:t xml:space="preserve">Page </w:t>
    </w:r>
    <w:r w:rsidRPr="006A4D37">
      <w:rPr>
        <w:i/>
        <w:sz w:val="16"/>
        <w:szCs w:val="16"/>
      </w:rPr>
      <w:fldChar w:fldCharType="begin"/>
    </w:r>
    <w:r w:rsidRPr="006A4D37">
      <w:rPr>
        <w:i/>
        <w:sz w:val="16"/>
        <w:szCs w:val="16"/>
      </w:rPr>
      <w:instrText xml:space="preserve"> PAGE </w:instrText>
    </w:r>
    <w:r w:rsidRPr="006A4D37">
      <w:rPr>
        <w:i/>
        <w:sz w:val="16"/>
        <w:szCs w:val="16"/>
      </w:rPr>
      <w:fldChar w:fldCharType="separate"/>
    </w:r>
    <w:r w:rsidR="00457E84">
      <w:rPr>
        <w:i/>
        <w:noProof/>
        <w:sz w:val="16"/>
        <w:szCs w:val="16"/>
      </w:rPr>
      <w:t>1</w:t>
    </w:r>
    <w:r w:rsidRPr="006A4D37">
      <w:rPr>
        <w:i/>
        <w:sz w:val="16"/>
        <w:szCs w:val="16"/>
      </w:rPr>
      <w:fldChar w:fldCharType="end"/>
    </w:r>
    <w:r w:rsidRPr="006A4D37">
      <w:rPr>
        <w:i/>
        <w:sz w:val="16"/>
        <w:szCs w:val="16"/>
      </w:rPr>
      <w:t xml:space="preserve"> of </w:t>
    </w:r>
    <w:r w:rsidRPr="006A4D37">
      <w:rPr>
        <w:i/>
        <w:sz w:val="16"/>
        <w:szCs w:val="16"/>
      </w:rPr>
      <w:fldChar w:fldCharType="begin"/>
    </w:r>
    <w:r w:rsidRPr="006A4D37">
      <w:rPr>
        <w:i/>
        <w:sz w:val="16"/>
        <w:szCs w:val="16"/>
      </w:rPr>
      <w:instrText xml:space="preserve"> NUMPAGES </w:instrText>
    </w:r>
    <w:r w:rsidRPr="006A4D37">
      <w:rPr>
        <w:i/>
        <w:sz w:val="16"/>
        <w:szCs w:val="16"/>
      </w:rPr>
      <w:fldChar w:fldCharType="separate"/>
    </w:r>
    <w:r w:rsidR="00457E84">
      <w:rPr>
        <w:i/>
        <w:noProof/>
        <w:sz w:val="16"/>
        <w:szCs w:val="16"/>
      </w:rPr>
      <w:t>1</w:t>
    </w:r>
    <w:r w:rsidRPr="006A4D37">
      <w:rPr>
        <w:i/>
        <w:sz w:val="16"/>
        <w:szCs w:val="16"/>
      </w:rPr>
      <w:fldChar w:fldCharType="end"/>
    </w:r>
  </w:p>
  <w:p w:rsidR="001C1924" w:rsidRDefault="001C19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924" w:rsidRDefault="001C1924">
      <w:r>
        <w:separator/>
      </w:r>
    </w:p>
  </w:footnote>
  <w:footnote w:type="continuationSeparator" w:id="0">
    <w:p w:rsidR="001C1924" w:rsidRDefault="001C19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924" w:rsidRDefault="001C1924">
    <w:pPr>
      <w:pStyle w:val="Header"/>
    </w:pPr>
    <w:r>
      <w:rPr>
        <w:noProof/>
      </w:rPr>
      <w:drawing>
        <wp:inline distT="0" distB="0" distL="0" distR="0" wp14:anchorId="79ABDDF8" wp14:editId="516F6CED">
          <wp:extent cx="831215" cy="462915"/>
          <wp:effectExtent l="0" t="0" r="6985" b="0"/>
          <wp:docPr id="1" name="Picture 1" descr="logo_burgundy_rgb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urgundy_rgb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215" cy="462915"/>
                  </a:xfrm>
                  <a:prstGeom prst="rect">
                    <a:avLst/>
                  </a:prstGeom>
                  <a:noFill/>
                  <a:ln>
                    <a:noFill/>
                  </a:ln>
                </pic:spPr>
              </pic:pic>
            </a:graphicData>
          </a:graphic>
        </wp:inline>
      </w:drawing>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0BF6"/>
    <w:multiLevelType w:val="hybridMultilevel"/>
    <w:tmpl w:val="198C76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EA4E8A"/>
    <w:multiLevelType w:val="hybridMultilevel"/>
    <w:tmpl w:val="C8621628"/>
    <w:lvl w:ilvl="0" w:tplc="41D8548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637FD4"/>
    <w:multiLevelType w:val="hybridMultilevel"/>
    <w:tmpl w:val="97B6A27C"/>
    <w:lvl w:ilvl="0" w:tplc="A61871C2">
      <w:numFmt w:val="bullet"/>
      <w:lvlText w:val="-"/>
      <w:lvlJc w:val="left"/>
      <w:pPr>
        <w:tabs>
          <w:tab w:val="num" w:pos="360"/>
        </w:tabs>
        <w:ind w:left="360" w:hanging="360"/>
      </w:pPr>
      <w:rPr>
        <w:rFonts w:ascii="Arial" w:eastAsia="MS Mincho" w:hAnsi="Arial" w:cs="Aria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
    <w:nsid w:val="0564717A"/>
    <w:multiLevelType w:val="multilevel"/>
    <w:tmpl w:val="5D9C8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9F05B26"/>
    <w:multiLevelType w:val="hybridMultilevel"/>
    <w:tmpl w:val="36B2A036"/>
    <w:lvl w:ilvl="0" w:tplc="F2F06FDA">
      <w:start w:val="1"/>
      <w:numFmt w:val="bullet"/>
      <w:lvlText w:val=""/>
      <w:lvlJc w:val="left"/>
      <w:pPr>
        <w:tabs>
          <w:tab w:val="num" w:pos="360"/>
        </w:tabs>
        <w:ind w:left="360" w:hanging="360"/>
      </w:pPr>
      <w:rPr>
        <w:rFonts w:ascii="Symbol" w:hAnsi="Symbol" w:hint="default"/>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nsid w:val="1094243C"/>
    <w:multiLevelType w:val="hybridMultilevel"/>
    <w:tmpl w:val="AE76544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nsid w:val="116B7582"/>
    <w:multiLevelType w:val="hybridMultilevel"/>
    <w:tmpl w:val="96329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85401F"/>
    <w:multiLevelType w:val="hybridMultilevel"/>
    <w:tmpl w:val="ABAA3BD8"/>
    <w:lvl w:ilvl="0" w:tplc="75909C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7E40648"/>
    <w:multiLevelType w:val="hybridMultilevel"/>
    <w:tmpl w:val="369C5CAC"/>
    <w:lvl w:ilvl="0" w:tplc="A61871C2">
      <w:numFmt w:val="bullet"/>
      <w:lvlText w:val="-"/>
      <w:lvlJc w:val="left"/>
      <w:pPr>
        <w:tabs>
          <w:tab w:val="num" w:pos="360"/>
        </w:tabs>
        <w:ind w:left="360" w:hanging="360"/>
      </w:pPr>
      <w:rPr>
        <w:rFonts w:ascii="Arial" w:eastAsia="MS Mincho" w:hAnsi="Arial" w:cs="Aria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9">
    <w:nsid w:val="2D2B7EDB"/>
    <w:multiLevelType w:val="hybridMultilevel"/>
    <w:tmpl w:val="9F365B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31682D4F"/>
    <w:multiLevelType w:val="hybridMultilevel"/>
    <w:tmpl w:val="C5E223F6"/>
    <w:lvl w:ilvl="0" w:tplc="41D8548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2FF0E01"/>
    <w:multiLevelType w:val="hybridMultilevel"/>
    <w:tmpl w:val="C8D65FE6"/>
    <w:lvl w:ilvl="0" w:tplc="41D8548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C0E18CD"/>
    <w:multiLevelType w:val="hybridMultilevel"/>
    <w:tmpl w:val="C2C47AD6"/>
    <w:lvl w:ilvl="0" w:tplc="6A665664">
      <w:numFmt w:val="bullet"/>
      <w:lvlText w:val=""/>
      <w:lvlJc w:val="left"/>
      <w:pPr>
        <w:tabs>
          <w:tab w:val="num" w:pos="720"/>
        </w:tabs>
        <w:ind w:left="720" w:hanging="360"/>
      </w:pPr>
      <w:rPr>
        <w:rFonts w:ascii="Wingdings" w:eastAsia="Times New Roman" w:hAnsi="Wingdings" w:cs="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3C2E01DC"/>
    <w:multiLevelType w:val="multilevel"/>
    <w:tmpl w:val="F1FA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F1744D"/>
    <w:multiLevelType w:val="hybridMultilevel"/>
    <w:tmpl w:val="1B7E0762"/>
    <w:lvl w:ilvl="0" w:tplc="8F46099E">
      <w:start w:val="1"/>
      <w:numFmt w:val="bullet"/>
      <w:lvlText w:val=""/>
      <w:lvlJc w:val="left"/>
      <w:pPr>
        <w:tabs>
          <w:tab w:val="num" w:pos="360"/>
        </w:tabs>
        <w:ind w:left="360" w:hanging="360"/>
      </w:pPr>
      <w:rPr>
        <w:rFonts w:ascii="Symbol" w:hAnsi="Symbol" w:hint="default"/>
        <w:sz w:val="24"/>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nsid w:val="47181422"/>
    <w:multiLevelType w:val="hybridMultilevel"/>
    <w:tmpl w:val="EC02A0F8"/>
    <w:lvl w:ilvl="0" w:tplc="F2F06FDA">
      <w:start w:val="1"/>
      <w:numFmt w:val="bullet"/>
      <w:lvlText w:val=""/>
      <w:lvlJc w:val="left"/>
      <w:pPr>
        <w:tabs>
          <w:tab w:val="num" w:pos="360"/>
        </w:tabs>
        <w:ind w:left="360" w:hanging="360"/>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475961AA"/>
    <w:multiLevelType w:val="hybridMultilevel"/>
    <w:tmpl w:val="F2DA5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8995C60"/>
    <w:multiLevelType w:val="multilevel"/>
    <w:tmpl w:val="1B7E0762"/>
    <w:lvl w:ilvl="0">
      <w:start w:val="1"/>
      <w:numFmt w:val="bullet"/>
      <w:lvlText w:val=""/>
      <w:lvlJc w:val="left"/>
      <w:pPr>
        <w:tabs>
          <w:tab w:val="num" w:pos="360"/>
        </w:tabs>
        <w:ind w:left="360" w:hanging="360"/>
      </w:pPr>
      <w:rPr>
        <w:rFonts w:ascii="Symbol" w:hAnsi="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nsid w:val="4BF5309C"/>
    <w:multiLevelType w:val="hybridMultilevel"/>
    <w:tmpl w:val="C06686B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4C325480"/>
    <w:multiLevelType w:val="hybridMultilevel"/>
    <w:tmpl w:val="F8649880"/>
    <w:lvl w:ilvl="0" w:tplc="41D8548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3301CAE"/>
    <w:multiLevelType w:val="hybridMultilevel"/>
    <w:tmpl w:val="048823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nsid w:val="5369246C"/>
    <w:multiLevelType w:val="hybridMultilevel"/>
    <w:tmpl w:val="9864D8F0"/>
    <w:lvl w:ilvl="0" w:tplc="5038D1A0">
      <w:start w:val="1"/>
      <w:numFmt w:val="decimal"/>
      <w:lvlText w:val="%1."/>
      <w:lvlJc w:val="left"/>
      <w:pPr>
        <w:ind w:left="720" w:hanging="360"/>
      </w:pPr>
      <w:rPr>
        <w:rFonts w:hint="default"/>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41F618D"/>
    <w:multiLevelType w:val="hybridMultilevel"/>
    <w:tmpl w:val="3BDE078E"/>
    <w:lvl w:ilvl="0" w:tplc="6A665664">
      <w:numFmt w:val="bullet"/>
      <w:lvlText w:val=""/>
      <w:lvlJc w:val="left"/>
      <w:pPr>
        <w:tabs>
          <w:tab w:val="num" w:pos="720"/>
        </w:tabs>
        <w:ind w:left="720" w:hanging="360"/>
      </w:pPr>
      <w:rPr>
        <w:rFonts w:ascii="Wingdings" w:eastAsia="Times New Roman" w:hAnsi="Wingdings" w:cs="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54BA1B6F"/>
    <w:multiLevelType w:val="hybridMultilevel"/>
    <w:tmpl w:val="F110A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30343A"/>
    <w:multiLevelType w:val="hybridMultilevel"/>
    <w:tmpl w:val="A008EC30"/>
    <w:lvl w:ilvl="0" w:tplc="8F46099E">
      <w:start w:val="1"/>
      <w:numFmt w:val="bullet"/>
      <w:lvlText w:val=""/>
      <w:lvlJc w:val="left"/>
      <w:pPr>
        <w:tabs>
          <w:tab w:val="num" w:pos="720"/>
        </w:tabs>
        <w:ind w:left="720" w:hanging="360"/>
      </w:pPr>
      <w:rPr>
        <w:rFonts w:ascii="Symbol" w:hAnsi="Symbol" w:hint="default"/>
        <w:sz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A0545AA"/>
    <w:multiLevelType w:val="hybridMultilevel"/>
    <w:tmpl w:val="A3A8D6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AA11512"/>
    <w:multiLevelType w:val="hybridMultilevel"/>
    <w:tmpl w:val="1D9C39EC"/>
    <w:lvl w:ilvl="0" w:tplc="3EE0A79C">
      <w:start w:val="1"/>
      <w:numFmt w:val="bullet"/>
      <w:lvlText w:val=""/>
      <w:lvlJc w:val="left"/>
      <w:pPr>
        <w:tabs>
          <w:tab w:val="num" w:pos="720"/>
        </w:tabs>
        <w:ind w:left="720" w:hanging="360"/>
      </w:pPr>
      <w:rPr>
        <w:rFonts w:ascii="Symbol" w:hAnsi="Symbol" w:hint="default"/>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60514A1A"/>
    <w:multiLevelType w:val="hybridMultilevel"/>
    <w:tmpl w:val="1F9AB5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626F0613"/>
    <w:multiLevelType w:val="hybridMultilevel"/>
    <w:tmpl w:val="6B529F8A"/>
    <w:lvl w:ilvl="0" w:tplc="D5EC7A96">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nsid w:val="67172DFF"/>
    <w:multiLevelType w:val="hybridMultilevel"/>
    <w:tmpl w:val="B7ACCBB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0">
    <w:nsid w:val="6A435CD7"/>
    <w:multiLevelType w:val="hybridMultilevel"/>
    <w:tmpl w:val="C73A6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B3E7BBA"/>
    <w:multiLevelType w:val="hybridMultilevel"/>
    <w:tmpl w:val="BC2EE494"/>
    <w:lvl w:ilvl="0" w:tplc="6A665664">
      <w:numFmt w:val="bullet"/>
      <w:lvlText w:val=""/>
      <w:lvlJc w:val="left"/>
      <w:pPr>
        <w:tabs>
          <w:tab w:val="num" w:pos="720"/>
        </w:tabs>
        <w:ind w:left="720" w:hanging="360"/>
      </w:pPr>
      <w:rPr>
        <w:rFonts w:ascii="Wingdings" w:eastAsia="Times New Roman" w:hAnsi="Wingdings" w:cs="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6BC4179B"/>
    <w:multiLevelType w:val="hybridMultilevel"/>
    <w:tmpl w:val="AB660568"/>
    <w:lvl w:ilvl="0" w:tplc="6A665664">
      <w:numFmt w:val="bullet"/>
      <w:lvlText w:val=""/>
      <w:lvlJc w:val="left"/>
      <w:pPr>
        <w:tabs>
          <w:tab w:val="num" w:pos="360"/>
        </w:tabs>
        <w:ind w:left="360" w:hanging="360"/>
      </w:pPr>
      <w:rPr>
        <w:rFonts w:ascii="Wingdings" w:eastAsia="Times New Roman" w:hAnsi="Wingdings" w:cs="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3">
    <w:nsid w:val="6BD05203"/>
    <w:multiLevelType w:val="hybridMultilevel"/>
    <w:tmpl w:val="A3408134"/>
    <w:lvl w:ilvl="0" w:tplc="F2F06FDA">
      <w:start w:val="1"/>
      <w:numFmt w:val="bullet"/>
      <w:lvlText w:val=""/>
      <w:lvlJc w:val="left"/>
      <w:pPr>
        <w:tabs>
          <w:tab w:val="num" w:pos="360"/>
        </w:tabs>
        <w:ind w:left="360" w:hanging="360"/>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6CCE62AD"/>
    <w:multiLevelType w:val="hybridMultilevel"/>
    <w:tmpl w:val="B20E45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73B370D4"/>
    <w:multiLevelType w:val="hybridMultilevel"/>
    <w:tmpl w:val="ABAA3A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27"/>
  </w:num>
  <w:num w:numId="4">
    <w:abstractNumId w:val="29"/>
  </w:num>
  <w:num w:numId="5">
    <w:abstractNumId w:val="5"/>
  </w:num>
  <w:num w:numId="6">
    <w:abstractNumId w:val="34"/>
  </w:num>
  <w:num w:numId="7">
    <w:abstractNumId w:val="24"/>
  </w:num>
  <w:num w:numId="8">
    <w:abstractNumId w:val="14"/>
  </w:num>
  <w:num w:numId="9">
    <w:abstractNumId w:val="17"/>
  </w:num>
  <w:num w:numId="10">
    <w:abstractNumId w:val="4"/>
  </w:num>
  <w:num w:numId="11">
    <w:abstractNumId w:val="33"/>
  </w:num>
  <w:num w:numId="12">
    <w:abstractNumId w:val="15"/>
  </w:num>
  <w:num w:numId="13">
    <w:abstractNumId w:val="26"/>
  </w:num>
  <w:num w:numId="14">
    <w:abstractNumId w:val="12"/>
  </w:num>
  <w:num w:numId="15">
    <w:abstractNumId w:val="32"/>
  </w:num>
  <w:num w:numId="16">
    <w:abstractNumId w:val="31"/>
  </w:num>
  <w:num w:numId="17">
    <w:abstractNumId w:val="22"/>
  </w:num>
  <w:num w:numId="18">
    <w:abstractNumId w:val="20"/>
  </w:num>
  <w:num w:numId="19">
    <w:abstractNumId w:val="2"/>
  </w:num>
  <w:num w:numId="20">
    <w:abstractNumId w:val="8"/>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30"/>
  </w:num>
  <w:num w:numId="24">
    <w:abstractNumId w:val="3"/>
  </w:num>
  <w:num w:numId="25">
    <w:abstractNumId w:val="21"/>
  </w:num>
  <w:num w:numId="26">
    <w:abstractNumId w:val="35"/>
  </w:num>
  <w:num w:numId="27">
    <w:abstractNumId w:val="23"/>
  </w:num>
  <w:num w:numId="28">
    <w:abstractNumId w:val="6"/>
  </w:num>
  <w:num w:numId="29">
    <w:abstractNumId w:val="16"/>
  </w:num>
  <w:num w:numId="30">
    <w:abstractNumId w:val="0"/>
  </w:num>
  <w:num w:numId="31">
    <w:abstractNumId w:val="25"/>
  </w:num>
  <w:num w:numId="32">
    <w:abstractNumId w:val="1"/>
  </w:num>
  <w:num w:numId="33">
    <w:abstractNumId w:val="10"/>
  </w:num>
  <w:num w:numId="34">
    <w:abstractNumId w:val="19"/>
  </w:num>
  <w:num w:numId="35">
    <w:abstractNumId w:val="11"/>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136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1F6"/>
    <w:rsid w:val="000002E9"/>
    <w:rsid w:val="000004CE"/>
    <w:rsid w:val="000029D5"/>
    <w:rsid w:val="00003028"/>
    <w:rsid w:val="00003328"/>
    <w:rsid w:val="00003479"/>
    <w:rsid w:val="00003566"/>
    <w:rsid w:val="00004E50"/>
    <w:rsid w:val="000051E6"/>
    <w:rsid w:val="000057B2"/>
    <w:rsid w:val="0000600C"/>
    <w:rsid w:val="00006ABD"/>
    <w:rsid w:val="00006EA7"/>
    <w:rsid w:val="0001030D"/>
    <w:rsid w:val="00011250"/>
    <w:rsid w:val="00012466"/>
    <w:rsid w:val="00013716"/>
    <w:rsid w:val="00013C2D"/>
    <w:rsid w:val="000150FC"/>
    <w:rsid w:val="00016D3D"/>
    <w:rsid w:val="000211EB"/>
    <w:rsid w:val="000219CB"/>
    <w:rsid w:val="00021D85"/>
    <w:rsid w:val="00024E93"/>
    <w:rsid w:val="00027C76"/>
    <w:rsid w:val="00032A13"/>
    <w:rsid w:val="000342CC"/>
    <w:rsid w:val="0003434F"/>
    <w:rsid w:val="000357D1"/>
    <w:rsid w:val="00041ADA"/>
    <w:rsid w:val="00041BFB"/>
    <w:rsid w:val="000446BE"/>
    <w:rsid w:val="000533E1"/>
    <w:rsid w:val="00054320"/>
    <w:rsid w:val="000552D2"/>
    <w:rsid w:val="00061FD2"/>
    <w:rsid w:val="0006277A"/>
    <w:rsid w:val="0006314D"/>
    <w:rsid w:val="000631A8"/>
    <w:rsid w:val="00063252"/>
    <w:rsid w:val="00063623"/>
    <w:rsid w:val="00064D34"/>
    <w:rsid w:val="00065ACC"/>
    <w:rsid w:val="0006624A"/>
    <w:rsid w:val="00066439"/>
    <w:rsid w:val="0006714B"/>
    <w:rsid w:val="0007073B"/>
    <w:rsid w:val="000716F0"/>
    <w:rsid w:val="00072C3E"/>
    <w:rsid w:val="00073181"/>
    <w:rsid w:val="00073A0C"/>
    <w:rsid w:val="00075FF3"/>
    <w:rsid w:val="00076A72"/>
    <w:rsid w:val="00081657"/>
    <w:rsid w:val="000826E5"/>
    <w:rsid w:val="000828EC"/>
    <w:rsid w:val="00082ED2"/>
    <w:rsid w:val="00082EEA"/>
    <w:rsid w:val="000830B0"/>
    <w:rsid w:val="00083215"/>
    <w:rsid w:val="00085A23"/>
    <w:rsid w:val="00087D14"/>
    <w:rsid w:val="00096330"/>
    <w:rsid w:val="00096C87"/>
    <w:rsid w:val="00097AFF"/>
    <w:rsid w:val="000A0DBF"/>
    <w:rsid w:val="000A1F02"/>
    <w:rsid w:val="000A35E3"/>
    <w:rsid w:val="000A3A4D"/>
    <w:rsid w:val="000A3FCC"/>
    <w:rsid w:val="000A5ECD"/>
    <w:rsid w:val="000A6050"/>
    <w:rsid w:val="000A6DC1"/>
    <w:rsid w:val="000A73C6"/>
    <w:rsid w:val="000A7E22"/>
    <w:rsid w:val="000B0B26"/>
    <w:rsid w:val="000B38B5"/>
    <w:rsid w:val="000B4748"/>
    <w:rsid w:val="000B503E"/>
    <w:rsid w:val="000B508A"/>
    <w:rsid w:val="000B5805"/>
    <w:rsid w:val="000B58E2"/>
    <w:rsid w:val="000B5EDA"/>
    <w:rsid w:val="000B7147"/>
    <w:rsid w:val="000B7889"/>
    <w:rsid w:val="000B7A5A"/>
    <w:rsid w:val="000B7D2B"/>
    <w:rsid w:val="000C04D5"/>
    <w:rsid w:val="000C04F3"/>
    <w:rsid w:val="000C077A"/>
    <w:rsid w:val="000C1B76"/>
    <w:rsid w:val="000C1F7C"/>
    <w:rsid w:val="000C273C"/>
    <w:rsid w:val="000C30E9"/>
    <w:rsid w:val="000C3766"/>
    <w:rsid w:val="000C3FB5"/>
    <w:rsid w:val="000C40C9"/>
    <w:rsid w:val="000C5775"/>
    <w:rsid w:val="000C6C58"/>
    <w:rsid w:val="000D01D8"/>
    <w:rsid w:val="000D2694"/>
    <w:rsid w:val="000D3719"/>
    <w:rsid w:val="000D474B"/>
    <w:rsid w:val="000D59EC"/>
    <w:rsid w:val="000D6917"/>
    <w:rsid w:val="000D72FD"/>
    <w:rsid w:val="000D7D08"/>
    <w:rsid w:val="000E09CE"/>
    <w:rsid w:val="000E118B"/>
    <w:rsid w:val="000E1B16"/>
    <w:rsid w:val="000E1C71"/>
    <w:rsid w:val="000E38FF"/>
    <w:rsid w:val="000E448D"/>
    <w:rsid w:val="000E4558"/>
    <w:rsid w:val="000E4A9B"/>
    <w:rsid w:val="000E4D56"/>
    <w:rsid w:val="000E5193"/>
    <w:rsid w:val="000E5272"/>
    <w:rsid w:val="000E596B"/>
    <w:rsid w:val="000E59EA"/>
    <w:rsid w:val="000F2917"/>
    <w:rsid w:val="000F586D"/>
    <w:rsid w:val="000F61A7"/>
    <w:rsid w:val="000F6C30"/>
    <w:rsid w:val="000F7E74"/>
    <w:rsid w:val="00101FBC"/>
    <w:rsid w:val="0010267A"/>
    <w:rsid w:val="0010537D"/>
    <w:rsid w:val="0010543F"/>
    <w:rsid w:val="00105B3E"/>
    <w:rsid w:val="00110DE6"/>
    <w:rsid w:val="00111A1A"/>
    <w:rsid w:val="001138C2"/>
    <w:rsid w:val="0011482C"/>
    <w:rsid w:val="00114C21"/>
    <w:rsid w:val="00115C0F"/>
    <w:rsid w:val="00115FE0"/>
    <w:rsid w:val="001177CB"/>
    <w:rsid w:val="00120AB7"/>
    <w:rsid w:val="00120F51"/>
    <w:rsid w:val="00121DFF"/>
    <w:rsid w:val="00123A6A"/>
    <w:rsid w:val="00125362"/>
    <w:rsid w:val="001268E1"/>
    <w:rsid w:val="00130132"/>
    <w:rsid w:val="00130FE0"/>
    <w:rsid w:val="00132BA1"/>
    <w:rsid w:val="001339E2"/>
    <w:rsid w:val="0013509A"/>
    <w:rsid w:val="001367A5"/>
    <w:rsid w:val="00141C3D"/>
    <w:rsid w:val="00142093"/>
    <w:rsid w:val="0014249C"/>
    <w:rsid w:val="00143746"/>
    <w:rsid w:val="00145D8F"/>
    <w:rsid w:val="001461E8"/>
    <w:rsid w:val="001502FF"/>
    <w:rsid w:val="00151070"/>
    <w:rsid w:val="00151355"/>
    <w:rsid w:val="00152711"/>
    <w:rsid w:val="00153A03"/>
    <w:rsid w:val="00154063"/>
    <w:rsid w:val="00154167"/>
    <w:rsid w:val="00154DAA"/>
    <w:rsid w:val="001602C2"/>
    <w:rsid w:val="00160830"/>
    <w:rsid w:val="00161E2F"/>
    <w:rsid w:val="001629BE"/>
    <w:rsid w:val="001641F6"/>
    <w:rsid w:val="001679B6"/>
    <w:rsid w:val="00170333"/>
    <w:rsid w:val="00170AF0"/>
    <w:rsid w:val="001718E7"/>
    <w:rsid w:val="00171906"/>
    <w:rsid w:val="00173D9A"/>
    <w:rsid w:val="00176FA9"/>
    <w:rsid w:val="001774FA"/>
    <w:rsid w:val="00177A15"/>
    <w:rsid w:val="00182150"/>
    <w:rsid w:val="001829B6"/>
    <w:rsid w:val="001836BC"/>
    <w:rsid w:val="00185609"/>
    <w:rsid w:val="00187B26"/>
    <w:rsid w:val="00187D3D"/>
    <w:rsid w:val="001900C1"/>
    <w:rsid w:val="00190AD3"/>
    <w:rsid w:val="00191490"/>
    <w:rsid w:val="0019348B"/>
    <w:rsid w:val="001939F1"/>
    <w:rsid w:val="00193D06"/>
    <w:rsid w:val="0019513C"/>
    <w:rsid w:val="001955A3"/>
    <w:rsid w:val="00196AB5"/>
    <w:rsid w:val="001972D7"/>
    <w:rsid w:val="001A0776"/>
    <w:rsid w:val="001A16DE"/>
    <w:rsid w:val="001A209B"/>
    <w:rsid w:val="001A536A"/>
    <w:rsid w:val="001A5D88"/>
    <w:rsid w:val="001A6353"/>
    <w:rsid w:val="001B019F"/>
    <w:rsid w:val="001B08F8"/>
    <w:rsid w:val="001B11CB"/>
    <w:rsid w:val="001B1BFD"/>
    <w:rsid w:val="001B2C0E"/>
    <w:rsid w:val="001B375F"/>
    <w:rsid w:val="001B3DC5"/>
    <w:rsid w:val="001B42AE"/>
    <w:rsid w:val="001B62DB"/>
    <w:rsid w:val="001C007F"/>
    <w:rsid w:val="001C0906"/>
    <w:rsid w:val="001C14A2"/>
    <w:rsid w:val="001C1924"/>
    <w:rsid w:val="001C1C13"/>
    <w:rsid w:val="001C206D"/>
    <w:rsid w:val="001C3BEE"/>
    <w:rsid w:val="001C6DDC"/>
    <w:rsid w:val="001C7461"/>
    <w:rsid w:val="001C7965"/>
    <w:rsid w:val="001C7A20"/>
    <w:rsid w:val="001D027F"/>
    <w:rsid w:val="001D1DFE"/>
    <w:rsid w:val="001D3C90"/>
    <w:rsid w:val="001D4BB3"/>
    <w:rsid w:val="001D624F"/>
    <w:rsid w:val="001D7D1D"/>
    <w:rsid w:val="001D7FDC"/>
    <w:rsid w:val="001E00BA"/>
    <w:rsid w:val="001E1CC3"/>
    <w:rsid w:val="001E24EB"/>
    <w:rsid w:val="001E29C9"/>
    <w:rsid w:val="001E322F"/>
    <w:rsid w:val="001E5258"/>
    <w:rsid w:val="001E604E"/>
    <w:rsid w:val="001E7CB3"/>
    <w:rsid w:val="001F0345"/>
    <w:rsid w:val="001F13D9"/>
    <w:rsid w:val="001F20F2"/>
    <w:rsid w:val="001F2105"/>
    <w:rsid w:val="001F2A19"/>
    <w:rsid w:val="001F3F56"/>
    <w:rsid w:val="001F4226"/>
    <w:rsid w:val="001F52F3"/>
    <w:rsid w:val="001F6072"/>
    <w:rsid w:val="001F77A8"/>
    <w:rsid w:val="002016F3"/>
    <w:rsid w:val="002018E9"/>
    <w:rsid w:val="00201A40"/>
    <w:rsid w:val="00201CD0"/>
    <w:rsid w:val="0020276F"/>
    <w:rsid w:val="00203E22"/>
    <w:rsid w:val="0020701B"/>
    <w:rsid w:val="002070A1"/>
    <w:rsid w:val="0020724A"/>
    <w:rsid w:val="0020748A"/>
    <w:rsid w:val="002104D0"/>
    <w:rsid w:val="002112EC"/>
    <w:rsid w:val="00214299"/>
    <w:rsid w:val="00214877"/>
    <w:rsid w:val="00214ADA"/>
    <w:rsid w:val="002153B5"/>
    <w:rsid w:val="00215CEF"/>
    <w:rsid w:val="00215FF5"/>
    <w:rsid w:val="00216CEA"/>
    <w:rsid w:val="0021789D"/>
    <w:rsid w:val="002211AB"/>
    <w:rsid w:val="0022217E"/>
    <w:rsid w:val="002224E9"/>
    <w:rsid w:val="002279C0"/>
    <w:rsid w:val="002300AF"/>
    <w:rsid w:val="0023074F"/>
    <w:rsid w:val="00230A3C"/>
    <w:rsid w:val="002338A0"/>
    <w:rsid w:val="00235428"/>
    <w:rsid w:val="00240C01"/>
    <w:rsid w:val="0024120D"/>
    <w:rsid w:val="00241AC4"/>
    <w:rsid w:val="002447C7"/>
    <w:rsid w:val="00250BC9"/>
    <w:rsid w:val="002546A8"/>
    <w:rsid w:val="00255553"/>
    <w:rsid w:val="00255C2E"/>
    <w:rsid w:val="00256C8B"/>
    <w:rsid w:val="00257B8B"/>
    <w:rsid w:val="00257BAA"/>
    <w:rsid w:val="00261168"/>
    <w:rsid w:val="002614C2"/>
    <w:rsid w:val="0026177A"/>
    <w:rsid w:val="002636EE"/>
    <w:rsid w:val="00266808"/>
    <w:rsid w:val="00267137"/>
    <w:rsid w:val="002702C1"/>
    <w:rsid w:val="00271B30"/>
    <w:rsid w:val="002740FF"/>
    <w:rsid w:val="0027475D"/>
    <w:rsid w:val="002753F0"/>
    <w:rsid w:val="002773A2"/>
    <w:rsid w:val="002808B3"/>
    <w:rsid w:val="00280B50"/>
    <w:rsid w:val="00281F74"/>
    <w:rsid w:val="002836E2"/>
    <w:rsid w:val="00283D0A"/>
    <w:rsid w:val="00286228"/>
    <w:rsid w:val="00286B87"/>
    <w:rsid w:val="00287236"/>
    <w:rsid w:val="00292329"/>
    <w:rsid w:val="00292960"/>
    <w:rsid w:val="0029381B"/>
    <w:rsid w:val="00295619"/>
    <w:rsid w:val="00295B9A"/>
    <w:rsid w:val="0029642B"/>
    <w:rsid w:val="002964DE"/>
    <w:rsid w:val="002A1020"/>
    <w:rsid w:val="002A31FA"/>
    <w:rsid w:val="002A356F"/>
    <w:rsid w:val="002A4801"/>
    <w:rsid w:val="002A532D"/>
    <w:rsid w:val="002A543B"/>
    <w:rsid w:val="002A5463"/>
    <w:rsid w:val="002A5498"/>
    <w:rsid w:val="002A65F1"/>
    <w:rsid w:val="002B10DF"/>
    <w:rsid w:val="002B219F"/>
    <w:rsid w:val="002B2935"/>
    <w:rsid w:val="002B50BC"/>
    <w:rsid w:val="002B524D"/>
    <w:rsid w:val="002B66C4"/>
    <w:rsid w:val="002B6A54"/>
    <w:rsid w:val="002B7542"/>
    <w:rsid w:val="002C025A"/>
    <w:rsid w:val="002C04EA"/>
    <w:rsid w:val="002C1703"/>
    <w:rsid w:val="002C2FDC"/>
    <w:rsid w:val="002C57D2"/>
    <w:rsid w:val="002C5A18"/>
    <w:rsid w:val="002C5CBF"/>
    <w:rsid w:val="002C5D0F"/>
    <w:rsid w:val="002C63E8"/>
    <w:rsid w:val="002C6CFF"/>
    <w:rsid w:val="002C74AE"/>
    <w:rsid w:val="002C74D6"/>
    <w:rsid w:val="002C75E6"/>
    <w:rsid w:val="002C763F"/>
    <w:rsid w:val="002D0087"/>
    <w:rsid w:val="002D0222"/>
    <w:rsid w:val="002D27AE"/>
    <w:rsid w:val="002D3024"/>
    <w:rsid w:val="002D3408"/>
    <w:rsid w:val="002D3EC2"/>
    <w:rsid w:val="002D5FAD"/>
    <w:rsid w:val="002D7F79"/>
    <w:rsid w:val="002E06C3"/>
    <w:rsid w:val="002E12DB"/>
    <w:rsid w:val="002E2890"/>
    <w:rsid w:val="002E3F10"/>
    <w:rsid w:val="002E42BA"/>
    <w:rsid w:val="002E4A4F"/>
    <w:rsid w:val="002E506D"/>
    <w:rsid w:val="002E6810"/>
    <w:rsid w:val="002E6A9D"/>
    <w:rsid w:val="002F3235"/>
    <w:rsid w:val="002F400A"/>
    <w:rsid w:val="002F40E3"/>
    <w:rsid w:val="002F5988"/>
    <w:rsid w:val="002F5991"/>
    <w:rsid w:val="002F61C2"/>
    <w:rsid w:val="002F7ABA"/>
    <w:rsid w:val="00301778"/>
    <w:rsid w:val="00301CFA"/>
    <w:rsid w:val="003025C9"/>
    <w:rsid w:val="00303A2D"/>
    <w:rsid w:val="003053EF"/>
    <w:rsid w:val="00305A88"/>
    <w:rsid w:val="00305D75"/>
    <w:rsid w:val="00305E8B"/>
    <w:rsid w:val="00305F8C"/>
    <w:rsid w:val="00306215"/>
    <w:rsid w:val="00306B41"/>
    <w:rsid w:val="00307A9C"/>
    <w:rsid w:val="00310D3F"/>
    <w:rsid w:val="0031111B"/>
    <w:rsid w:val="0031194F"/>
    <w:rsid w:val="0031230B"/>
    <w:rsid w:val="00312C77"/>
    <w:rsid w:val="003137E9"/>
    <w:rsid w:val="00315C30"/>
    <w:rsid w:val="003160A5"/>
    <w:rsid w:val="0031681D"/>
    <w:rsid w:val="00317489"/>
    <w:rsid w:val="0032053B"/>
    <w:rsid w:val="00323F87"/>
    <w:rsid w:val="003241FA"/>
    <w:rsid w:val="00324C04"/>
    <w:rsid w:val="003256A3"/>
    <w:rsid w:val="003257F7"/>
    <w:rsid w:val="003261C9"/>
    <w:rsid w:val="00330579"/>
    <w:rsid w:val="00330703"/>
    <w:rsid w:val="00333C5E"/>
    <w:rsid w:val="0033428C"/>
    <w:rsid w:val="00337253"/>
    <w:rsid w:val="0034125F"/>
    <w:rsid w:val="00343A0F"/>
    <w:rsid w:val="00344770"/>
    <w:rsid w:val="00344DB0"/>
    <w:rsid w:val="00347448"/>
    <w:rsid w:val="003510F5"/>
    <w:rsid w:val="0035176B"/>
    <w:rsid w:val="00352041"/>
    <w:rsid w:val="00354B68"/>
    <w:rsid w:val="00355D60"/>
    <w:rsid w:val="00355F8B"/>
    <w:rsid w:val="00357A2E"/>
    <w:rsid w:val="00357C80"/>
    <w:rsid w:val="00360350"/>
    <w:rsid w:val="00360440"/>
    <w:rsid w:val="00363691"/>
    <w:rsid w:val="00364C1D"/>
    <w:rsid w:val="003655A7"/>
    <w:rsid w:val="00367152"/>
    <w:rsid w:val="003676F5"/>
    <w:rsid w:val="00367D4E"/>
    <w:rsid w:val="00371B5F"/>
    <w:rsid w:val="003736F3"/>
    <w:rsid w:val="00373F0B"/>
    <w:rsid w:val="00374659"/>
    <w:rsid w:val="003746DB"/>
    <w:rsid w:val="003758FE"/>
    <w:rsid w:val="00376AA9"/>
    <w:rsid w:val="003779AB"/>
    <w:rsid w:val="003800FB"/>
    <w:rsid w:val="003814F6"/>
    <w:rsid w:val="00381F0A"/>
    <w:rsid w:val="00382404"/>
    <w:rsid w:val="00382996"/>
    <w:rsid w:val="00382A70"/>
    <w:rsid w:val="0038383D"/>
    <w:rsid w:val="00386525"/>
    <w:rsid w:val="00387A04"/>
    <w:rsid w:val="003916CF"/>
    <w:rsid w:val="00391E08"/>
    <w:rsid w:val="00392E2A"/>
    <w:rsid w:val="003942B8"/>
    <w:rsid w:val="0039649C"/>
    <w:rsid w:val="0039727D"/>
    <w:rsid w:val="00397D05"/>
    <w:rsid w:val="003A46CA"/>
    <w:rsid w:val="003A4748"/>
    <w:rsid w:val="003A4F55"/>
    <w:rsid w:val="003A525F"/>
    <w:rsid w:val="003A5568"/>
    <w:rsid w:val="003A56C2"/>
    <w:rsid w:val="003A62AE"/>
    <w:rsid w:val="003A630D"/>
    <w:rsid w:val="003A63D9"/>
    <w:rsid w:val="003A7F97"/>
    <w:rsid w:val="003B0C09"/>
    <w:rsid w:val="003B16D3"/>
    <w:rsid w:val="003B6360"/>
    <w:rsid w:val="003C1A39"/>
    <w:rsid w:val="003C21BE"/>
    <w:rsid w:val="003C303D"/>
    <w:rsid w:val="003C30DD"/>
    <w:rsid w:val="003C33E9"/>
    <w:rsid w:val="003C5BC3"/>
    <w:rsid w:val="003D00AF"/>
    <w:rsid w:val="003D1588"/>
    <w:rsid w:val="003D187F"/>
    <w:rsid w:val="003D2436"/>
    <w:rsid w:val="003D6833"/>
    <w:rsid w:val="003E0570"/>
    <w:rsid w:val="003E1900"/>
    <w:rsid w:val="003E19E5"/>
    <w:rsid w:val="003E3D9F"/>
    <w:rsid w:val="003E574D"/>
    <w:rsid w:val="003E61DF"/>
    <w:rsid w:val="003E69BF"/>
    <w:rsid w:val="003F078F"/>
    <w:rsid w:val="003F09AA"/>
    <w:rsid w:val="003F0BD4"/>
    <w:rsid w:val="003F14C0"/>
    <w:rsid w:val="003F2124"/>
    <w:rsid w:val="003F234D"/>
    <w:rsid w:val="003F2A3B"/>
    <w:rsid w:val="003F3E02"/>
    <w:rsid w:val="003F57F4"/>
    <w:rsid w:val="00400C7C"/>
    <w:rsid w:val="00401F97"/>
    <w:rsid w:val="00402699"/>
    <w:rsid w:val="0040299A"/>
    <w:rsid w:val="00403426"/>
    <w:rsid w:val="00403F31"/>
    <w:rsid w:val="00406EF9"/>
    <w:rsid w:val="004101D9"/>
    <w:rsid w:val="00411150"/>
    <w:rsid w:val="004114DD"/>
    <w:rsid w:val="004119FB"/>
    <w:rsid w:val="00412C87"/>
    <w:rsid w:val="00413EA5"/>
    <w:rsid w:val="004146BF"/>
    <w:rsid w:val="004148A6"/>
    <w:rsid w:val="00415A0C"/>
    <w:rsid w:val="00416964"/>
    <w:rsid w:val="00416B24"/>
    <w:rsid w:val="004171FF"/>
    <w:rsid w:val="004173AC"/>
    <w:rsid w:val="00420643"/>
    <w:rsid w:val="004206C4"/>
    <w:rsid w:val="00421AA8"/>
    <w:rsid w:val="004233DA"/>
    <w:rsid w:val="00424B4A"/>
    <w:rsid w:val="00431CF1"/>
    <w:rsid w:val="00433DB7"/>
    <w:rsid w:val="00434501"/>
    <w:rsid w:val="004346D7"/>
    <w:rsid w:val="0043516A"/>
    <w:rsid w:val="00436AAD"/>
    <w:rsid w:val="00437425"/>
    <w:rsid w:val="004376BB"/>
    <w:rsid w:val="00437AD2"/>
    <w:rsid w:val="004404CF"/>
    <w:rsid w:val="004422E1"/>
    <w:rsid w:val="0044256B"/>
    <w:rsid w:val="00443FC5"/>
    <w:rsid w:val="00446FDC"/>
    <w:rsid w:val="00446FE2"/>
    <w:rsid w:val="00447826"/>
    <w:rsid w:val="004500FC"/>
    <w:rsid w:val="00450AC0"/>
    <w:rsid w:val="00450E41"/>
    <w:rsid w:val="00453CED"/>
    <w:rsid w:val="00455D8F"/>
    <w:rsid w:val="00457975"/>
    <w:rsid w:val="00457B1C"/>
    <w:rsid w:val="00457E84"/>
    <w:rsid w:val="00461B44"/>
    <w:rsid w:val="00464B64"/>
    <w:rsid w:val="00464FBE"/>
    <w:rsid w:val="0046542F"/>
    <w:rsid w:val="004659FF"/>
    <w:rsid w:val="00465D4E"/>
    <w:rsid w:val="00466AD3"/>
    <w:rsid w:val="00466B84"/>
    <w:rsid w:val="004677C0"/>
    <w:rsid w:val="004705EB"/>
    <w:rsid w:val="004707CD"/>
    <w:rsid w:val="0047080B"/>
    <w:rsid w:val="0047107B"/>
    <w:rsid w:val="00471899"/>
    <w:rsid w:val="00471B69"/>
    <w:rsid w:val="00473ACB"/>
    <w:rsid w:val="004740C2"/>
    <w:rsid w:val="00475451"/>
    <w:rsid w:val="00475E6E"/>
    <w:rsid w:val="0047622F"/>
    <w:rsid w:val="00476BA9"/>
    <w:rsid w:val="0047746E"/>
    <w:rsid w:val="00477ED0"/>
    <w:rsid w:val="00481DE3"/>
    <w:rsid w:val="00484F39"/>
    <w:rsid w:val="004850F0"/>
    <w:rsid w:val="004864C9"/>
    <w:rsid w:val="00487F34"/>
    <w:rsid w:val="0049007F"/>
    <w:rsid w:val="0049052A"/>
    <w:rsid w:val="00490AA4"/>
    <w:rsid w:val="00491ED8"/>
    <w:rsid w:val="0049276A"/>
    <w:rsid w:val="0049440C"/>
    <w:rsid w:val="004950F3"/>
    <w:rsid w:val="00496404"/>
    <w:rsid w:val="004A0BAD"/>
    <w:rsid w:val="004A16EE"/>
    <w:rsid w:val="004A2937"/>
    <w:rsid w:val="004A2F98"/>
    <w:rsid w:val="004A438C"/>
    <w:rsid w:val="004A4EB0"/>
    <w:rsid w:val="004A5D9E"/>
    <w:rsid w:val="004A6946"/>
    <w:rsid w:val="004A745B"/>
    <w:rsid w:val="004B0B8D"/>
    <w:rsid w:val="004B15BD"/>
    <w:rsid w:val="004B1F7F"/>
    <w:rsid w:val="004B2490"/>
    <w:rsid w:val="004B2A99"/>
    <w:rsid w:val="004B4431"/>
    <w:rsid w:val="004B5256"/>
    <w:rsid w:val="004B57FF"/>
    <w:rsid w:val="004B5885"/>
    <w:rsid w:val="004B5897"/>
    <w:rsid w:val="004B5958"/>
    <w:rsid w:val="004B61CD"/>
    <w:rsid w:val="004C03B5"/>
    <w:rsid w:val="004C0F82"/>
    <w:rsid w:val="004C14D0"/>
    <w:rsid w:val="004C1821"/>
    <w:rsid w:val="004C2992"/>
    <w:rsid w:val="004C2FC5"/>
    <w:rsid w:val="004C3977"/>
    <w:rsid w:val="004C4436"/>
    <w:rsid w:val="004C4821"/>
    <w:rsid w:val="004C5807"/>
    <w:rsid w:val="004C7D90"/>
    <w:rsid w:val="004D3CD5"/>
    <w:rsid w:val="004D5B7B"/>
    <w:rsid w:val="004D60F2"/>
    <w:rsid w:val="004D689F"/>
    <w:rsid w:val="004E3F45"/>
    <w:rsid w:val="004E4E82"/>
    <w:rsid w:val="004E52E8"/>
    <w:rsid w:val="004E5B0D"/>
    <w:rsid w:val="004E5D4C"/>
    <w:rsid w:val="004F0524"/>
    <w:rsid w:val="004F0695"/>
    <w:rsid w:val="004F26E3"/>
    <w:rsid w:val="004F5CE1"/>
    <w:rsid w:val="004F6998"/>
    <w:rsid w:val="004F6D28"/>
    <w:rsid w:val="004F6F4C"/>
    <w:rsid w:val="004F7F1E"/>
    <w:rsid w:val="005001C6"/>
    <w:rsid w:val="005026B8"/>
    <w:rsid w:val="00504DB5"/>
    <w:rsid w:val="00510BE6"/>
    <w:rsid w:val="00511327"/>
    <w:rsid w:val="005113C7"/>
    <w:rsid w:val="00511D7B"/>
    <w:rsid w:val="00512420"/>
    <w:rsid w:val="00512FD9"/>
    <w:rsid w:val="0051468C"/>
    <w:rsid w:val="00515054"/>
    <w:rsid w:val="00515518"/>
    <w:rsid w:val="0051568B"/>
    <w:rsid w:val="005162D5"/>
    <w:rsid w:val="00516FF1"/>
    <w:rsid w:val="00517B34"/>
    <w:rsid w:val="00517C29"/>
    <w:rsid w:val="00520115"/>
    <w:rsid w:val="0052019E"/>
    <w:rsid w:val="00521081"/>
    <w:rsid w:val="005222DD"/>
    <w:rsid w:val="005236EE"/>
    <w:rsid w:val="00524C51"/>
    <w:rsid w:val="005254D0"/>
    <w:rsid w:val="00526200"/>
    <w:rsid w:val="0052676B"/>
    <w:rsid w:val="00526CED"/>
    <w:rsid w:val="00527986"/>
    <w:rsid w:val="00531BB3"/>
    <w:rsid w:val="0053561C"/>
    <w:rsid w:val="00535A21"/>
    <w:rsid w:val="00540872"/>
    <w:rsid w:val="005435DA"/>
    <w:rsid w:val="0054372D"/>
    <w:rsid w:val="0054427A"/>
    <w:rsid w:val="00544AC9"/>
    <w:rsid w:val="00544D5A"/>
    <w:rsid w:val="00545F4D"/>
    <w:rsid w:val="005468B8"/>
    <w:rsid w:val="00547B64"/>
    <w:rsid w:val="00553B48"/>
    <w:rsid w:val="005577A0"/>
    <w:rsid w:val="00557876"/>
    <w:rsid w:val="00560E5A"/>
    <w:rsid w:val="00561818"/>
    <w:rsid w:val="00562008"/>
    <w:rsid w:val="00563728"/>
    <w:rsid w:val="00564398"/>
    <w:rsid w:val="0056580E"/>
    <w:rsid w:val="00565CFF"/>
    <w:rsid w:val="00566598"/>
    <w:rsid w:val="00572DAE"/>
    <w:rsid w:val="00574771"/>
    <w:rsid w:val="00575297"/>
    <w:rsid w:val="00576952"/>
    <w:rsid w:val="00576A19"/>
    <w:rsid w:val="0058041B"/>
    <w:rsid w:val="0058058B"/>
    <w:rsid w:val="00581113"/>
    <w:rsid w:val="0058133F"/>
    <w:rsid w:val="00581C66"/>
    <w:rsid w:val="00581E46"/>
    <w:rsid w:val="00582818"/>
    <w:rsid w:val="00582BC4"/>
    <w:rsid w:val="00584C84"/>
    <w:rsid w:val="00585F4F"/>
    <w:rsid w:val="005863E9"/>
    <w:rsid w:val="00586EE9"/>
    <w:rsid w:val="00587D0D"/>
    <w:rsid w:val="00591065"/>
    <w:rsid w:val="005947CF"/>
    <w:rsid w:val="00594842"/>
    <w:rsid w:val="005958BF"/>
    <w:rsid w:val="00595D19"/>
    <w:rsid w:val="005967BB"/>
    <w:rsid w:val="00596A6D"/>
    <w:rsid w:val="00597606"/>
    <w:rsid w:val="005A143A"/>
    <w:rsid w:val="005A2F0C"/>
    <w:rsid w:val="005A33E6"/>
    <w:rsid w:val="005A3A72"/>
    <w:rsid w:val="005A65C5"/>
    <w:rsid w:val="005A7504"/>
    <w:rsid w:val="005A7F27"/>
    <w:rsid w:val="005B0090"/>
    <w:rsid w:val="005B1753"/>
    <w:rsid w:val="005B2501"/>
    <w:rsid w:val="005B25AE"/>
    <w:rsid w:val="005B284E"/>
    <w:rsid w:val="005B2A44"/>
    <w:rsid w:val="005B3100"/>
    <w:rsid w:val="005B39FD"/>
    <w:rsid w:val="005B4D2A"/>
    <w:rsid w:val="005B4DD4"/>
    <w:rsid w:val="005B7D46"/>
    <w:rsid w:val="005C3701"/>
    <w:rsid w:val="005C3EDA"/>
    <w:rsid w:val="005C4D42"/>
    <w:rsid w:val="005C503D"/>
    <w:rsid w:val="005C5857"/>
    <w:rsid w:val="005C5BA6"/>
    <w:rsid w:val="005C5C0B"/>
    <w:rsid w:val="005C5C0E"/>
    <w:rsid w:val="005C6581"/>
    <w:rsid w:val="005C6958"/>
    <w:rsid w:val="005D022D"/>
    <w:rsid w:val="005D099B"/>
    <w:rsid w:val="005D2165"/>
    <w:rsid w:val="005D599A"/>
    <w:rsid w:val="005D5FC1"/>
    <w:rsid w:val="005D7AA1"/>
    <w:rsid w:val="005E0206"/>
    <w:rsid w:val="005E0AE0"/>
    <w:rsid w:val="005E29AD"/>
    <w:rsid w:val="005E37A0"/>
    <w:rsid w:val="005E398A"/>
    <w:rsid w:val="005E5D4A"/>
    <w:rsid w:val="005E5E81"/>
    <w:rsid w:val="005E6174"/>
    <w:rsid w:val="005E661D"/>
    <w:rsid w:val="005E757A"/>
    <w:rsid w:val="005E771E"/>
    <w:rsid w:val="005E7750"/>
    <w:rsid w:val="005E7A5F"/>
    <w:rsid w:val="005F1C3F"/>
    <w:rsid w:val="005F2218"/>
    <w:rsid w:val="005F2AFA"/>
    <w:rsid w:val="005F56F9"/>
    <w:rsid w:val="005F583E"/>
    <w:rsid w:val="005F5912"/>
    <w:rsid w:val="005F5AEB"/>
    <w:rsid w:val="005F633A"/>
    <w:rsid w:val="005F7067"/>
    <w:rsid w:val="006005C7"/>
    <w:rsid w:val="00600696"/>
    <w:rsid w:val="006006CD"/>
    <w:rsid w:val="00601790"/>
    <w:rsid w:val="00602303"/>
    <w:rsid w:val="00602B88"/>
    <w:rsid w:val="006049A2"/>
    <w:rsid w:val="00605439"/>
    <w:rsid w:val="00607B82"/>
    <w:rsid w:val="0061003B"/>
    <w:rsid w:val="00610BCC"/>
    <w:rsid w:val="00613C7C"/>
    <w:rsid w:val="006142FD"/>
    <w:rsid w:val="006153AB"/>
    <w:rsid w:val="00616372"/>
    <w:rsid w:val="006163B6"/>
    <w:rsid w:val="00620719"/>
    <w:rsid w:val="00620E17"/>
    <w:rsid w:val="006218AC"/>
    <w:rsid w:val="00622A20"/>
    <w:rsid w:val="00622D15"/>
    <w:rsid w:val="00623725"/>
    <w:rsid w:val="006240CC"/>
    <w:rsid w:val="006249FD"/>
    <w:rsid w:val="00624E17"/>
    <w:rsid w:val="00626024"/>
    <w:rsid w:val="00626028"/>
    <w:rsid w:val="00626ED9"/>
    <w:rsid w:val="0062789A"/>
    <w:rsid w:val="00627927"/>
    <w:rsid w:val="00627C1A"/>
    <w:rsid w:val="006303A9"/>
    <w:rsid w:val="00631C94"/>
    <w:rsid w:val="00632DB1"/>
    <w:rsid w:val="00633892"/>
    <w:rsid w:val="006348CB"/>
    <w:rsid w:val="00636CDD"/>
    <w:rsid w:val="0064077D"/>
    <w:rsid w:val="006417B6"/>
    <w:rsid w:val="00642216"/>
    <w:rsid w:val="00642627"/>
    <w:rsid w:val="00642DA0"/>
    <w:rsid w:val="00643000"/>
    <w:rsid w:val="006444E7"/>
    <w:rsid w:val="006446AF"/>
    <w:rsid w:val="00644839"/>
    <w:rsid w:val="00644987"/>
    <w:rsid w:val="00645666"/>
    <w:rsid w:val="006464A8"/>
    <w:rsid w:val="00646982"/>
    <w:rsid w:val="00647B9B"/>
    <w:rsid w:val="00647C0C"/>
    <w:rsid w:val="0065087F"/>
    <w:rsid w:val="00650F64"/>
    <w:rsid w:val="00651F00"/>
    <w:rsid w:val="006527FA"/>
    <w:rsid w:val="00653B7F"/>
    <w:rsid w:val="006557E0"/>
    <w:rsid w:val="00657216"/>
    <w:rsid w:val="006603F2"/>
    <w:rsid w:val="00661D15"/>
    <w:rsid w:val="00664FFB"/>
    <w:rsid w:val="0066673C"/>
    <w:rsid w:val="006674CE"/>
    <w:rsid w:val="006708D7"/>
    <w:rsid w:val="00670CC1"/>
    <w:rsid w:val="0067222A"/>
    <w:rsid w:val="0067367C"/>
    <w:rsid w:val="006754D1"/>
    <w:rsid w:val="00675A64"/>
    <w:rsid w:val="00676E98"/>
    <w:rsid w:val="0067735F"/>
    <w:rsid w:val="006774F6"/>
    <w:rsid w:val="00677591"/>
    <w:rsid w:val="006804AA"/>
    <w:rsid w:val="006805A7"/>
    <w:rsid w:val="0068079D"/>
    <w:rsid w:val="00680F0F"/>
    <w:rsid w:val="0068105B"/>
    <w:rsid w:val="006826A7"/>
    <w:rsid w:val="00683860"/>
    <w:rsid w:val="00685D3D"/>
    <w:rsid w:val="0068673F"/>
    <w:rsid w:val="006876E7"/>
    <w:rsid w:val="00690A9A"/>
    <w:rsid w:val="00691A37"/>
    <w:rsid w:val="0069245E"/>
    <w:rsid w:val="00692889"/>
    <w:rsid w:val="00692D6B"/>
    <w:rsid w:val="0069343E"/>
    <w:rsid w:val="0069457C"/>
    <w:rsid w:val="006945D1"/>
    <w:rsid w:val="0069464F"/>
    <w:rsid w:val="00696CEF"/>
    <w:rsid w:val="006A0F25"/>
    <w:rsid w:val="006A257F"/>
    <w:rsid w:val="006A3E6A"/>
    <w:rsid w:val="006A4D37"/>
    <w:rsid w:val="006A541F"/>
    <w:rsid w:val="006A7553"/>
    <w:rsid w:val="006A759B"/>
    <w:rsid w:val="006A7797"/>
    <w:rsid w:val="006B0075"/>
    <w:rsid w:val="006B1212"/>
    <w:rsid w:val="006B14AB"/>
    <w:rsid w:val="006B333E"/>
    <w:rsid w:val="006B365E"/>
    <w:rsid w:val="006B4AD7"/>
    <w:rsid w:val="006B4B35"/>
    <w:rsid w:val="006B74EF"/>
    <w:rsid w:val="006C0494"/>
    <w:rsid w:val="006C19BD"/>
    <w:rsid w:val="006C22B4"/>
    <w:rsid w:val="006C2C22"/>
    <w:rsid w:val="006C2F87"/>
    <w:rsid w:val="006C32E2"/>
    <w:rsid w:val="006C377E"/>
    <w:rsid w:val="006C42B6"/>
    <w:rsid w:val="006C614D"/>
    <w:rsid w:val="006C6D09"/>
    <w:rsid w:val="006C73C4"/>
    <w:rsid w:val="006D2959"/>
    <w:rsid w:val="006D2A4D"/>
    <w:rsid w:val="006D330C"/>
    <w:rsid w:val="006D3AE0"/>
    <w:rsid w:val="006D3B38"/>
    <w:rsid w:val="006D48E5"/>
    <w:rsid w:val="006D4AEA"/>
    <w:rsid w:val="006D56D5"/>
    <w:rsid w:val="006D626D"/>
    <w:rsid w:val="006D7B81"/>
    <w:rsid w:val="006D7D0A"/>
    <w:rsid w:val="006D7E0C"/>
    <w:rsid w:val="006E10C9"/>
    <w:rsid w:val="006E1632"/>
    <w:rsid w:val="006E1741"/>
    <w:rsid w:val="006E1A40"/>
    <w:rsid w:val="006E24C4"/>
    <w:rsid w:val="006E29CF"/>
    <w:rsid w:val="006E2CE6"/>
    <w:rsid w:val="006E40BE"/>
    <w:rsid w:val="006E42D1"/>
    <w:rsid w:val="006E458C"/>
    <w:rsid w:val="006E67C6"/>
    <w:rsid w:val="006E6CFC"/>
    <w:rsid w:val="006E7CF0"/>
    <w:rsid w:val="006E7EF1"/>
    <w:rsid w:val="006F0B2E"/>
    <w:rsid w:val="006F136D"/>
    <w:rsid w:val="006F26DD"/>
    <w:rsid w:val="006F33F9"/>
    <w:rsid w:val="006F591D"/>
    <w:rsid w:val="007017F0"/>
    <w:rsid w:val="0070249A"/>
    <w:rsid w:val="00702637"/>
    <w:rsid w:val="00703879"/>
    <w:rsid w:val="007038A9"/>
    <w:rsid w:val="00703CD7"/>
    <w:rsid w:val="00705451"/>
    <w:rsid w:val="00705E38"/>
    <w:rsid w:val="00706616"/>
    <w:rsid w:val="00706F0C"/>
    <w:rsid w:val="007076AA"/>
    <w:rsid w:val="00707940"/>
    <w:rsid w:val="00707DB4"/>
    <w:rsid w:val="00710663"/>
    <w:rsid w:val="00710E2C"/>
    <w:rsid w:val="007159A1"/>
    <w:rsid w:val="00715C83"/>
    <w:rsid w:val="0072026D"/>
    <w:rsid w:val="007202D9"/>
    <w:rsid w:val="00721819"/>
    <w:rsid w:val="00721F45"/>
    <w:rsid w:val="00722665"/>
    <w:rsid w:val="00723D3B"/>
    <w:rsid w:val="0072462A"/>
    <w:rsid w:val="00725457"/>
    <w:rsid w:val="00726CBA"/>
    <w:rsid w:val="00727D9F"/>
    <w:rsid w:val="0073073C"/>
    <w:rsid w:val="00730943"/>
    <w:rsid w:val="00730BA9"/>
    <w:rsid w:val="00731327"/>
    <w:rsid w:val="0073242B"/>
    <w:rsid w:val="00733271"/>
    <w:rsid w:val="0073353E"/>
    <w:rsid w:val="00734221"/>
    <w:rsid w:val="00734432"/>
    <w:rsid w:val="00734B89"/>
    <w:rsid w:val="00736F7C"/>
    <w:rsid w:val="00740386"/>
    <w:rsid w:val="00741599"/>
    <w:rsid w:val="0074177A"/>
    <w:rsid w:val="00742479"/>
    <w:rsid w:val="00743C59"/>
    <w:rsid w:val="007450C5"/>
    <w:rsid w:val="00747236"/>
    <w:rsid w:val="00747A13"/>
    <w:rsid w:val="007503CB"/>
    <w:rsid w:val="0075189F"/>
    <w:rsid w:val="00752757"/>
    <w:rsid w:val="00752945"/>
    <w:rsid w:val="00752E09"/>
    <w:rsid w:val="00755D2E"/>
    <w:rsid w:val="00757D6D"/>
    <w:rsid w:val="00760D23"/>
    <w:rsid w:val="00761190"/>
    <w:rsid w:val="0076490D"/>
    <w:rsid w:val="00764FD9"/>
    <w:rsid w:val="00765A8D"/>
    <w:rsid w:val="007660D9"/>
    <w:rsid w:val="00767E6E"/>
    <w:rsid w:val="007725D9"/>
    <w:rsid w:val="00772C44"/>
    <w:rsid w:val="007742F6"/>
    <w:rsid w:val="00774569"/>
    <w:rsid w:val="0077636F"/>
    <w:rsid w:val="007771D9"/>
    <w:rsid w:val="00777A0D"/>
    <w:rsid w:val="00784DF1"/>
    <w:rsid w:val="00785CE1"/>
    <w:rsid w:val="007860FC"/>
    <w:rsid w:val="007865F0"/>
    <w:rsid w:val="007879BD"/>
    <w:rsid w:val="007901C0"/>
    <w:rsid w:val="00790A1C"/>
    <w:rsid w:val="0079234A"/>
    <w:rsid w:val="00792790"/>
    <w:rsid w:val="00793717"/>
    <w:rsid w:val="0079462A"/>
    <w:rsid w:val="007949D2"/>
    <w:rsid w:val="00795F2B"/>
    <w:rsid w:val="00796458"/>
    <w:rsid w:val="007964BC"/>
    <w:rsid w:val="00796AD1"/>
    <w:rsid w:val="00796E8E"/>
    <w:rsid w:val="00797A22"/>
    <w:rsid w:val="007A07F9"/>
    <w:rsid w:val="007A0BA0"/>
    <w:rsid w:val="007A20B7"/>
    <w:rsid w:val="007A266C"/>
    <w:rsid w:val="007A4A8F"/>
    <w:rsid w:val="007A6FDD"/>
    <w:rsid w:val="007A7D9E"/>
    <w:rsid w:val="007B0F9C"/>
    <w:rsid w:val="007B1920"/>
    <w:rsid w:val="007B407C"/>
    <w:rsid w:val="007B4A7D"/>
    <w:rsid w:val="007B4FE6"/>
    <w:rsid w:val="007B507A"/>
    <w:rsid w:val="007B5FB2"/>
    <w:rsid w:val="007B6E2D"/>
    <w:rsid w:val="007C0829"/>
    <w:rsid w:val="007C1C3A"/>
    <w:rsid w:val="007C25FC"/>
    <w:rsid w:val="007C57F2"/>
    <w:rsid w:val="007C5D2B"/>
    <w:rsid w:val="007C608A"/>
    <w:rsid w:val="007C6F2A"/>
    <w:rsid w:val="007C7914"/>
    <w:rsid w:val="007D142A"/>
    <w:rsid w:val="007D5252"/>
    <w:rsid w:val="007D6553"/>
    <w:rsid w:val="007E07BC"/>
    <w:rsid w:val="007E12AA"/>
    <w:rsid w:val="007E1332"/>
    <w:rsid w:val="007E2BAF"/>
    <w:rsid w:val="007E2FF7"/>
    <w:rsid w:val="007E3B30"/>
    <w:rsid w:val="007E63EA"/>
    <w:rsid w:val="007E6674"/>
    <w:rsid w:val="007E66B7"/>
    <w:rsid w:val="007E6846"/>
    <w:rsid w:val="007F0245"/>
    <w:rsid w:val="007F23E2"/>
    <w:rsid w:val="007F5CB6"/>
    <w:rsid w:val="007F7F4E"/>
    <w:rsid w:val="007F7F80"/>
    <w:rsid w:val="0080215A"/>
    <w:rsid w:val="00802167"/>
    <w:rsid w:val="008030E2"/>
    <w:rsid w:val="008064AE"/>
    <w:rsid w:val="008079B3"/>
    <w:rsid w:val="00807E88"/>
    <w:rsid w:val="0081068D"/>
    <w:rsid w:val="00810B15"/>
    <w:rsid w:val="00811EC7"/>
    <w:rsid w:val="00812979"/>
    <w:rsid w:val="00812FEC"/>
    <w:rsid w:val="008153DF"/>
    <w:rsid w:val="008157A9"/>
    <w:rsid w:val="00824082"/>
    <w:rsid w:val="0082619E"/>
    <w:rsid w:val="00830BAA"/>
    <w:rsid w:val="00831D76"/>
    <w:rsid w:val="0083458A"/>
    <w:rsid w:val="00834BDA"/>
    <w:rsid w:val="00836DD7"/>
    <w:rsid w:val="00837AA0"/>
    <w:rsid w:val="008407C9"/>
    <w:rsid w:val="00842AE6"/>
    <w:rsid w:val="00843869"/>
    <w:rsid w:val="00845C53"/>
    <w:rsid w:val="00850012"/>
    <w:rsid w:val="00850BB2"/>
    <w:rsid w:val="00850BFB"/>
    <w:rsid w:val="00851A3C"/>
    <w:rsid w:val="00853E15"/>
    <w:rsid w:val="008557D9"/>
    <w:rsid w:val="00855E44"/>
    <w:rsid w:val="00857A66"/>
    <w:rsid w:val="0086169F"/>
    <w:rsid w:val="00864324"/>
    <w:rsid w:val="008655AD"/>
    <w:rsid w:val="008663AB"/>
    <w:rsid w:val="00866A4F"/>
    <w:rsid w:val="00867704"/>
    <w:rsid w:val="008732B9"/>
    <w:rsid w:val="00873C53"/>
    <w:rsid w:val="0087452D"/>
    <w:rsid w:val="00875D58"/>
    <w:rsid w:val="008767C0"/>
    <w:rsid w:val="00880F7E"/>
    <w:rsid w:val="00881076"/>
    <w:rsid w:val="008820A2"/>
    <w:rsid w:val="008822EC"/>
    <w:rsid w:val="00882C7A"/>
    <w:rsid w:val="00885942"/>
    <w:rsid w:val="008868CF"/>
    <w:rsid w:val="0088700C"/>
    <w:rsid w:val="00890879"/>
    <w:rsid w:val="00890D72"/>
    <w:rsid w:val="00890E11"/>
    <w:rsid w:val="0089132E"/>
    <w:rsid w:val="00891C31"/>
    <w:rsid w:val="008922C8"/>
    <w:rsid w:val="008924CE"/>
    <w:rsid w:val="00892A73"/>
    <w:rsid w:val="008934CE"/>
    <w:rsid w:val="008938CF"/>
    <w:rsid w:val="00894210"/>
    <w:rsid w:val="00894E7C"/>
    <w:rsid w:val="00897EED"/>
    <w:rsid w:val="008A0065"/>
    <w:rsid w:val="008A087C"/>
    <w:rsid w:val="008A08DA"/>
    <w:rsid w:val="008A0BE1"/>
    <w:rsid w:val="008A0D3B"/>
    <w:rsid w:val="008A13A4"/>
    <w:rsid w:val="008A2231"/>
    <w:rsid w:val="008A2D28"/>
    <w:rsid w:val="008A34A1"/>
    <w:rsid w:val="008A56AD"/>
    <w:rsid w:val="008A6204"/>
    <w:rsid w:val="008A738D"/>
    <w:rsid w:val="008A7FA6"/>
    <w:rsid w:val="008B094B"/>
    <w:rsid w:val="008B0C96"/>
    <w:rsid w:val="008B34DA"/>
    <w:rsid w:val="008B5471"/>
    <w:rsid w:val="008B67AF"/>
    <w:rsid w:val="008C0C90"/>
    <w:rsid w:val="008C0ED2"/>
    <w:rsid w:val="008C0F83"/>
    <w:rsid w:val="008C16D4"/>
    <w:rsid w:val="008C2BA8"/>
    <w:rsid w:val="008C38D8"/>
    <w:rsid w:val="008C5A81"/>
    <w:rsid w:val="008C5D77"/>
    <w:rsid w:val="008C5FA4"/>
    <w:rsid w:val="008C6C3B"/>
    <w:rsid w:val="008C7C73"/>
    <w:rsid w:val="008C7CA1"/>
    <w:rsid w:val="008D004C"/>
    <w:rsid w:val="008D0C4D"/>
    <w:rsid w:val="008D58B2"/>
    <w:rsid w:val="008D74A1"/>
    <w:rsid w:val="008D7FB4"/>
    <w:rsid w:val="008D7FB7"/>
    <w:rsid w:val="008E0D95"/>
    <w:rsid w:val="008E1AC8"/>
    <w:rsid w:val="008E1B8A"/>
    <w:rsid w:val="008E2E84"/>
    <w:rsid w:val="008E44F8"/>
    <w:rsid w:val="008E49BA"/>
    <w:rsid w:val="008E4A33"/>
    <w:rsid w:val="008E524E"/>
    <w:rsid w:val="008E5952"/>
    <w:rsid w:val="008E5CCF"/>
    <w:rsid w:val="008E7219"/>
    <w:rsid w:val="008E7F37"/>
    <w:rsid w:val="008F000C"/>
    <w:rsid w:val="008F0C3B"/>
    <w:rsid w:val="008F22F8"/>
    <w:rsid w:val="008F4456"/>
    <w:rsid w:val="008F4EBE"/>
    <w:rsid w:val="008F60A3"/>
    <w:rsid w:val="008F76E4"/>
    <w:rsid w:val="00901853"/>
    <w:rsid w:val="00903657"/>
    <w:rsid w:val="00903B7A"/>
    <w:rsid w:val="00903C96"/>
    <w:rsid w:val="00904490"/>
    <w:rsid w:val="00905039"/>
    <w:rsid w:val="00905D9D"/>
    <w:rsid w:val="009105D6"/>
    <w:rsid w:val="009107BE"/>
    <w:rsid w:val="00916272"/>
    <w:rsid w:val="00917456"/>
    <w:rsid w:val="009200C1"/>
    <w:rsid w:val="009207D4"/>
    <w:rsid w:val="00920D48"/>
    <w:rsid w:val="00923295"/>
    <w:rsid w:val="00923DD3"/>
    <w:rsid w:val="00924AA4"/>
    <w:rsid w:val="00925FD5"/>
    <w:rsid w:val="009264BD"/>
    <w:rsid w:val="00926DED"/>
    <w:rsid w:val="00926F28"/>
    <w:rsid w:val="009306FD"/>
    <w:rsid w:val="00930905"/>
    <w:rsid w:val="0093239D"/>
    <w:rsid w:val="00934377"/>
    <w:rsid w:val="00934EE3"/>
    <w:rsid w:val="00935702"/>
    <w:rsid w:val="00936410"/>
    <w:rsid w:val="00936470"/>
    <w:rsid w:val="009369DB"/>
    <w:rsid w:val="009376FC"/>
    <w:rsid w:val="00941C60"/>
    <w:rsid w:val="00944C12"/>
    <w:rsid w:val="00945976"/>
    <w:rsid w:val="00945D79"/>
    <w:rsid w:val="009461B0"/>
    <w:rsid w:val="00947D92"/>
    <w:rsid w:val="00950D01"/>
    <w:rsid w:val="00952AE1"/>
    <w:rsid w:val="009536D1"/>
    <w:rsid w:val="00953760"/>
    <w:rsid w:val="0095530C"/>
    <w:rsid w:val="00956A8E"/>
    <w:rsid w:val="00956CB9"/>
    <w:rsid w:val="009574AE"/>
    <w:rsid w:val="00961ACB"/>
    <w:rsid w:val="00961E29"/>
    <w:rsid w:val="009636FD"/>
    <w:rsid w:val="009647AB"/>
    <w:rsid w:val="00964D06"/>
    <w:rsid w:val="0096606E"/>
    <w:rsid w:val="0096649D"/>
    <w:rsid w:val="009671C2"/>
    <w:rsid w:val="00970285"/>
    <w:rsid w:val="009719C4"/>
    <w:rsid w:val="0097423E"/>
    <w:rsid w:val="0097612F"/>
    <w:rsid w:val="00976F14"/>
    <w:rsid w:val="00980F94"/>
    <w:rsid w:val="00981002"/>
    <w:rsid w:val="009836B7"/>
    <w:rsid w:val="00984A1B"/>
    <w:rsid w:val="00985468"/>
    <w:rsid w:val="0098776F"/>
    <w:rsid w:val="00990510"/>
    <w:rsid w:val="00990609"/>
    <w:rsid w:val="00990FCD"/>
    <w:rsid w:val="0099120B"/>
    <w:rsid w:val="00991ED8"/>
    <w:rsid w:val="00995F9C"/>
    <w:rsid w:val="00996CC8"/>
    <w:rsid w:val="00997734"/>
    <w:rsid w:val="00997CE7"/>
    <w:rsid w:val="009A0C40"/>
    <w:rsid w:val="009A20A8"/>
    <w:rsid w:val="009A318F"/>
    <w:rsid w:val="009A3A70"/>
    <w:rsid w:val="009A3E78"/>
    <w:rsid w:val="009A57E4"/>
    <w:rsid w:val="009B0774"/>
    <w:rsid w:val="009B1D84"/>
    <w:rsid w:val="009B2B15"/>
    <w:rsid w:val="009B363A"/>
    <w:rsid w:val="009B4DA5"/>
    <w:rsid w:val="009B5071"/>
    <w:rsid w:val="009B62CE"/>
    <w:rsid w:val="009C078B"/>
    <w:rsid w:val="009C0936"/>
    <w:rsid w:val="009C1FF2"/>
    <w:rsid w:val="009C33C8"/>
    <w:rsid w:val="009C3DF2"/>
    <w:rsid w:val="009C704B"/>
    <w:rsid w:val="009D0551"/>
    <w:rsid w:val="009D0E84"/>
    <w:rsid w:val="009D14EB"/>
    <w:rsid w:val="009D2346"/>
    <w:rsid w:val="009D36EF"/>
    <w:rsid w:val="009D394F"/>
    <w:rsid w:val="009D4942"/>
    <w:rsid w:val="009D5316"/>
    <w:rsid w:val="009D5993"/>
    <w:rsid w:val="009D6A67"/>
    <w:rsid w:val="009D7810"/>
    <w:rsid w:val="009D7A0A"/>
    <w:rsid w:val="009E0A5F"/>
    <w:rsid w:val="009E109F"/>
    <w:rsid w:val="009E1A25"/>
    <w:rsid w:val="009E2999"/>
    <w:rsid w:val="009E2DBD"/>
    <w:rsid w:val="009E3A83"/>
    <w:rsid w:val="009E5CB2"/>
    <w:rsid w:val="009E6CDE"/>
    <w:rsid w:val="009F0EA2"/>
    <w:rsid w:val="009F23E4"/>
    <w:rsid w:val="009F25BA"/>
    <w:rsid w:val="009F28FD"/>
    <w:rsid w:val="009F3478"/>
    <w:rsid w:val="009F3F94"/>
    <w:rsid w:val="00A00389"/>
    <w:rsid w:val="00A00AA7"/>
    <w:rsid w:val="00A00E6B"/>
    <w:rsid w:val="00A02B20"/>
    <w:rsid w:val="00A02CD2"/>
    <w:rsid w:val="00A04E4D"/>
    <w:rsid w:val="00A056F7"/>
    <w:rsid w:val="00A076AE"/>
    <w:rsid w:val="00A1166C"/>
    <w:rsid w:val="00A131F1"/>
    <w:rsid w:val="00A13FCC"/>
    <w:rsid w:val="00A14A64"/>
    <w:rsid w:val="00A14BD7"/>
    <w:rsid w:val="00A14D72"/>
    <w:rsid w:val="00A15D54"/>
    <w:rsid w:val="00A15EB7"/>
    <w:rsid w:val="00A20642"/>
    <w:rsid w:val="00A2098B"/>
    <w:rsid w:val="00A21060"/>
    <w:rsid w:val="00A2494C"/>
    <w:rsid w:val="00A2681E"/>
    <w:rsid w:val="00A26C41"/>
    <w:rsid w:val="00A27757"/>
    <w:rsid w:val="00A3114D"/>
    <w:rsid w:val="00A31BCC"/>
    <w:rsid w:val="00A32F90"/>
    <w:rsid w:val="00A3305D"/>
    <w:rsid w:val="00A33396"/>
    <w:rsid w:val="00A337A6"/>
    <w:rsid w:val="00A33BDB"/>
    <w:rsid w:val="00A3420A"/>
    <w:rsid w:val="00A3460D"/>
    <w:rsid w:val="00A36100"/>
    <w:rsid w:val="00A37A38"/>
    <w:rsid w:val="00A416A4"/>
    <w:rsid w:val="00A41965"/>
    <w:rsid w:val="00A41FCA"/>
    <w:rsid w:val="00A432B4"/>
    <w:rsid w:val="00A45B5B"/>
    <w:rsid w:val="00A4611B"/>
    <w:rsid w:val="00A472F4"/>
    <w:rsid w:val="00A474B8"/>
    <w:rsid w:val="00A47D47"/>
    <w:rsid w:val="00A50440"/>
    <w:rsid w:val="00A50FC8"/>
    <w:rsid w:val="00A514E3"/>
    <w:rsid w:val="00A52EC2"/>
    <w:rsid w:val="00A55CD6"/>
    <w:rsid w:val="00A56F08"/>
    <w:rsid w:val="00A605E6"/>
    <w:rsid w:val="00A61059"/>
    <w:rsid w:val="00A61406"/>
    <w:rsid w:val="00A61F60"/>
    <w:rsid w:val="00A62016"/>
    <w:rsid w:val="00A620D7"/>
    <w:rsid w:val="00A62FC3"/>
    <w:rsid w:val="00A6345C"/>
    <w:rsid w:val="00A63C0B"/>
    <w:rsid w:val="00A65296"/>
    <w:rsid w:val="00A6532D"/>
    <w:rsid w:val="00A7202F"/>
    <w:rsid w:val="00A72882"/>
    <w:rsid w:val="00A72B15"/>
    <w:rsid w:val="00A73005"/>
    <w:rsid w:val="00A733D6"/>
    <w:rsid w:val="00A73D5B"/>
    <w:rsid w:val="00A74239"/>
    <w:rsid w:val="00A74834"/>
    <w:rsid w:val="00A76DBC"/>
    <w:rsid w:val="00A81F7B"/>
    <w:rsid w:val="00A8292D"/>
    <w:rsid w:val="00A849EF"/>
    <w:rsid w:val="00A85BDC"/>
    <w:rsid w:val="00A860D4"/>
    <w:rsid w:val="00A86A1B"/>
    <w:rsid w:val="00A916DC"/>
    <w:rsid w:val="00A91B85"/>
    <w:rsid w:val="00A92E3B"/>
    <w:rsid w:val="00A931C8"/>
    <w:rsid w:val="00A93D0C"/>
    <w:rsid w:val="00A9473A"/>
    <w:rsid w:val="00A94BCB"/>
    <w:rsid w:val="00A97883"/>
    <w:rsid w:val="00A97CAA"/>
    <w:rsid w:val="00AA0B6B"/>
    <w:rsid w:val="00AA607D"/>
    <w:rsid w:val="00AA610E"/>
    <w:rsid w:val="00AA74D2"/>
    <w:rsid w:val="00AB027A"/>
    <w:rsid w:val="00AB1177"/>
    <w:rsid w:val="00AB12C1"/>
    <w:rsid w:val="00AB1F78"/>
    <w:rsid w:val="00AB27D2"/>
    <w:rsid w:val="00AB2CAE"/>
    <w:rsid w:val="00AB310A"/>
    <w:rsid w:val="00AB4B8C"/>
    <w:rsid w:val="00AB7CB7"/>
    <w:rsid w:val="00AC25AE"/>
    <w:rsid w:val="00AC29FB"/>
    <w:rsid w:val="00AC4F61"/>
    <w:rsid w:val="00AC632A"/>
    <w:rsid w:val="00AD0B7C"/>
    <w:rsid w:val="00AD1BDE"/>
    <w:rsid w:val="00AD392E"/>
    <w:rsid w:val="00AD4C24"/>
    <w:rsid w:val="00AD5C6F"/>
    <w:rsid w:val="00AD6673"/>
    <w:rsid w:val="00AD75BA"/>
    <w:rsid w:val="00AD7DD3"/>
    <w:rsid w:val="00AE14E9"/>
    <w:rsid w:val="00AE1F76"/>
    <w:rsid w:val="00AE24E4"/>
    <w:rsid w:val="00AE3861"/>
    <w:rsid w:val="00AE39E6"/>
    <w:rsid w:val="00AE4D68"/>
    <w:rsid w:val="00AE5CCC"/>
    <w:rsid w:val="00AE6216"/>
    <w:rsid w:val="00AE708B"/>
    <w:rsid w:val="00AF163B"/>
    <w:rsid w:val="00AF49D0"/>
    <w:rsid w:val="00AF4EEE"/>
    <w:rsid w:val="00AF67C7"/>
    <w:rsid w:val="00B00180"/>
    <w:rsid w:val="00B00212"/>
    <w:rsid w:val="00B009AD"/>
    <w:rsid w:val="00B00C05"/>
    <w:rsid w:val="00B0416A"/>
    <w:rsid w:val="00B04588"/>
    <w:rsid w:val="00B04E0C"/>
    <w:rsid w:val="00B0678A"/>
    <w:rsid w:val="00B06B82"/>
    <w:rsid w:val="00B0758A"/>
    <w:rsid w:val="00B100B0"/>
    <w:rsid w:val="00B10A33"/>
    <w:rsid w:val="00B11E76"/>
    <w:rsid w:val="00B136B7"/>
    <w:rsid w:val="00B138F5"/>
    <w:rsid w:val="00B139C4"/>
    <w:rsid w:val="00B1416B"/>
    <w:rsid w:val="00B16027"/>
    <w:rsid w:val="00B16BC6"/>
    <w:rsid w:val="00B206E7"/>
    <w:rsid w:val="00B21EB7"/>
    <w:rsid w:val="00B22223"/>
    <w:rsid w:val="00B23531"/>
    <w:rsid w:val="00B241F0"/>
    <w:rsid w:val="00B24376"/>
    <w:rsid w:val="00B255B9"/>
    <w:rsid w:val="00B256CD"/>
    <w:rsid w:val="00B25956"/>
    <w:rsid w:val="00B26A5A"/>
    <w:rsid w:val="00B26EF1"/>
    <w:rsid w:val="00B3060B"/>
    <w:rsid w:val="00B30856"/>
    <w:rsid w:val="00B30D12"/>
    <w:rsid w:val="00B327DE"/>
    <w:rsid w:val="00B33D47"/>
    <w:rsid w:val="00B348E1"/>
    <w:rsid w:val="00B34F0E"/>
    <w:rsid w:val="00B361FB"/>
    <w:rsid w:val="00B37385"/>
    <w:rsid w:val="00B378EA"/>
    <w:rsid w:val="00B37F26"/>
    <w:rsid w:val="00B410E7"/>
    <w:rsid w:val="00B42360"/>
    <w:rsid w:val="00B4242B"/>
    <w:rsid w:val="00B44C00"/>
    <w:rsid w:val="00B4602D"/>
    <w:rsid w:val="00B47EF5"/>
    <w:rsid w:val="00B503B0"/>
    <w:rsid w:val="00B5064C"/>
    <w:rsid w:val="00B51CF7"/>
    <w:rsid w:val="00B55049"/>
    <w:rsid w:val="00B55C27"/>
    <w:rsid w:val="00B55C29"/>
    <w:rsid w:val="00B56150"/>
    <w:rsid w:val="00B626E7"/>
    <w:rsid w:val="00B62F0A"/>
    <w:rsid w:val="00B632F0"/>
    <w:rsid w:val="00B63826"/>
    <w:rsid w:val="00B64DA8"/>
    <w:rsid w:val="00B65F28"/>
    <w:rsid w:val="00B66710"/>
    <w:rsid w:val="00B706D4"/>
    <w:rsid w:val="00B739C9"/>
    <w:rsid w:val="00B756DB"/>
    <w:rsid w:val="00B76757"/>
    <w:rsid w:val="00B77937"/>
    <w:rsid w:val="00B8041B"/>
    <w:rsid w:val="00B822BD"/>
    <w:rsid w:val="00B82B5D"/>
    <w:rsid w:val="00B83B99"/>
    <w:rsid w:val="00B83D9E"/>
    <w:rsid w:val="00B844DD"/>
    <w:rsid w:val="00B856B2"/>
    <w:rsid w:val="00B85BF8"/>
    <w:rsid w:val="00B86A2A"/>
    <w:rsid w:val="00B8788F"/>
    <w:rsid w:val="00B9014D"/>
    <w:rsid w:val="00B90CD8"/>
    <w:rsid w:val="00B93EF2"/>
    <w:rsid w:val="00B9404A"/>
    <w:rsid w:val="00B9427C"/>
    <w:rsid w:val="00B94E74"/>
    <w:rsid w:val="00B95CE8"/>
    <w:rsid w:val="00B96E08"/>
    <w:rsid w:val="00B975DD"/>
    <w:rsid w:val="00B97B2E"/>
    <w:rsid w:val="00BA06AE"/>
    <w:rsid w:val="00BA0F83"/>
    <w:rsid w:val="00BA12A3"/>
    <w:rsid w:val="00BA1A82"/>
    <w:rsid w:val="00BA1D01"/>
    <w:rsid w:val="00BA2AF4"/>
    <w:rsid w:val="00BA337A"/>
    <w:rsid w:val="00BA4565"/>
    <w:rsid w:val="00BA4995"/>
    <w:rsid w:val="00BA4BC7"/>
    <w:rsid w:val="00BA5F0B"/>
    <w:rsid w:val="00BA6577"/>
    <w:rsid w:val="00BA7BB1"/>
    <w:rsid w:val="00BB0203"/>
    <w:rsid w:val="00BB07CA"/>
    <w:rsid w:val="00BB0B52"/>
    <w:rsid w:val="00BB2014"/>
    <w:rsid w:val="00BB39D7"/>
    <w:rsid w:val="00BB5050"/>
    <w:rsid w:val="00BB50C9"/>
    <w:rsid w:val="00BC1914"/>
    <w:rsid w:val="00BC1C96"/>
    <w:rsid w:val="00BC3DBD"/>
    <w:rsid w:val="00BC447F"/>
    <w:rsid w:val="00BC7040"/>
    <w:rsid w:val="00BC7C73"/>
    <w:rsid w:val="00BD03B7"/>
    <w:rsid w:val="00BD04C9"/>
    <w:rsid w:val="00BD07B0"/>
    <w:rsid w:val="00BD0B8F"/>
    <w:rsid w:val="00BD0D6F"/>
    <w:rsid w:val="00BD0E90"/>
    <w:rsid w:val="00BD21E8"/>
    <w:rsid w:val="00BD2B41"/>
    <w:rsid w:val="00BD3F36"/>
    <w:rsid w:val="00BD4D8A"/>
    <w:rsid w:val="00BD52D9"/>
    <w:rsid w:val="00BD59A8"/>
    <w:rsid w:val="00BD6107"/>
    <w:rsid w:val="00BD6746"/>
    <w:rsid w:val="00BD695E"/>
    <w:rsid w:val="00BD7B4C"/>
    <w:rsid w:val="00BE02AC"/>
    <w:rsid w:val="00BE088B"/>
    <w:rsid w:val="00BE3894"/>
    <w:rsid w:val="00BE38E8"/>
    <w:rsid w:val="00BE48C7"/>
    <w:rsid w:val="00BE553E"/>
    <w:rsid w:val="00BE5E7C"/>
    <w:rsid w:val="00BE75E1"/>
    <w:rsid w:val="00BF0866"/>
    <w:rsid w:val="00BF0915"/>
    <w:rsid w:val="00BF0F7F"/>
    <w:rsid w:val="00BF119E"/>
    <w:rsid w:val="00BF2AC2"/>
    <w:rsid w:val="00BF2FF4"/>
    <w:rsid w:val="00BF376B"/>
    <w:rsid w:val="00BF53C6"/>
    <w:rsid w:val="00BF68EC"/>
    <w:rsid w:val="00BF7CA8"/>
    <w:rsid w:val="00C0004D"/>
    <w:rsid w:val="00C00383"/>
    <w:rsid w:val="00C00D2D"/>
    <w:rsid w:val="00C039A4"/>
    <w:rsid w:val="00C03F7E"/>
    <w:rsid w:val="00C047DF"/>
    <w:rsid w:val="00C0487D"/>
    <w:rsid w:val="00C04D68"/>
    <w:rsid w:val="00C058E0"/>
    <w:rsid w:val="00C05AE8"/>
    <w:rsid w:val="00C05EA1"/>
    <w:rsid w:val="00C13C44"/>
    <w:rsid w:val="00C1492F"/>
    <w:rsid w:val="00C15BD7"/>
    <w:rsid w:val="00C17BCF"/>
    <w:rsid w:val="00C2218F"/>
    <w:rsid w:val="00C225F6"/>
    <w:rsid w:val="00C2267F"/>
    <w:rsid w:val="00C22F1D"/>
    <w:rsid w:val="00C23DCD"/>
    <w:rsid w:val="00C2573C"/>
    <w:rsid w:val="00C25E51"/>
    <w:rsid w:val="00C25F70"/>
    <w:rsid w:val="00C30574"/>
    <w:rsid w:val="00C31292"/>
    <w:rsid w:val="00C33815"/>
    <w:rsid w:val="00C34758"/>
    <w:rsid w:val="00C40103"/>
    <w:rsid w:val="00C40548"/>
    <w:rsid w:val="00C41822"/>
    <w:rsid w:val="00C43CF5"/>
    <w:rsid w:val="00C50BC3"/>
    <w:rsid w:val="00C516C9"/>
    <w:rsid w:val="00C52E5F"/>
    <w:rsid w:val="00C53551"/>
    <w:rsid w:val="00C53A29"/>
    <w:rsid w:val="00C540A7"/>
    <w:rsid w:val="00C548B4"/>
    <w:rsid w:val="00C54CEC"/>
    <w:rsid w:val="00C5525B"/>
    <w:rsid w:val="00C55A3B"/>
    <w:rsid w:val="00C55B35"/>
    <w:rsid w:val="00C5684A"/>
    <w:rsid w:val="00C57114"/>
    <w:rsid w:val="00C609F2"/>
    <w:rsid w:val="00C64A8E"/>
    <w:rsid w:val="00C66100"/>
    <w:rsid w:val="00C6665B"/>
    <w:rsid w:val="00C676AB"/>
    <w:rsid w:val="00C67B09"/>
    <w:rsid w:val="00C703B6"/>
    <w:rsid w:val="00C75800"/>
    <w:rsid w:val="00C75AD5"/>
    <w:rsid w:val="00C75B2E"/>
    <w:rsid w:val="00C8358F"/>
    <w:rsid w:val="00C856EA"/>
    <w:rsid w:val="00C858E8"/>
    <w:rsid w:val="00C8656D"/>
    <w:rsid w:val="00C869EB"/>
    <w:rsid w:val="00C86D6E"/>
    <w:rsid w:val="00C87804"/>
    <w:rsid w:val="00C87E35"/>
    <w:rsid w:val="00C924CA"/>
    <w:rsid w:val="00C92E78"/>
    <w:rsid w:val="00C9680A"/>
    <w:rsid w:val="00CA0CFF"/>
    <w:rsid w:val="00CA237E"/>
    <w:rsid w:val="00CA4428"/>
    <w:rsid w:val="00CA7749"/>
    <w:rsid w:val="00CB3D18"/>
    <w:rsid w:val="00CB45B6"/>
    <w:rsid w:val="00CB4929"/>
    <w:rsid w:val="00CB5038"/>
    <w:rsid w:val="00CB612A"/>
    <w:rsid w:val="00CB62A0"/>
    <w:rsid w:val="00CB7B4B"/>
    <w:rsid w:val="00CB7C57"/>
    <w:rsid w:val="00CC24AA"/>
    <w:rsid w:val="00CC3016"/>
    <w:rsid w:val="00CC3119"/>
    <w:rsid w:val="00CC3CE6"/>
    <w:rsid w:val="00CC49BD"/>
    <w:rsid w:val="00CC4BFE"/>
    <w:rsid w:val="00CC4D04"/>
    <w:rsid w:val="00CC6251"/>
    <w:rsid w:val="00CC6815"/>
    <w:rsid w:val="00CC71BB"/>
    <w:rsid w:val="00CC7296"/>
    <w:rsid w:val="00CD0A4D"/>
    <w:rsid w:val="00CD0DD0"/>
    <w:rsid w:val="00CD13C5"/>
    <w:rsid w:val="00CD1FB7"/>
    <w:rsid w:val="00CD258D"/>
    <w:rsid w:val="00CD3B8C"/>
    <w:rsid w:val="00CD3C24"/>
    <w:rsid w:val="00CD4E22"/>
    <w:rsid w:val="00CD4EEC"/>
    <w:rsid w:val="00CD52BF"/>
    <w:rsid w:val="00CD568B"/>
    <w:rsid w:val="00CD5E40"/>
    <w:rsid w:val="00CD7021"/>
    <w:rsid w:val="00CD7A76"/>
    <w:rsid w:val="00CE0459"/>
    <w:rsid w:val="00CE0BCA"/>
    <w:rsid w:val="00CE0E28"/>
    <w:rsid w:val="00CE3992"/>
    <w:rsid w:val="00CE60B3"/>
    <w:rsid w:val="00CE621C"/>
    <w:rsid w:val="00CE6927"/>
    <w:rsid w:val="00CE6D1D"/>
    <w:rsid w:val="00CE7F9E"/>
    <w:rsid w:val="00CF0B97"/>
    <w:rsid w:val="00CF102F"/>
    <w:rsid w:val="00CF1147"/>
    <w:rsid w:val="00CF1356"/>
    <w:rsid w:val="00CF1CC8"/>
    <w:rsid w:val="00CF2AEF"/>
    <w:rsid w:val="00CF4590"/>
    <w:rsid w:val="00CF5F22"/>
    <w:rsid w:val="00CF7482"/>
    <w:rsid w:val="00CF7FD2"/>
    <w:rsid w:val="00D001F5"/>
    <w:rsid w:val="00D0045D"/>
    <w:rsid w:val="00D00A01"/>
    <w:rsid w:val="00D01455"/>
    <w:rsid w:val="00D02585"/>
    <w:rsid w:val="00D025B2"/>
    <w:rsid w:val="00D03DE3"/>
    <w:rsid w:val="00D0570A"/>
    <w:rsid w:val="00D05BFC"/>
    <w:rsid w:val="00D06AE0"/>
    <w:rsid w:val="00D06B47"/>
    <w:rsid w:val="00D077B1"/>
    <w:rsid w:val="00D07F22"/>
    <w:rsid w:val="00D1026A"/>
    <w:rsid w:val="00D10AA0"/>
    <w:rsid w:val="00D11271"/>
    <w:rsid w:val="00D11BDB"/>
    <w:rsid w:val="00D13116"/>
    <w:rsid w:val="00D14D76"/>
    <w:rsid w:val="00D15B91"/>
    <w:rsid w:val="00D20CF1"/>
    <w:rsid w:val="00D20E86"/>
    <w:rsid w:val="00D20FE2"/>
    <w:rsid w:val="00D22E6A"/>
    <w:rsid w:val="00D2401E"/>
    <w:rsid w:val="00D3051A"/>
    <w:rsid w:val="00D3130F"/>
    <w:rsid w:val="00D315B8"/>
    <w:rsid w:val="00D3160C"/>
    <w:rsid w:val="00D31D62"/>
    <w:rsid w:val="00D34A71"/>
    <w:rsid w:val="00D34C8B"/>
    <w:rsid w:val="00D35455"/>
    <w:rsid w:val="00D35474"/>
    <w:rsid w:val="00D35651"/>
    <w:rsid w:val="00D36708"/>
    <w:rsid w:val="00D36D2D"/>
    <w:rsid w:val="00D37F13"/>
    <w:rsid w:val="00D40966"/>
    <w:rsid w:val="00D417B8"/>
    <w:rsid w:val="00D41B15"/>
    <w:rsid w:val="00D424F8"/>
    <w:rsid w:val="00D43772"/>
    <w:rsid w:val="00D437E2"/>
    <w:rsid w:val="00D441C8"/>
    <w:rsid w:val="00D4432C"/>
    <w:rsid w:val="00D515F2"/>
    <w:rsid w:val="00D55570"/>
    <w:rsid w:val="00D5634F"/>
    <w:rsid w:val="00D563D6"/>
    <w:rsid w:val="00D566CA"/>
    <w:rsid w:val="00D653D7"/>
    <w:rsid w:val="00D716FA"/>
    <w:rsid w:val="00D71A80"/>
    <w:rsid w:val="00D72A1E"/>
    <w:rsid w:val="00D73E52"/>
    <w:rsid w:val="00D74E9E"/>
    <w:rsid w:val="00D75E27"/>
    <w:rsid w:val="00D7612E"/>
    <w:rsid w:val="00D76958"/>
    <w:rsid w:val="00D772A8"/>
    <w:rsid w:val="00D77517"/>
    <w:rsid w:val="00D8374F"/>
    <w:rsid w:val="00D85CFB"/>
    <w:rsid w:val="00D877D3"/>
    <w:rsid w:val="00D87EE0"/>
    <w:rsid w:val="00D9034B"/>
    <w:rsid w:val="00D90996"/>
    <w:rsid w:val="00D93FDD"/>
    <w:rsid w:val="00D94E63"/>
    <w:rsid w:val="00D96883"/>
    <w:rsid w:val="00D96DFA"/>
    <w:rsid w:val="00DA00F5"/>
    <w:rsid w:val="00DA2115"/>
    <w:rsid w:val="00DA2931"/>
    <w:rsid w:val="00DA2E1D"/>
    <w:rsid w:val="00DA4E3C"/>
    <w:rsid w:val="00DA7383"/>
    <w:rsid w:val="00DB1CF7"/>
    <w:rsid w:val="00DB24C5"/>
    <w:rsid w:val="00DB3B2D"/>
    <w:rsid w:val="00DB680A"/>
    <w:rsid w:val="00DC2268"/>
    <w:rsid w:val="00DC320B"/>
    <w:rsid w:val="00DC50DA"/>
    <w:rsid w:val="00DC6952"/>
    <w:rsid w:val="00DC7DC8"/>
    <w:rsid w:val="00DD02E6"/>
    <w:rsid w:val="00DD179B"/>
    <w:rsid w:val="00DD1E22"/>
    <w:rsid w:val="00DD3031"/>
    <w:rsid w:val="00DD3AA1"/>
    <w:rsid w:val="00DD6485"/>
    <w:rsid w:val="00DD7283"/>
    <w:rsid w:val="00DD79FB"/>
    <w:rsid w:val="00DE0F8A"/>
    <w:rsid w:val="00DE2C5F"/>
    <w:rsid w:val="00DE34C2"/>
    <w:rsid w:val="00DE4B48"/>
    <w:rsid w:val="00DE5207"/>
    <w:rsid w:val="00DE61FA"/>
    <w:rsid w:val="00DE669E"/>
    <w:rsid w:val="00DF1068"/>
    <w:rsid w:val="00DF108C"/>
    <w:rsid w:val="00DF24E2"/>
    <w:rsid w:val="00DF2A4A"/>
    <w:rsid w:val="00DF2D1F"/>
    <w:rsid w:val="00DF2D6C"/>
    <w:rsid w:val="00DF35EA"/>
    <w:rsid w:val="00DF39D3"/>
    <w:rsid w:val="00DF590D"/>
    <w:rsid w:val="00DF70ED"/>
    <w:rsid w:val="00DF7463"/>
    <w:rsid w:val="00DF7FAE"/>
    <w:rsid w:val="00E01C0A"/>
    <w:rsid w:val="00E03007"/>
    <w:rsid w:val="00E04C5E"/>
    <w:rsid w:val="00E05650"/>
    <w:rsid w:val="00E05FA8"/>
    <w:rsid w:val="00E10AD0"/>
    <w:rsid w:val="00E10F39"/>
    <w:rsid w:val="00E10F91"/>
    <w:rsid w:val="00E10FA4"/>
    <w:rsid w:val="00E13011"/>
    <w:rsid w:val="00E13A78"/>
    <w:rsid w:val="00E14F15"/>
    <w:rsid w:val="00E1754D"/>
    <w:rsid w:val="00E177E0"/>
    <w:rsid w:val="00E200B2"/>
    <w:rsid w:val="00E203D5"/>
    <w:rsid w:val="00E22074"/>
    <w:rsid w:val="00E22447"/>
    <w:rsid w:val="00E2295C"/>
    <w:rsid w:val="00E23A06"/>
    <w:rsid w:val="00E23AA1"/>
    <w:rsid w:val="00E24956"/>
    <w:rsid w:val="00E24A5B"/>
    <w:rsid w:val="00E2527C"/>
    <w:rsid w:val="00E2536A"/>
    <w:rsid w:val="00E260AB"/>
    <w:rsid w:val="00E26F2A"/>
    <w:rsid w:val="00E30218"/>
    <w:rsid w:val="00E31200"/>
    <w:rsid w:val="00E31371"/>
    <w:rsid w:val="00E31675"/>
    <w:rsid w:val="00E31697"/>
    <w:rsid w:val="00E31FD1"/>
    <w:rsid w:val="00E32D72"/>
    <w:rsid w:val="00E33428"/>
    <w:rsid w:val="00E33437"/>
    <w:rsid w:val="00E33DE1"/>
    <w:rsid w:val="00E349D0"/>
    <w:rsid w:val="00E36614"/>
    <w:rsid w:val="00E36EEF"/>
    <w:rsid w:val="00E3729D"/>
    <w:rsid w:val="00E3776D"/>
    <w:rsid w:val="00E400B2"/>
    <w:rsid w:val="00E420BF"/>
    <w:rsid w:val="00E43087"/>
    <w:rsid w:val="00E4388B"/>
    <w:rsid w:val="00E46FEF"/>
    <w:rsid w:val="00E4747A"/>
    <w:rsid w:val="00E514E1"/>
    <w:rsid w:val="00E52870"/>
    <w:rsid w:val="00E529CA"/>
    <w:rsid w:val="00E5311C"/>
    <w:rsid w:val="00E543E0"/>
    <w:rsid w:val="00E54AED"/>
    <w:rsid w:val="00E55D27"/>
    <w:rsid w:val="00E56D4D"/>
    <w:rsid w:val="00E56E79"/>
    <w:rsid w:val="00E5767F"/>
    <w:rsid w:val="00E6152E"/>
    <w:rsid w:val="00E63A19"/>
    <w:rsid w:val="00E6553D"/>
    <w:rsid w:val="00E66C35"/>
    <w:rsid w:val="00E66EFF"/>
    <w:rsid w:val="00E67316"/>
    <w:rsid w:val="00E710DE"/>
    <w:rsid w:val="00E71819"/>
    <w:rsid w:val="00E72A97"/>
    <w:rsid w:val="00E73AC6"/>
    <w:rsid w:val="00E80373"/>
    <w:rsid w:val="00E8076D"/>
    <w:rsid w:val="00E8092D"/>
    <w:rsid w:val="00E80DA0"/>
    <w:rsid w:val="00E83780"/>
    <w:rsid w:val="00E84A25"/>
    <w:rsid w:val="00E874B0"/>
    <w:rsid w:val="00E91FA0"/>
    <w:rsid w:val="00E937F3"/>
    <w:rsid w:val="00E94B78"/>
    <w:rsid w:val="00E94BA7"/>
    <w:rsid w:val="00E96169"/>
    <w:rsid w:val="00E96E50"/>
    <w:rsid w:val="00E97724"/>
    <w:rsid w:val="00E97CFB"/>
    <w:rsid w:val="00EA09AB"/>
    <w:rsid w:val="00EA1760"/>
    <w:rsid w:val="00EA18AC"/>
    <w:rsid w:val="00EA29C9"/>
    <w:rsid w:val="00EA2F06"/>
    <w:rsid w:val="00EA318B"/>
    <w:rsid w:val="00EA34E1"/>
    <w:rsid w:val="00EA40EE"/>
    <w:rsid w:val="00EA44F9"/>
    <w:rsid w:val="00EA5549"/>
    <w:rsid w:val="00EA703C"/>
    <w:rsid w:val="00EA756E"/>
    <w:rsid w:val="00EB0B36"/>
    <w:rsid w:val="00EB39C9"/>
    <w:rsid w:val="00EB4A3A"/>
    <w:rsid w:val="00EB4AC4"/>
    <w:rsid w:val="00EB6E92"/>
    <w:rsid w:val="00EB7427"/>
    <w:rsid w:val="00EC0C2F"/>
    <w:rsid w:val="00EC1DA2"/>
    <w:rsid w:val="00EC241A"/>
    <w:rsid w:val="00EC3278"/>
    <w:rsid w:val="00EC3A3A"/>
    <w:rsid w:val="00EC46C4"/>
    <w:rsid w:val="00ED0B0D"/>
    <w:rsid w:val="00ED10C0"/>
    <w:rsid w:val="00ED3668"/>
    <w:rsid w:val="00ED54F4"/>
    <w:rsid w:val="00ED5655"/>
    <w:rsid w:val="00ED5F7C"/>
    <w:rsid w:val="00EE229B"/>
    <w:rsid w:val="00EE2613"/>
    <w:rsid w:val="00EE2A7C"/>
    <w:rsid w:val="00EE3BA4"/>
    <w:rsid w:val="00EE4FA8"/>
    <w:rsid w:val="00EE60B6"/>
    <w:rsid w:val="00EF02E1"/>
    <w:rsid w:val="00EF0659"/>
    <w:rsid w:val="00EF19BD"/>
    <w:rsid w:val="00EF291D"/>
    <w:rsid w:val="00EF313B"/>
    <w:rsid w:val="00EF675A"/>
    <w:rsid w:val="00EF67CE"/>
    <w:rsid w:val="00EF79C0"/>
    <w:rsid w:val="00EF7D74"/>
    <w:rsid w:val="00F029A1"/>
    <w:rsid w:val="00F02BE6"/>
    <w:rsid w:val="00F03E2B"/>
    <w:rsid w:val="00F05E47"/>
    <w:rsid w:val="00F06044"/>
    <w:rsid w:val="00F06FC1"/>
    <w:rsid w:val="00F10753"/>
    <w:rsid w:val="00F10902"/>
    <w:rsid w:val="00F10E75"/>
    <w:rsid w:val="00F11A3A"/>
    <w:rsid w:val="00F14F23"/>
    <w:rsid w:val="00F1524D"/>
    <w:rsid w:val="00F154BF"/>
    <w:rsid w:val="00F20CD7"/>
    <w:rsid w:val="00F21992"/>
    <w:rsid w:val="00F21EED"/>
    <w:rsid w:val="00F22E4C"/>
    <w:rsid w:val="00F233C7"/>
    <w:rsid w:val="00F23E51"/>
    <w:rsid w:val="00F2488E"/>
    <w:rsid w:val="00F24C8C"/>
    <w:rsid w:val="00F24E41"/>
    <w:rsid w:val="00F25A88"/>
    <w:rsid w:val="00F25D1D"/>
    <w:rsid w:val="00F26040"/>
    <w:rsid w:val="00F27763"/>
    <w:rsid w:val="00F3029C"/>
    <w:rsid w:val="00F31E4E"/>
    <w:rsid w:val="00F33979"/>
    <w:rsid w:val="00F33FBA"/>
    <w:rsid w:val="00F41FBB"/>
    <w:rsid w:val="00F42ECC"/>
    <w:rsid w:val="00F45B1C"/>
    <w:rsid w:val="00F463C2"/>
    <w:rsid w:val="00F46B75"/>
    <w:rsid w:val="00F475E1"/>
    <w:rsid w:val="00F5103C"/>
    <w:rsid w:val="00F5136D"/>
    <w:rsid w:val="00F54BDC"/>
    <w:rsid w:val="00F54E67"/>
    <w:rsid w:val="00F555B4"/>
    <w:rsid w:val="00F56ED6"/>
    <w:rsid w:val="00F57BD5"/>
    <w:rsid w:val="00F60923"/>
    <w:rsid w:val="00F60D40"/>
    <w:rsid w:val="00F61E3E"/>
    <w:rsid w:val="00F62A14"/>
    <w:rsid w:val="00F6360F"/>
    <w:rsid w:val="00F6460B"/>
    <w:rsid w:val="00F64C03"/>
    <w:rsid w:val="00F65DE0"/>
    <w:rsid w:val="00F6687E"/>
    <w:rsid w:val="00F671F5"/>
    <w:rsid w:val="00F74007"/>
    <w:rsid w:val="00F74F11"/>
    <w:rsid w:val="00F75866"/>
    <w:rsid w:val="00F75AD1"/>
    <w:rsid w:val="00F765E9"/>
    <w:rsid w:val="00F77B46"/>
    <w:rsid w:val="00F77DE7"/>
    <w:rsid w:val="00F813E6"/>
    <w:rsid w:val="00F81CEA"/>
    <w:rsid w:val="00F81FF0"/>
    <w:rsid w:val="00F83D8E"/>
    <w:rsid w:val="00F84137"/>
    <w:rsid w:val="00F8509B"/>
    <w:rsid w:val="00F85511"/>
    <w:rsid w:val="00F86CB7"/>
    <w:rsid w:val="00F91464"/>
    <w:rsid w:val="00F91FF8"/>
    <w:rsid w:val="00F9250A"/>
    <w:rsid w:val="00F93DB8"/>
    <w:rsid w:val="00F94E34"/>
    <w:rsid w:val="00F96196"/>
    <w:rsid w:val="00F961EC"/>
    <w:rsid w:val="00F97C7D"/>
    <w:rsid w:val="00FA0C79"/>
    <w:rsid w:val="00FA0DB7"/>
    <w:rsid w:val="00FA1D86"/>
    <w:rsid w:val="00FA1EB4"/>
    <w:rsid w:val="00FA1F20"/>
    <w:rsid w:val="00FA2E8D"/>
    <w:rsid w:val="00FA2EC8"/>
    <w:rsid w:val="00FA34A2"/>
    <w:rsid w:val="00FA487C"/>
    <w:rsid w:val="00FA4ECA"/>
    <w:rsid w:val="00FA5ABC"/>
    <w:rsid w:val="00FA61B8"/>
    <w:rsid w:val="00FA670E"/>
    <w:rsid w:val="00FA75F8"/>
    <w:rsid w:val="00FA7A99"/>
    <w:rsid w:val="00FB0451"/>
    <w:rsid w:val="00FB05B6"/>
    <w:rsid w:val="00FB3052"/>
    <w:rsid w:val="00FB316E"/>
    <w:rsid w:val="00FB31F0"/>
    <w:rsid w:val="00FB3B8F"/>
    <w:rsid w:val="00FB3F56"/>
    <w:rsid w:val="00FB5708"/>
    <w:rsid w:val="00FB607E"/>
    <w:rsid w:val="00FB7213"/>
    <w:rsid w:val="00FB7511"/>
    <w:rsid w:val="00FB7AC7"/>
    <w:rsid w:val="00FC066A"/>
    <w:rsid w:val="00FC1225"/>
    <w:rsid w:val="00FC309C"/>
    <w:rsid w:val="00FC3A9B"/>
    <w:rsid w:val="00FC400A"/>
    <w:rsid w:val="00FC4220"/>
    <w:rsid w:val="00FC704E"/>
    <w:rsid w:val="00FD0B3D"/>
    <w:rsid w:val="00FD105B"/>
    <w:rsid w:val="00FD1876"/>
    <w:rsid w:val="00FD24F1"/>
    <w:rsid w:val="00FD27F0"/>
    <w:rsid w:val="00FD3710"/>
    <w:rsid w:val="00FD6E06"/>
    <w:rsid w:val="00FE01D9"/>
    <w:rsid w:val="00FE0707"/>
    <w:rsid w:val="00FE0EEE"/>
    <w:rsid w:val="00FE1572"/>
    <w:rsid w:val="00FE357E"/>
    <w:rsid w:val="00FE3C82"/>
    <w:rsid w:val="00FE4116"/>
    <w:rsid w:val="00FF08F5"/>
    <w:rsid w:val="00FF11CB"/>
    <w:rsid w:val="00FF2271"/>
    <w:rsid w:val="00FF346A"/>
    <w:rsid w:val="00FF4718"/>
    <w:rsid w:val="00FF491F"/>
    <w:rsid w:val="00FF6674"/>
    <w:rsid w:val="00FF6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6193"/>
    <o:shapelayout v:ext="edit">
      <o:idmap v:ext="edit" data="1"/>
    </o:shapelayout>
  </w:shapeDefaults>
  <w:decimalSymbol w:val="."/>
  <w:listSeparator w:val=","/>
  <w15:docId w15:val="{FE156515-D346-4935-BD97-7CB493939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C82"/>
    <w:rPr>
      <w:rFonts w:ascii="Arial" w:hAnsi="Arial"/>
      <w:sz w:val="24"/>
      <w:szCs w:val="24"/>
    </w:rPr>
  </w:style>
  <w:style w:type="paragraph" w:styleId="Heading1">
    <w:name w:val="heading 1"/>
    <w:basedOn w:val="Normal"/>
    <w:next w:val="Normal"/>
    <w:qFormat/>
    <w:rsid w:val="00FE3C82"/>
    <w:pPr>
      <w:autoSpaceDE w:val="0"/>
      <w:autoSpaceDN w:val="0"/>
      <w:adjustRightInd w:val="0"/>
      <w:outlineLvl w:val="0"/>
    </w:pPr>
  </w:style>
  <w:style w:type="paragraph" w:styleId="Heading2">
    <w:name w:val="heading 2"/>
    <w:basedOn w:val="Normal"/>
    <w:next w:val="Normal"/>
    <w:link w:val="Heading2Char"/>
    <w:semiHidden/>
    <w:unhideWhenUsed/>
    <w:qFormat/>
    <w:rsid w:val="00C225F6"/>
    <w:pPr>
      <w:keepNext/>
      <w:spacing w:before="240" w:after="60"/>
      <w:outlineLvl w:val="1"/>
    </w:pPr>
    <w:rPr>
      <w:rFonts w:ascii="Cambria" w:hAnsi="Cambria"/>
      <w:b/>
      <w:bCs/>
      <w:i/>
      <w:iCs/>
      <w:sz w:val="28"/>
      <w:szCs w:val="28"/>
    </w:rPr>
  </w:style>
  <w:style w:type="paragraph" w:styleId="Heading3">
    <w:name w:val="heading 3"/>
    <w:basedOn w:val="Normal"/>
    <w:next w:val="Normal"/>
    <w:qFormat/>
    <w:rsid w:val="00FE3C82"/>
    <w:pPr>
      <w:autoSpaceDE w:val="0"/>
      <w:autoSpaceDN w:val="0"/>
      <w:adjustRightInd w:val="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D94E63"/>
    <w:rPr>
      <w:lang w:eastAsia="en-US"/>
    </w:rPr>
  </w:style>
  <w:style w:type="paragraph" w:customStyle="1" w:styleId="Body1">
    <w:name w:val="Body 1"/>
    <w:rsid w:val="00FE3C82"/>
    <w:pPr>
      <w:outlineLvl w:val="0"/>
    </w:pPr>
    <w:rPr>
      <w:rFonts w:ascii="Arial" w:eastAsia="Arial Unicode MS" w:hAnsi="Arial"/>
      <w:color w:val="000000"/>
      <w:sz w:val="24"/>
      <w:u w:color="000000"/>
      <w:lang w:eastAsia="en-US"/>
    </w:rPr>
  </w:style>
  <w:style w:type="paragraph" w:styleId="Header">
    <w:name w:val="header"/>
    <w:basedOn w:val="Normal"/>
    <w:link w:val="HeaderChar"/>
    <w:uiPriority w:val="99"/>
    <w:rsid w:val="00FE3C82"/>
    <w:pPr>
      <w:tabs>
        <w:tab w:val="center" w:pos="4153"/>
        <w:tab w:val="right" w:pos="8306"/>
      </w:tabs>
    </w:pPr>
  </w:style>
  <w:style w:type="paragraph" w:styleId="Footer">
    <w:name w:val="footer"/>
    <w:basedOn w:val="Normal"/>
    <w:link w:val="FooterChar"/>
    <w:uiPriority w:val="99"/>
    <w:rsid w:val="00FE3C82"/>
    <w:pPr>
      <w:tabs>
        <w:tab w:val="center" w:pos="4153"/>
        <w:tab w:val="right" w:pos="8306"/>
      </w:tabs>
    </w:pPr>
  </w:style>
  <w:style w:type="character" w:styleId="PageNumber">
    <w:name w:val="page number"/>
    <w:basedOn w:val="DefaultParagraphFont"/>
    <w:rsid w:val="00FE3C82"/>
  </w:style>
  <w:style w:type="character" w:styleId="Hyperlink">
    <w:name w:val="Hyperlink"/>
    <w:uiPriority w:val="99"/>
    <w:rsid w:val="00FE3C82"/>
    <w:rPr>
      <w:color w:val="0000FF"/>
      <w:u w:val="single"/>
    </w:rPr>
  </w:style>
  <w:style w:type="paragraph" w:styleId="NormalWeb">
    <w:name w:val="Normal (Web)"/>
    <w:basedOn w:val="Normal"/>
    <w:uiPriority w:val="99"/>
    <w:rsid w:val="00FE3C82"/>
    <w:pPr>
      <w:spacing w:before="100" w:beforeAutospacing="1" w:after="100" w:afterAutospacing="1"/>
    </w:pPr>
    <w:rPr>
      <w:rFonts w:ascii="Times New Roman" w:hAnsi="Times New Roman"/>
    </w:rPr>
  </w:style>
  <w:style w:type="character" w:styleId="Emphasis">
    <w:name w:val="Emphasis"/>
    <w:qFormat/>
    <w:rsid w:val="00FE3C82"/>
    <w:rPr>
      <w:i/>
      <w:iCs/>
    </w:rPr>
  </w:style>
  <w:style w:type="paragraph" w:customStyle="1" w:styleId="Footer1">
    <w:name w:val="Footer1"/>
    <w:basedOn w:val="Normal"/>
    <w:rsid w:val="00FE3C82"/>
    <w:pPr>
      <w:spacing w:before="100" w:beforeAutospacing="1" w:after="100" w:afterAutospacing="1"/>
    </w:pPr>
    <w:rPr>
      <w:rFonts w:ascii="Times New Roman" w:hAnsi="Times New Roman"/>
    </w:rPr>
  </w:style>
  <w:style w:type="character" w:styleId="Strong">
    <w:name w:val="Strong"/>
    <w:qFormat/>
    <w:rsid w:val="00FE3C82"/>
    <w:rPr>
      <w:b/>
      <w:bCs/>
    </w:rPr>
  </w:style>
  <w:style w:type="paragraph" w:styleId="BodyText">
    <w:name w:val="Body Text"/>
    <w:basedOn w:val="Normal"/>
    <w:link w:val="BodyTextChar"/>
    <w:uiPriority w:val="99"/>
    <w:rsid w:val="00FE3C82"/>
    <w:pPr>
      <w:spacing w:after="120"/>
    </w:pPr>
  </w:style>
  <w:style w:type="paragraph" w:styleId="BalloonText">
    <w:name w:val="Balloon Text"/>
    <w:basedOn w:val="Normal"/>
    <w:link w:val="BalloonTextChar"/>
    <w:uiPriority w:val="99"/>
    <w:semiHidden/>
    <w:rsid w:val="00952AE1"/>
    <w:rPr>
      <w:rFonts w:ascii="Tahoma" w:hAnsi="Tahoma" w:cs="Tahoma"/>
      <w:sz w:val="16"/>
      <w:szCs w:val="16"/>
    </w:rPr>
  </w:style>
  <w:style w:type="table" w:styleId="TableGrid">
    <w:name w:val="Table Grid"/>
    <w:basedOn w:val="TableNormal"/>
    <w:rsid w:val="00843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1BFD"/>
    <w:pPr>
      <w:ind w:left="720"/>
      <w:contextualSpacing/>
    </w:pPr>
  </w:style>
  <w:style w:type="numbering" w:customStyle="1" w:styleId="NoList1">
    <w:name w:val="No List1"/>
    <w:next w:val="NoList"/>
    <w:uiPriority w:val="99"/>
    <w:semiHidden/>
    <w:unhideWhenUsed/>
    <w:rsid w:val="005D5FC1"/>
  </w:style>
  <w:style w:type="character" w:customStyle="1" w:styleId="BodyTextChar">
    <w:name w:val="Body Text Char"/>
    <w:link w:val="BodyText"/>
    <w:uiPriority w:val="99"/>
    <w:rsid w:val="005D5FC1"/>
    <w:rPr>
      <w:rFonts w:ascii="Arial" w:hAnsi="Arial"/>
      <w:sz w:val="24"/>
      <w:szCs w:val="24"/>
    </w:rPr>
  </w:style>
  <w:style w:type="character" w:customStyle="1" w:styleId="BalloonTextChar">
    <w:name w:val="Balloon Text Char"/>
    <w:link w:val="BalloonText"/>
    <w:uiPriority w:val="99"/>
    <w:semiHidden/>
    <w:rsid w:val="005D5FC1"/>
    <w:rPr>
      <w:rFonts w:ascii="Tahoma" w:hAnsi="Tahoma" w:cs="Tahoma"/>
      <w:sz w:val="16"/>
      <w:szCs w:val="16"/>
    </w:rPr>
  </w:style>
  <w:style w:type="character" w:customStyle="1" w:styleId="HeaderChar">
    <w:name w:val="Header Char"/>
    <w:link w:val="Header"/>
    <w:uiPriority w:val="99"/>
    <w:rsid w:val="005D5FC1"/>
    <w:rPr>
      <w:rFonts w:ascii="Arial" w:hAnsi="Arial"/>
      <w:sz w:val="24"/>
      <w:szCs w:val="24"/>
    </w:rPr>
  </w:style>
  <w:style w:type="character" w:customStyle="1" w:styleId="FooterChar">
    <w:name w:val="Footer Char"/>
    <w:link w:val="Footer"/>
    <w:uiPriority w:val="99"/>
    <w:rsid w:val="005D5FC1"/>
    <w:rPr>
      <w:rFonts w:ascii="Arial" w:hAnsi="Arial"/>
      <w:sz w:val="24"/>
      <w:szCs w:val="24"/>
    </w:rPr>
  </w:style>
  <w:style w:type="paragraph" w:styleId="Revision">
    <w:name w:val="Revision"/>
    <w:hidden/>
    <w:uiPriority w:val="99"/>
    <w:semiHidden/>
    <w:rsid w:val="005D5FC1"/>
    <w:rPr>
      <w:rFonts w:ascii="Calibri" w:eastAsia="Calibri" w:hAnsi="Calibri"/>
      <w:sz w:val="22"/>
      <w:szCs w:val="22"/>
      <w:lang w:eastAsia="en-US"/>
    </w:rPr>
  </w:style>
  <w:style w:type="character" w:customStyle="1" w:styleId="Heading2Char">
    <w:name w:val="Heading 2 Char"/>
    <w:link w:val="Heading2"/>
    <w:semiHidden/>
    <w:rsid w:val="00C225F6"/>
    <w:rPr>
      <w:rFonts w:ascii="Cambria" w:eastAsia="Times New Roman" w:hAnsi="Cambria" w:cs="Times New Roman"/>
      <w:b/>
      <w:bCs/>
      <w:i/>
      <w:iCs/>
      <w:sz w:val="28"/>
      <w:szCs w:val="28"/>
    </w:rPr>
  </w:style>
  <w:style w:type="paragraph" w:customStyle="1" w:styleId="BodytextAfterTables">
    <w:name w:val="Bodytext After Tables"/>
    <w:basedOn w:val="Normal"/>
    <w:rsid w:val="00C225F6"/>
    <w:pPr>
      <w:spacing w:before="200" w:after="100" w:line="200" w:lineRule="exact"/>
    </w:pPr>
    <w:rPr>
      <w:spacing w:val="-4"/>
      <w:sz w:val="16"/>
      <w:szCs w:val="20"/>
    </w:rPr>
  </w:style>
  <w:style w:type="paragraph" w:customStyle="1" w:styleId="Default">
    <w:name w:val="Default"/>
    <w:basedOn w:val="Normal"/>
    <w:rsid w:val="003F2A3B"/>
    <w:pPr>
      <w:autoSpaceDE w:val="0"/>
      <w:autoSpaceDN w:val="0"/>
    </w:pPr>
    <w:rPr>
      <w:rFonts w:eastAsia="Calibri"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23244">
      <w:bodyDiv w:val="1"/>
      <w:marLeft w:val="0"/>
      <w:marRight w:val="0"/>
      <w:marTop w:val="0"/>
      <w:marBottom w:val="0"/>
      <w:divBdr>
        <w:top w:val="none" w:sz="0" w:space="0" w:color="auto"/>
        <w:left w:val="none" w:sz="0" w:space="0" w:color="auto"/>
        <w:bottom w:val="none" w:sz="0" w:space="0" w:color="auto"/>
        <w:right w:val="none" w:sz="0" w:space="0" w:color="auto"/>
      </w:divBdr>
    </w:div>
    <w:div w:id="74134992">
      <w:bodyDiv w:val="1"/>
      <w:marLeft w:val="0"/>
      <w:marRight w:val="0"/>
      <w:marTop w:val="0"/>
      <w:marBottom w:val="0"/>
      <w:divBdr>
        <w:top w:val="none" w:sz="0" w:space="0" w:color="auto"/>
        <w:left w:val="none" w:sz="0" w:space="0" w:color="auto"/>
        <w:bottom w:val="none" w:sz="0" w:space="0" w:color="auto"/>
        <w:right w:val="none" w:sz="0" w:space="0" w:color="auto"/>
      </w:divBdr>
    </w:div>
    <w:div w:id="177700359">
      <w:bodyDiv w:val="1"/>
      <w:marLeft w:val="0"/>
      <w:marRight w:val="0"/>
      <w:marTop w:val="0"/>
      <w:marBottom w:val="0"/>
      <w:divBdr>
        <w:top w:val="none" w:sz="0" w:space="0" w:color="auto"/>
        <w:left w:val="none" w:sz="0" w:space="0" w:color="auto"/>
        <w:bottom w:val="none" w:sz="0" w:space="0" w:color="auto"/>
        <w:right w:val="none" w:sz="0" w:space="0" w:color="auto"/>
      </w:divBdr>
    </w:div>
    <w:div w:id="224419159">
      <w:bodyDiv w:val="1"/>
      <w:marLeft w:val="0"/>
      <w:marRight w:val="0"/>
      <w:marTop w:val="0"/>
      <w:marBottom w:val="0"/>
      <w:divBdr>
        <w:top w:val="none" w:sz="0" w:space="0" w:color="auto"/>
        <w:left w:val="none" w:sz="0" w:space="0" w:color="auto"/>
        <w:bottom w:val="none" w:sz="0" w:space="0" w:color="auto"/>
        <w:right w:val="none" w:sz="0" w:space="0" w:color="auto"/>
      </w:divBdr>
    </w:div>
    <w:div w:id="290209094">
      <w:bodyDiv w:val="1"/>
      <w:marLeft w:val="0"/>
      <w:marRight w:val="0"/>
      <w:marTop w:val="0"/>
      <w:marBottom w:val="0"/>
      <w:divBdr>
        <w:top w:val="none" w:sz="0" w:space="0" w:color="auto"/>
        <w:left w:val="none" w:sz="0" w:space="0" w:color="auto"/>
        <w:bottom w:val="none" w:sz="0" w:space="0" w:color="auto"/>
        <w:right w:val="none" w:sz="0" w:space="0" w:color="auto"/>
      </w:divBdr>
    </w:div>
    <w:div w:id="372997811">
      <w:bodyDiv w:val="1"/>
      <w:marLeft w:val="0"/>
      <w:marRight w:val="0"/>
      <w:marTop w:val="0"/>
      <w:marBottom w:val="0"/>
      <w:divBdr>
        <w:top w:val="none" w:sz="0" w:space="0" w:color="auto"/>
        <w:left w:val="none" w:sz="0" w:space="0" w:color="auto"/>
        <w:bottom w:val="none" w:sz="0" w:space="0" w:color="auto"/>
        <w:right w:val="none" w:sz="0" w:space="0" w:color="auto"/>
      </w:divBdr>
    </w:div>
    <w:div w:id="429087025">
      <w:bodyDiv w:val="1"/>
      <w:marLeft w:val="0"/>
      <w:marRight w:val="0"/>
      <w:marTop w:val="0"/>
      <w:marBottom w:val="0"/>
      <w:divBdr>
        <w:top w:val="none" w:sz="0" w:space="0" w:color="auto"/>
        <w:left w:val="none" w:sz="0" w:space="0" w:color="auto"/>
        <w:bottom w:val="none" w:sz="0" w:space="0" w:color="auto"/>
        <w:right w:val="none" w:sz="0" w:space="0" w:color="auto"/>
      </w:divBdr>
    </w:div>
    <w:div w:id="450395241">
      <w:bodyDiv w:val="1"/>
      <w:marLeft w:val="0"/>
      <w:marRight w:val="0"/>
      <w:marTop w:val="0"/>
      <w:marBottom w:val="0"/>
      <w:divBdr>
        <w:top w:val="none" w:sz="0" w:space="0" w:color="auto"/>
        <w:left w:val="none" w:sz="0" w:space="0" w:color="auto"/>
        <w:bottom w:val="none" w:sz="0" w:space="0" w:color="auto"/>
        <w:right w:val="none" w:sz="0" w:space="0" w:color="auto"/>
      </w:divBdr>
    </w:div>
    <w:div w:id="485511999">
      <w:bodyDiv w:val="1"/>
      <w:marLeft w:val="0"/>
      <w:marRight w:val="0"/>
      <w:marTop w:val="0"/>
      <w:marBottom w:val="0"/>
      <w:divBdr>
        <w:top w:val="none" w:sz="0" w:space="0" w:color="auto"/>
        <w:left w:val="none" w:sz="0" w:space="0" w:color="auto"/>
        <w:bottom w:val="none" w:sz="0" w:space="0" w:color="auto"/>
        <w:right w:val="none" w:sz="0" w:space="0" w:color="auto"/>
      </w:divBdr>
    </w:div>
    <w:div w:id="556820951">
      <w:bodyDiv w:val="1"/>
      <w:marLeft w:val="0"/>
      <w:marRight w:val="0"/>
      <w:marTop w:val="0"/>
      <w:marBottom w:val="0"/>
      <w:divBdr>
        <w:top w:val="none" w:sz="0" w:space="0" w:color="auto"/>
        <w:left w:val="none" w:sz="0" w:space="0" w:color="auto"/>
        <w:bottom w:val="none" w:sz="0" w:space="0" w:color="auto"/>
        <w:right w:val="none" w:sz="0" w:space="0" w:color="auto"/>
      </w:divBdr>
    </w:div>
    <w:div w:id="713240029">
      <w:bodyDiv w:val="1"/>
      <w:marLeft w:val="0"/>
      <w:marRight w:val="0"/>
      <w:marTop w:val="0"/>
      <w:marBottom w:val="0"/>
      <w:divBdr>
        <w:top w:val="none" w:sz="0" w:space="0" w:color="auto"/>
        <w:left w:val="none" w:sz="0" w:space="0" w:color="auto"/>
        <w:bottom w:val="none" w:sz="0" w:space="0" w:color="auto"/>
        <w:right w:val="none" w:sz="0" w:space="0" w:color="auto"/>
      </w:divBdr>
    </w:div>
    <w:div w:id="805897741">
      <w:bodyDiv w:val="1"/>
      <w:marLeft w:val="0"/>
      <w:marRight w:val="0"/>
      <w:marTop w:val="0"/>
      <w:marBottom w:val="0"/>
      <w:divBdr>
        <w:top w:val="none" w:sz="0" w:space="0" w:color="auto"/>
        <w:left w:val="none" w:sz="0" w:space="0" w:color="auto"/>
        <w:bottom w:val="none" w:sz="0" w:space="0" w:color="auto"/>
        <w:right w:val="none" w:sz="0" w:space="0" w:color="auto"/>
      </w:divBdr>
    </w:div>
    <w:div w:id="882982420">
      <w:bodyDiv w:val="1"/>
      <w:marLeft w:val="0"/>
      <w:marRight w:val="0"/>
      <w:marTop w:val="0"/>
      <w:marBottom w:val="0"/>
      <w:divBdr>
        <w:top w:val="none" w:sz="0" w:space="0" w:color="auto"/>
        <w:left w:val="none" w:sz="0" w:space="0" w:color="auto"/>
        <w:bottom w:val="none" w:sz="0" w:space="0" w:color="auto"/>
        <w:right w:val="none" w:sz="0" w:space="0" w:color="auto"/>
      </w:divBdr>
    </w:div>
    <w:div w:id="927616597">
      <w:bodyDiv w:val="1"/>
      <w:marLeft w:val="0"/>
      <w:marRight w:val="0"/>
      <w:marTop w:val="0"/>
      <w:marBottom w:val="0"/>
      <w:divBdr>
        <w:top w:val="none" w:sz="0" w:space="0" w:color="auto"/>
        <w:left w:val="none" w:sz="0" w:space="0" w:color="auto"/>
        <w:bottom w:val="none" w:sz="0" w:space="0" w:color="auto"/>
        <w:right w:val="none" w:sz="0" w:space="0" w:color="auto"/>
      </w:divBdr>
    </w:div>
    <w:div w:id="930819009">
      <w:bodyDiv w:val="1"/>
      <w:marLeft w:val="0"/>
      <w:marRight w:val="0"/>
      <w:marTop w:val="0"/>
      <w:marBottom w:val="0"/>
      <w:divBdr>
        <w:top w:val="none" w:sz="0" w:space="0" w:color="auto"/>
        <w:left w:val="none" w:sz="0" w:space="0" w:color="auto"/>
        <w:bottom w:val="none" w:sz="0" w:space="0" w:color="auto"/>
        <w:right w:val="none" w:sz="0" w:space="0" w:color="auto"/>
      </w:divBdr>
    </w:div>
    <w:div w:id="997147690">
      <w:bodyDiv w:val="1"/>
      <w:marLeft w:val="0"/>
      <w:marRight w:val="0"/>
      <w:marTop w:val="0"/>
      <w:marBottom w:val="0"/>
      <w:divBdr>
        <w:top w:val="none" w:sz="0" w:space="0" w:color="auto"/>
        <w:left w:val="none" w:sz="0" w:space="0" w:color="auto"/>
        <w:bottom w:val="none" w:sz="0" w:space="0" w:color="auto"/>
        <w:right w:val="none" w:sz="0" w:space="0" w:color="auto"/>
      </w:divBdr>
    </w:div>
    <w:div w:id="1037006346">
      <w:bodyDiv w:val="1"/>
      <w:marLeft w:val="0"/>
      <w:marRight w:val="0"/>
      <w:marTop w:val="0"/>
      <w:marBottom w:val="0"/>
      <w:divBdr>
        <w:top w:val="none" w:sz="0" w:space="0" w:color="auto"/>
        <w:left w:val="none" w:sz="0" w:space="0" w:color="auto"/>
        <w:bottom w:val="none" w:sz="0" w:space="0" w:color="auto"/>
        <w:right w:val="none" w:sz="0" w:space="0" w:color="auto"/>
      </w:divBdr>
    </w:div>
    <w:div w:id="1132477871">
      <w:bodyDiv w:val="1"/>
      <w:marLeft w:val="0"/>
      <w:marRight w:val="0"/>
      <w:marTop w:val="0"/>
      <w:marBottom w:val="0"/>
      <w:divBdr>
        <w:top w:val="none" w:sz="0" w:space="0" w:color="auto"/>
        <w:left w:val="none" w:sz="0" w:space="0" w:color="auto"/>
        <w:bottom w:val="none" w:sz="0" w:space="0" w:color="auto"/>
        <w:right w:val="none" w:sz="0" w:space="0" w:color="auto"/>
      </w:divBdr>
    </w:div>
    <w:div w:id="1166823401">
      <w:bodyDiv w:val="1"/>
      <w:marLeft w:val="0"/>
      <w:marRight w:val="0"/>
      <w:marTop w:val="0"/>
      <w:marBottom w:val="0"/>
      <w:divBdr>
        <w:top w:val="none" w:sz="0" w:space="0" w:color="auto"/>
        <w:left w:val="none" w:sz="0" w:space="0" w:color="auto"/>
        <w:bottom w:val="none" w:sz="0" w:space="0" w:color="auto"/>
        <w:right w:val="none" w:sz="0" w:space="0" w:color="auto"/>
      </w:divBdr>
    </w:div>
    <w:div w:id="1186402795">
      <w:bodyDiv w:val="1"/>
      <w:marLeft w:val="0"/>
      <w:marRight w:val="0"/>
      <w:marTop w:val="0"/>
      <w:marBottom w:val="0"/>
      <w:divBdr>
        <w:top w:val="none" w:sz="0" w:space="0" w:color="auto"/>
        <w:left w:val="none" w:sz="0" w:space="0" w:color="auto"/>
        <w:bottom w:val="none" w:sz="0" w:space="0" w:color="auto"/>
        <w:right w:val="none" w:sz="0" w:space="0" w:color="auto"/>
      </w:divBdr>
    </w:div>
    <w:div w:id="1188711427">
      <w:bodyDiv w:val="1"/>
      <w:marLeft w:val="0"/>
      <w:marRight w:val="0"/>
      <w:marTop w:val="0"/>
      <w:marBottom w:val="0"/>
      <w:divBdr>
        <w:top w:val="none" w:sz="0" w:space="0" w:color="auto"/>
        <w:left w:val="none" w:sz="0" w:space="0" w:color="auto"/>
        <w:bottom w:val="none" w:sz="0" w:space="0" w:color="auto"/>
        <w:right w:val="none" w:sz="0" w:space="0" w:color="auto"/>
      </w:divBdr>
    </w:div>
    <w:div w:id="1280186044">
      <w:bodyDiv w:val="1"/>
      <w:marLeft w:val="0"/>
      <w:marRight w:val="0"/>
      <w:marTop w:val="0"/>
      <w:marBottom w:val="0"/>
      <w:divBdr>
        <w:top w:val="none" w:sz="0" w:space="0" w:color="auto"/>
        <w:left w:val="none" w:sz="0" w:space="0" w:color="auto"/>
        <w:bottom w:val="none" w:sz="0" w:space="0" w:color="auto"/>
        <w:right w:val="none" w:sz="0" w:space="0" w:color="auto"/>
      </w:divBdr>
    </w:div>
    <w:div w:id="1280994825">
      <w:bodyDiv w:val="1"/>
      <w:marLeft w:val="0"/>
      <w:marRight w:val="0"/>
      <w:marTop w:val="0"/>
      <w:marBottom w:val="0"/>
      <w:divBdr>
        <w:top w:val="none" w:sz="0" w:space="0" w:color="auto"/>
        <w:left w:val="none" w:sz="0" w:space="0" w:color="auto"/>
        <w:bottom w:val="none" w:sz="0" w:space="0" w:color="auto"/>
        <w:right w:val="none" w:sz="0" w:space="0" w:color="auto"/>
      </w:divBdr>
    </w:div>
    <w:div w:id="1287348863">
      <w:bodyDiv w:val="1"/>
      <w:marLeft w:val="0"/>
      <w:marRight w:val="0"/>
      <w:marTop w:val="0"/>
      <w:marBottom w:val="0"/>
      <w:divBdr>
        <w:top w:val="none" w:sz="0" w:space="0" w:color="auto"/>
        <w:left w:val="none" w:sz="0" w:space="0" w:color="auto"/>
        <w:bottom w:val="none" w:sz="0" w:space="0" w:color="auto"/>
        <w:right w:val="none" w:sz="0" w:space="0" w:color="auto"/>
      </w:divBdr>
    </w:div>
    <w:div w:id="1306160683">
      <w:bodyDiv w:val="1"/>
      <w:marLeft w:val="0"/>
      <w:marRight w:val="0"/>
      <w:marTop w:val="0"/>
      <w:marBottom w:val="0"/>
      <w:divBdr>
        <w:top w:val="none" w:sz="0" w:space="0" w:color="auto"/>
        <w:left w:val="none" w:sz="0" w:space="0" w:color="auto"/>
        <w:bottom w:val="none" w:sz="0" w:space="0" w:color="auto"/>
        <w:right w:val="none" w:sz="0" w:space="0" w:color="auto"/>
      </w:divBdr>
    </w:div>
    <w:div w:id="1310675739">
      <w:bodyDiv w:val="1"/>
      <w:marLeft w:val="0"/>
      <w:marRight w:val="0"/>
      <w:marTop w:val="0"/>
      <w:marBottom w:val="0"/>
      <w:divBdr>
        <w:top w:val="none" w:sz="0" w:space="0" w:color="auto"/>
        <w:left w:val="none" w:sz="0" w:space="0" w:color="auto"/>
        <w:bottom w:val="none" w:sz="0" w:space="0" w:color="auto"/>
        <w:right w:val="none" w:sz="0" w:space="0" w:color="auto"/>
      </w:divBdr>
    </w:div>
    <w:div w:id="1484010259">
      <w:bodyDiv w:val="1"/>
      <w:marLeft w:val="0"/>
      <w:marRight w:val="0"/>
      <w:marTop w:val="0"/>
      <w:marBottom w:val="0"/>
      <w:divBdr>
        <w:top w:val="none" w:sz="0" w:space="0" w:color="auto"/>
        <w:left w:val="none" w:sz="0" w:space="0" w:color="auto"/>
        <w:bottom w:val="none" w:sz="0" w:space="0" w:color="auto"/>
        <w:right w:val="none" w:sz="0" w:space="0" w:color="auto"/>
      </w:divBdr>
    </w:div>
    <w:div w:id="1501578665">
      <w:bodyDiv w:val="1"/>
      <w:marLeft w:val="0"/>
      <w:marRight w:val="0"/>
      <w:marTop w:val="0"/>
      <w:marBottom w:val="0"/>
      <w:divBdr>
        <w:top w:val="none" w:sz="0" w:space="0" w:color="auto"/>
        <w:left w:val="none" w:sz="0" w:space="0" w:color="auto"/>
        <w:bottom w:val="none" w:sz="0" w:space="0" w:color="auto"/>
        <w:right w:val="none" w:sz="0" w:space="0" w:color="auto"/>
      </w:divBdr>
    </w:div>
    <w:div w:id="1659576806">
      <w:bodyDiv w:val="1"/>
      <w:marLeft w:val="0"/>
      <w:marRight w:val="0"/>
      <w:marTop w:val="0"/>
      <w:marBottom w:val="0"/>
      <w:divBdr>
        <w:top w:val="none" w:sz="0" w:space="0" w:color="auto"/>
        <w:left w:val="none" w:sz="0" w:space="0" w:color="auto"/>
        <w:bottom w:val="none" w:sz="0" w:space="0" w:color="auto"/>
        <w:right w:val="none" w:sz="0" w:space="0" w:color="auto"/>
      </w:divBdr>
    </w:div>
    <w:div w:id="1682002013">
      <w:bodyDiv w:val="1"/>
      <w:marLeft w:val="0"/>
      <w:marRight w:val="0"/>
      <w:marTop w:val="0"/>
      <w:marBottom w:val="0"/>
      <w:divBdr>
        <w:top w:val="none" w:sz="0" w:space="0" w:color="auto"/>
        <w:left w:val="none" w:sz="0" w:space="0" w:color="auto"/>
        <w:bottom w:val="none" w:sz="0" w:space="0" w:color="auto"/>
        <w:right w:val="none" w:sz="0" w:space="0" w:color="auto"/>
      </w:divBdr>
    </w:div>
    <w:div w:id="1771194381">
      <w:bodyDiv w:val="1"/>
      <w:marLeft w:val="0"/>
      <w:marRight w:val="0"/>
      <w:marTop w:val="0"/>
      <w:marBottom w:val="0"/>
      <w:divBdr>
        <w:top w:val="none" w:sz="0" w:space="0" w:color="auto"/>
        <w:left w:val="none" w:sz="0" w:space="0" w:color="auto"/>
        <w:bottom w:val="none" w:sz="0" w:space="0" w:color="auto"/>
        <w:right w:val="none" w:sz="0" w:space="0" w:color="auto"/>
      </w:divBdr>
    </w:div>
    <w:div w:id="1873377344">
      <w:bodyDiv w:val="1"/>
      <w:marLeft w:val="0"/>
      <w:marRight w:val="0"/>
      <w:marTop w:val="0"/>
      <w:marBottom w:val="0"/>
      <w:divBdr>
        <w:top w:val="none" w:sz="0" w:space="0" w:color="auto"/>
        <w:left w:val="none" w:sz="0" w:space="0" w:color="auto"/>
        <w:bottom w:val="none" w:sz="0" w:space="0" w:color="auto"/>
        <w:right w:val="none" w:sz="0" w:space="0" w:color="auto"/>
      </w:divBdr>
    </w:div>
    <w:div w:id="1953588607">
      <w:bodyDiv w:val="1"/>
      <w:marLeft w:val="0"/>
      <w:marRight w:val="0"/>
      <w:marTop w:val="0"/>
      <w:marBottom w:val="0"/>
      <w:divBdr>
        <w:top w:val="none" w:sz="0" w:space="0" w:color="auto"/>
        <w:left w:val="none" w:sz="0" w:space="0" w:color="auto"/>
        <w:bottom w:val="none" w:sz="0" w:space="0" w:color="auto"/>
        <w:right w:val="none" w:sz="0" w:space="0" w:color="auto"/>
      </w:divBdr>
    </w:div>
    <w:div w:id="2017682241">
      <w:bodyDiv w:val="1"/>
      <w:marLeft w:val="0"/>
      <w:marRight w:val="0"/>
      <w:marTop w:val="0"/>
      <w:marBottom w:val="0"/>
      <w:divBdr>
        <w:top w:val="none" w:sz="0" w:space="0" w:color="auto"/>
        <w:left w:val="none" w:sz="0" w:space="0" w:color="auto"/>
        <w:bottom w:val="none" w:sz="0" w:space="0" w:color="auto"/>
        <w:right w:val="none" w:sz="0" w:space="0" w:color="auto"/>
      </w:divBdr>
    </w:div>
    <w:div w:id="2053263949">
      <w:bodyDiv w:val="1"/>
      <w:marLeft w:val="0"/>
      <w:marRight w:val="0"/>
      <w:marTop w:val="0"/>
      <w:marBottom w:val="0"/>
      <w:divBdr>
        <w:top w:val="none" w:sz="0" w:space="0" w:color="auto"/>
        <w:left w:val="none" w:sz="0" w:space="0" w:color="auto"/>
        <w:bottom w:val="none" w:sz="0" w:space="0" w:color="auto"/>
        <w:right w:val="none" w:sz="0" w:space="0" w:color="auto"/>
      </w:divBdr>
    </w:div>
    <w:div w:id="206768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mperial-tobacco.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wscast.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antos.com" TargetMode="External"/><Relationship Id="rId4" Type="http://schemas.openxmlformats.org/officeDocument/2006/relationships/settings" Target="settings.xml"/><Relationship Id="rId9" Type="http://schemas.openxmlformats.org/officeDocument/2006/relationships/hyperlink" Target="http://www.imperial-tobacco.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11EF9-9BBA-4093-B5E9-B49C703E7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9924</Words>
  <Characters>56570</Characters>
  <Application>Microsoft Office Word</Application>
  <DocSecurity>4</DocSecurity>
  <Lines>471</Lines>
  <Paragraphs>132</Paragraphs>
  <ScaleCrop>false</ScaleCrop>
  <HeadingPairs>
    <vt:vector size="2" baseType="variant">
      <vt:variant>
        <vt:lpstr>Title</vt:lpstr>
      </vt:variant>
      <vt:variant>
        <vt:i4>1</vt:i4>
      </vt:variant>
    </vt:vector>
  </HeadingPairs>
  <TitlesOfParts>
    <vt:vector size="1" baseType="lpstr">
      <vt:lpstr>30 October 2012</vt:lpstr>
    </vt:vector>
  </TitlesOfParts>
  <Company>IMPERIAL TOBACCO</Company>
  <LinksUpToDate>false</LinksUpToDate>
  <CharactersWithSpaces>66362</CharactersWithSpaces>
  <SharedDoc>false</SharedDoc>
  <HLinks>
    <vt:vector size="24" baseType="variant">
      <vt:variant>
        <vt:i4>3735669</vt:i4>
      </vt:variant>
      <vt:variant>
        <vt:i4>9</vt:i4>
      </vt:variant>
      <vt:variant>
        <vt:i4>0</vt:i4>
      </vt:variant>
      <vt:variant>
        <vt:i4>5</vt:i4>
      </vt:variant>
      <vt:variant>
        <vt:lpwstr>http://www.newscast.co.uk/</vt:lpwstr>
      </vt:variant>
      <vt:variant>
        <vt:lpwstr/>
      </vt:variant>
      <vt:variant>
        <vt:i4>2555960</vt:i4>
      </vt:variant>
      <vt:variant>
        <vt:i4>6</vt:i4>
      </vt:variant>
      <vt:variant>
        <vt:i4>0</vt:i4>
      </vt:variant>
      <vt:variant>
        <vt:i4>5</vt:i4>
      </vt:variant>
      <vt:variant>
        <vt:lpwstr>http://www.cantos.com/</vt:lpwstr>
      </vt:variant>
      <vt:variant>
        <vt:lpwstr/>
      </vt:variant>
      <vt:variant>
        <vt:i4>983113</vt:i4>
      </vt:variant>
      <vt:variant>
        <vt:i4>3</vt:i4>
      </vt:variant>
      <vt:variant>
        <vt:i4>0</vt:i4>
      </vt:variant>
      <vt:variant>
        <vt:i4>5</vt:i4>
      </vt:variant>
      <vt:variant>
        <vt:lpwstr>http://www.imperial-tobacco.com/</vt:lpwstr>
      </vt:variant>
      <vt:variant>
        <vt:lpwstr/>
      </vt:variant>
      <vt:variant>
        <vt:i4>983113</vt:i4>
      </vt:variant>
      <vt:variant>
        <vt:i4>0</vt:i4>
      </vt:variant>
      <vt:variant>
        <vt:i4>0</vt:i4>
      </vt:variant>
      <vt:variant>
        <vt:i4>5</vt:i4>
      </vt:variant>
      <vt:variant>
        <vt:lpwstr>http://www.imperial-tobacco.com/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 October 2012</dc:title>
  <dc:creator>IMPERIAL TOBACCO</dc:creator>
  <cp:lastModifiedBy>Jennifer Robertson</cp:lastModifiedBy>
  <cp:revision>2</cp:revision>
  <cp:lastPrinted>2014-05-06T09:54:00Z</cp:lastPrinted>
  <dcterms:created xsi:type="dcterms:W3CDTF">2015-01-29T10:54:00Z</dcterms:created>
  <dcterms:modified xsi:type="dcterms:W3CDTF">2015-01-29T10:54:00Z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