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6F" w:rsidRDefault="000F6D76" w:rsidP="004E2342">
      <w:r>
        <w:rPr>
          <w:rFonts w:ascii="Tesco" w:hAnsi="Tesco"/>
          <w:noProof/>
          <w:sz w:val="28"/>
          <w:szCs w:val="28"/>
        </w:rPr>
        <w:drawing>
          <wp:anchor distT="0" distB="0" distL="114300" distR="114300" simplePos="0" relativeHeight="251655680" behindDoc="0" locked="0" layoutInCell="0" allowOverlap="1" wp14:anchorId="3468669E" wp14:editId="24359B29">
            <wp:simplePos x="0" y="0"/>
            <wp:positionH relativeFrom="margin">
              <wp:align>center</wp:align>
            </wp:positionH>
            <wp:positionV relativeFrom="paragraph">
              <wp:posOffset>17780</wp:posOffset>
            </wp:positionV>
            <wp:extent cx="1363980" cy="32893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42830"/>
                    <a:stretch>
                      <a:fillRect/>
                    </a:stretch>
                  </pic:blipFill>
                  <pic:spPr bwMode="auto">
                    <a:xfrm>
                      <a:off x="0" y="0"/>
                      <a:ext cx="1363980" cy="328930"/>
                    </a:xfrm>
                    <a:prstGeom prst="rect">
                      <a:avLst/>
                    </a:prstGeom>
                    <a:noFill/>
                  </pic:spPr>
                </pic:pic>
              </a:graphicData>
            </a:graphic>
            <wp14:sizeRelH relativeFrom="page">
              <wp14:pctWidth>0</wp14:pctWidth>
            </wp14:sizeRelH>
            <wp14:sizeRelV relativeFrom="page">
              <wp14:pctHeight>0</wp14:pctHeight>
            </wp14:sizeRelV>
          </wp:anchor>
        </w:drawing>
      </w:r>
    </w:p>
    <w:p w:rsidR="00915ACF" w:rsidRPr="004E2342" w:rsidRDefault="00915ACF" w:rsidP="004E2342"/>
    <w:p w:rsidR="005F49DA" w:rsidRPr="007D2024" w:rsidRDefault="00402795" w:rsidP="000C3033">
      <w:pPr>
        <w:pStyle w:val="Heading2"/>
        <w:rPr>
          <w:rFonts w:ascii="Tesco" w:hAnsi="Tesco"/>
          <w:sz w:val="12"/>
        </w:rPr>
      </w:pPr>
      <w:bookmarkStart w:id="0" w:name="OLE_LINK1"/>
      <w:bookmarkStart w:id="1" w:name="OLE_LINK2"/>
      <w:r w:rsidRPr="00173F09">
        <w:rPr>
          <w:rFonts w:ascii="Tesco" w:hAnsi="Tesco"/>
          <w:sz w:val="20"/>
        </w:rPr>
        <w:t xml:space="preserve">      </w:t>
      </w:r>
    </w:p>
    <w:p w:rsidR="005544C4" w:rsidRPr="000835E2" w:rsidRDefault="000C3033" w:rsidP="005544C4">
      <w:pPr>
        <w:spacing w:after="120"/>
        <w:rPr>
          <w:rFonts w:ascii="Tesco" w:hAnsi="Tesco"/>
          <w:sz w:val="21"/>
          <w:szCs w:val="21"/>
        </w:rPr>
      </w:pPr>
      <w:r>
        <w:rPr>
          <w:rFonts w:ascii="Tesco" w:hAnsi="Tesco"/>
          <w:sz w:val="21"/>
          <w:szCs w:val="21"/>
        </w:rPr>
        <w:t>8 January 2015</w:t>
      </w: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8931"/>
      </w:tblGrid>
      <w:tr w:rsidR="00641559" w:rsidRPr="00A22C3A" w:rsidTr="00231A18">
        <w:trPr>
          <w:trHeight w:val="312"/>
        </w:trPr>
        <w:tc>
          <w:tcPr>
            <w:tcW w:w="8931" w:type="dxa"/>
            <w:shd w:val="clear" w:color="auto" w:fill="548DD4"/>
            <w:vAlign w:val="center"/>
          </w:tcPr>
          <w:p w:rsidR="00D814FC" w:rsidRPr="00D9698D" w:rsidRDefault="00AA6D49" w:rsidP="009024F2">
            <w:pPr>
              <w:pStyle w:val="NormalWeb"/>
              <w:jc w:val="center"/>
              <w:rPr>
                <w:rFonts w:ascii="Tesco" w:hAnsi="Tesco"/>
                <w:b/>
                <w:color w:val="FFFFFF"/>
                <w:sz w:val="22"/>
                <w:szCs w:val="22"/>
              </w:rPr>
            </w:pPr>
            <w:r w:rsidRPr="00D9698D">
              <w:rPr>
                <w:rFonts w:ascii="Tesco" w:hAnsi="Tesco"/>
                <w:b/>
                <w:color w:val="FFFFFF"/>
                <w:sz w:val="22"/>
                <w:szCs w:val="22"/>
              </w:rPr>
              <w:t>TRADING STATEMENT</w:t>
            </w:r>
            <w:r w:rsidR="004C4B77">
              <w:t xml:space="preserve"> </w:t>
            </w:r>
            <w:r w:rsidR="004C4B77" w:rsidRPr="004C4B77">
              <w:rPr>
                <w:rFonts w:ascii="Tesco" w:hAnsi="Tesco"/>
                <w:b/>
                <w:color w:val="FFFFFF"/>
                <w:sz w:val="22"/>
                <w:szCs w:val="22"/>
              </w:rPr>
              <w:t>for 19 weeks ended 3 January 2015</w:t>
            </w:r>
          </w:p>
        </w:tc>
      </w:tr>
    </w:tbl>
    <w:p w:rsidR="000C3033" w:rsidRPr="005C4947" w:rsidRDefault="000C3033" w:rsidP="00974DE3">
      <w:pPr>
        <w:tabs>
          <w:tab w:val="left" w:pos="426"/>
        </w:tabs>
        <w:spacing w:line="360" w:lineRule="auto"/>
        <w:rPr>
          <w:rFonts w:ascii="Tesco" w:hAnsi="Tesco"/>
          <w:b/>
          <w:sz w:val="8"/>
          <w:szCs w:val="8"/>
        </w:rPr>
      </w:pPr>
    </w:p>
    <w:p w:rsidR="00E2593A" w:rsidRDefault="00493E17" w:rsidP="00D439FF">
      <w:pPr>
        <w:numPr>
          <w:ilvl w:val="0"/>
          <w:numId w:val="22"/>
        </w:numPr>
        <w:tabs>
          <w:tab w:val="left" w:pos="284"/>
        </w:tabs>
        <w:spacing w:line="360" w:lineRule="auto"/>
        <w:ind w:left="284" w:hanging="284"/>
        <w:rPr>
          <w:rFonts w:ascii="Tesco" w:hAnsi="Tesco"/>
          <w:b/>
          <w:sz w:val="21"/>
          <w:szCs w:val="21"/>
        </w:rPr>
      </w:pPr>
      <w:r>
        <w:rPr>
          <w:rFonts w:ascii="Tesco" w:hAnsi="Tesco"/>
          <w:b/>
          <w:sz w:val="21"/>
          <w:szCs w:val="21"/>
        </w:rPr>
        <w:t xml:space="preserve">Investing in a better </w:t>
      </w:r>
      <w:r w:rsidR="00E2593A">
        <w:rPr>
          <w:rFonts w:ascii="Tesco" w:hAnsi="Tesco"/>
          <w:b/>
          <w:sz w:val="21"/>
          <w:szCs w:val="21"/>
        </w:rPr>
        <w:t xml:space="preserve">offer for Tesco customers </w:t>
      </w:r>
      <w:r>
        <w:rPr>
          <w:rFonts w:ascii="Tesco" w:hAnsi="Tesco"/>
          <w:b/>
          <w:sz w:val="21"/>
          <w:szCs w:val="21"/>
        </w:rPr>
        <w:t xml:space="preserve">is driving a step up in underlying business </w:t>
      </w:r>
      <w:r w:rsidR="00E2593A">
        <w:rPr>
          <w:rFonts w:ascii="Tesco" w:hAnsi="Tesco"/>
          <w:b/>
          <w:sz w:val="21"/>
          <w:szCs w:val="21"/>
        </w:rPr>
        <w:t>performance</w:t>
      </w:r>
    </w:p>
    <w:p w:rsidR="00493E17" w:rsidRPr="004641C1" w:rsidRDefault="00493E17" w:rsidP="002721F7">
      <w:pPr>
        <w:numPr>
          <w:ilvl w:val="0"/>
          <w:numId w:val="22"/>
        </w:numPr>
        <w:tabs>
          <w:tab w:val="left" w:pos="284"/>
        </w:tabs>
        <w:spacing w:line="360" w:lineRule="auto"/>
        <w:ind w:left="284" w:hanging="284"/>
        <w:rPr>
          <w:rFonts w:ascii="Tesco" w:hAnsi="Tesco"/>
          <w:b/>
          <w:sz w:val="21"/>
          <w:szCs w:val="21"/>
        </w:rPr>
      </w:pPr>
      <w:r w:rsidRPr="004641C1">
        <w:rPr>
          <w:rFonts w:ascii="Tesco" w:hAnsi="Tesco"/>
          <w:b/>
          <w:sz w:val="21"/>
          <w:szCs w:val="21"/>
        </w:rPr>
        <w:t xml:space="preserve">Broad-based improvement in the UK business resulting in like-for-like sales performance of </w:t>
      </w:r>
      <w:r w:rsidRPr="00E1007F">
        <w:rPr>
          <w:rFonts w:ascii="Tesco" w:hAnsi="Tesco"/>
          <w:b/>
          <w:sz w:val="21"/>
          <w:szCs w:val="21"/>
        </w:rPr>
        <w:t>(</w:t>
      </w:r>
      <w:r w:rsidR="00390CD4" w:rsidRPr="00E1007F">
        <w:rPr>
          <w:rFonts w:ascii="Tesco" w:hAnsi="Tesco"/>
          <w:b/>
          <w:sz w:val="21"/>
          <w:szCs w:val="21"/>
        </w:rPr>
        <w:t>2.9</w:t>
      </w:r>
      <w:r w:rsidRPr="00E1007F">
        <w:rPr>
          <w:rFonts w:ascii="Tesco" w:hAnsi="Tesco"/>
          <w:b/>
          <w:sz w:val="21"/>
          <w:szCs w:val="21"/>
        </w:rPr>
        <w:t>)</w:t>
      </w:r>
      <w:r w:rsidRPr="004641C1">
        <w:rPr>
          <w:rFonts w:ascii="Tesco" w:hAnsi="Tesco"/>
          <w:b/>
          <w:sz w:val="21"/>
          <w:szCs w:val="21"/>
        </w:rPr>
        <w:t xml:space="preserve">% in last 19 weeks versus </w:t>
      </w:r>
      <w:r w:rsidRPr="00E1007F">
        <w:rPr>
          <w:rFonts w:ascii="Tesco" w:hAnsi="Tesco"/>
          <w:b/>
          <w:sz w:val="21"/>
          <w:szCs w:val="21"/>
        </w:rPr>
        <w:t>(5.4)</w:t>
      </w:r>
      <w:r w:rsidRPr="004641C1">
        <w:rPr>
          <w:rFonts w:ascii="Tesco" w:hAnsi="Tesco"/>
          <w:b/>
          <w:sz w:val="21"/>
          <w:szCs w:val="21"/>
        </w:rPr>
        <w:t xml:space="preserve">% in Q2.  This includes like-for-like sales performance of </w:t>
      </w:r>
      <w:r w:rsidRPr="00E1007F">
        <w:rPr>
          <w:rFonts w:ascii="Tesco" w:hAnsi="Tesco"/>
          <w:b/>
          <w:sz w:val="21"/>
          <w:szCs w:val="21"/>
        </w:rPr>
        <w:t>(</w:t>
      </w:r>
      <w:r w:rsidR="00390CD4" w:rsidRPr="00E1007F">
        <w:rPr>
          <w:rFonts w:ascii="Tesco" w:hAnsi="Tesco"/>
          <w:b/>
          <w:sz w:val="21"/>
          <w:szCs w:val="21"/>
        </w:rPr>
        <w:t>0.3</w:t>
      </w:r>
      <w:r w:rsidRPr="00E1007F">
        <w:rPr>
          <w:rFonts w:ascii="Tesco" w:hAnsi="Tesco"/>
          <w:b/>
          <w:sz w:val="21"/>
          <w:szCs w:val="21"/>
        </w:rPr>
        <w:t>)</w:t>
      </w:r>
      <w:r w:rsidRPr="004641C1">
        <w:rPr>
          <w:rFonts w:ascii="Tesco" w:hAnsi="Tesco"/>
          <w:b/>
          <w:sz w:val="21"/>
          <w:szCs w:val="21"/>
        </w:rPr>
        <w:t>% for the six-week Christmas period</w:t>
      </w:r>
    </w:p>
    <w:p w:rsidR="001868D4" w:rsidRPr="004641C1" w:rsidRDefault="001868D4" w:rsidP="001868D4">
      <w:pPr>
        <w:numPr>
          <w:ilvl w:val="0"/>
          <w:numId w:val="22"/>
        </w:numPr>
        <w:tabs>
          <w:tab w:val="left" w:pos="284"/>
        </w:tabs>
        <w:spacing w:line="360" w:lineRule="auto"/>
        <w:ind w:left="284" w:hanging="284"/>
        <w:rPr>
          <w:rFonts w:ascii="Tesco" w:hAnsi="Tesco"/>
          <w:b/>
          <w:sz w:val="21"/>
          <w:szCs w:val="21"/>
        </w:rPr>
      </w:pPr>
      <w:r w:rsidRPr="00E1007F">
        <w:rPr>
          <w:rFonts w:ascii="Tesco" w:hAnsi="Tesco"/>
          <w:b/>
          <w:sz w:val="21"/>
          <w:szCs w:val="21"/>
        </w:rPr>
        <w:t xml:space="preserve">All UK formats </w:t>
      </w:r>
      <w:r w:rsidR="002A1297">
        <w:rPr>
          <w:rFonts w:ascii="Tesco" w:hAnsi="Tesco"/>
          <w:b/>
          <w:sz w:val="21"/>
          <w:szCs w:val="21"/>
        </w:rPr>
        <w:t>and categories</w:t>
      </w:r>
      <w:r w:rsidRPr="00E1007F">
        <w:rPr>
          <w:rFonts w:ascii="Tesco" w:hAnsi="Tesco"/>
          <w:b/>
          <w:sz w:val="21"/>
          <w:szCs w:val="21"/>
        </w:rPr>
        <w:t xml:space="preserve"> improved</w:t>
      </w:r>
      <w:r w:rsidR="002A1297">
        <w:rPr>
          <w:rFonts w:ascii="Tesco" w:hAnsi="Tesco"/>
          <w:b/>
          <w:sz w:val="21"/>
          <w:szCs w:val="21"/>
        </w:rPr>
        <w:t xml:space="preserve"> like</w:t>
      </w:r>
      <w:r w:rsidR="00837F28">
        <w:rPr>
          <w:rFonts w:ascii="Tesco" w:hAnsi="Tesco"/>
          <w:b/>
          <w:sz w:val="21"/>
          <w:szCs w:val="21"/>
        </w:rPr>
        <w:t>-</w:t>
      </w:r>
      <w:r w:rsidR="002A1297">
        <w:rPr>
          <w:rFonts w:ascii="Tesco" w:hAnsi="Tesco"/>
          <w:b/>
          <w:sz w:val="21"/>
          <w:szCs w:val="21"/>
        </w:rPr>
        <w:t>for</w:t>
      </w:r>
      <w:r w:rsidR="00837F28">
        <w:rPr>
          <w:rFonts w:ascii="Tesco" w:hAnsi="Tesco"/>
          <w:b/>
          <w:sz w:val="21"/>
          <w:szCs w:val="21"/>
        </w:rPr>
        <w:t>-</w:t>
      </w:r>
      <w:r w:rsidR="002A1297">
        <w:rPr>
          <w:rFonts w:ascii="Tesco" w:hAnsi="Tesco"/>
          <w:b/>
          <w:sz w:val="21"/>
          <w:szCs w:val="21"/>
        </w:rPr>
        <w:t>like</w:t>
      </w:r>
      <w:r w:rsidRPr="00E1007F">
        <w:rPr>
          <w:rFonts w:ascii="Tesco" w:hAnsi="Tesco"/>
          <w:b/>
          <w:sz w:val="21"/>
          <w:szCs w:val="21"/>
        </w:rPr>
        <w:t xml:space="preserve"> performance. </w:t>
      </w:r>
      <w:r w:rsidR="007E523A">
        <w:rPr>
          <w:rFonts w:ascii="Tesco" w:hAnsi="Tesco"/>
          <w:b/>
          <w:sz w:val="21"/>
          <w:szCs w:val="21"/>
        </w:rPr>
        <w:t xml:space="preserve"> In the six week Christmas period</w:t>
      </w:r>
      <w:r w:rsidR="00837F28">
        <w:rPr>
          <w:rFonts w:ascii="Tesco" w:hAnsi="Tesco"/>
          <w:b/>
          <w:sz w:val="21"/>
          <w:szCs w:val="21"/>
        </w:rPr>
        <w:t>, this included</w:t>
      </w:r>
      <w:r w:rsidR="002A1297">
        <w:rPr>
          <w:rFonts w:ascii="Tesco" w:hAnsi="Tesco"/>
          <w:b/>
          <w:sz w:val="21"/>
          <w:szCs w:val="21"/>
        </w:rPr>
        <w:t>:</w:t>
      </w:r>
    </w:p>
    <w:p w:rsidR="005615AC" w:rsidRDefault="00493E17" w:rsidP="00837F28">
      <w:pPr>
        <w:numPr>
          <w:ilvl w:val="1"/>
          <w:numId w:val="22"/>
        </w:numPr>
        <w:tabs>
          <w:tab w:val="left" w:pos="284"/>
        </w:tabs>
        <w:spacing w:line="360" w:lineRule="auto"/>
        <w:ind w:left="851" w:hanging="284"/>
        <w:rPr>
          <w:rFonts w:ascii="Tesco" w:hAnsi="Tesco"/>
          <w:b/>
          <w:sz w:val="21"/>
          <w:szCs w:val="21"/>
        </w:rPr>
      </w:pPr>
      <w:r w:rsidRPr="004641C1">
        <w:rPr>
          <w:rFonts w:ascii="Tesco" w:hAnsi="Tesco"/>
          <w:b/>
          <w:sz w:val="21"/>
          <w:szCs w:val="21"/>
        </w:rPr>
        <w:t xml:space="preserve">Grocery home shopping </w:t>
      </w:r>
      <w:r w:rsidR="005615AC" w:rsidRPr="00E1007F">
        <w:rPr>
          <w:rFonts w:ascii="Tesco" w:hAnsi="Tesco"/>
          <w:b/>
          <w:sz w:val="21"/>
          <w:szCs w:val="21"/>
        </w:rPr>
        <w:t>+</w:t>
      </w:r>
      <w:r w:rsidR="00837F28">
        <w:rPr>
          <w:rFonts w:ascii="Tesco" w:hAnsi="Tesco"/>
          <w:b/>
          <w:sz w:val="21"/>
          <w:szCs w:val="21"/>
        </w:rPr>
        <w:t>12.9</w:t>
      </w:r>
      <w:r w:rsidR="005615AC" w:rsidRPr="004641C1">
        <w:rPr>
          <w:rFonts w:ascii="Tesco" w:hAnsi="Tesco"/>
          <w:b/>
          <w:sz w:val="21"/>
          <w:szCs w:val="21"/>
        </w:rPr>
        <w:t>%</w:t>
      </w:r>
      <w:r w:rsidR="002A1297">
        <w:rPr>
          <w:rFonts w:ascii="Tesco" w:hAnsi="Tesco"/>
          <w:b/>
          <w:sz w:val="21"/>
          <w:szCs w:val="21"/>
        </w:rPr>
        <w:t xml:space="preserve">, </w:t>
      </w:r>
      <w:r w:rsidR="00837F28">
        <w:rPr>
          <w:rFonts w:ascii="Tesco" w:hAnsi="Tesco"/>
          <w:b/>
          <w:sz w:val="21"/>
          <w:szCs w:val="21"/>
        </w:rPr>
        <w:t>g</w:t>
      </w:r>
      <w:r w:rsidR="005615AC" w:rsidRPr="00E1007F">
        <w:rPr>
          <w:rFonts w:ascii="Tesco" w:hAnsi="Tesco"/>
          <w:b/>
          <w:sz w:val="21"/>
          <w:szCs w:val="21"/>
        </w:rPr>
        <w:t xml:space="preserve">eneral </w:t>
      </w:r>
      <w:r w:rsidR="00837F28">
        <w:rPr>
          <w:rFonts w:ascii="Tesco" w:hAnsi="Tesco"/>
          <w:b/>
          <w:sz w:val="21"/>
          <w:szCs w:val="21"/>
        </w:rPr>
        <w:t>m</w:t>
      </w:r>
      <w:r w:rsidR="005615AC" w:rsidRPr="00E1007F">
        <w:rPr>
          <w:rFonts w:ascii="Tesco" w:hAnsi="Tesco"/>
          <w:b/>
          <w:sz w:val="21"/>
          <w:szCs w:val="21"/>
        </w:rPr>
        <w:t xml:space="preserve">erchandise </w:t>
      </w:r>
      <w:r w:rsidR="00837F28">
        <w:rPr>
          <w:rFonts w:ascii="Tesco" w:hAnsi="Tesco"/>
          <w:b/>
          <w:sz w:val="21"/>
          <w:szCs w:val="21"/>
        </w:rPr>
        <w:t xml:space="preserve">online </w:t>
      </w:r>
      <w:r w:rsidR="002A1297">
        <w:rPr>
          <w:rFonts w:ascii="Tesco" w:hAnsi="Tesco"/>
          <w:b/>
          <w:sz w:val="21"/>
          <w:szCs w:val="21"/>
        </w:rPr>
        <w:t>+</w:t>
      </w:r>
      <w:r w:rsidR="00837F28">
        <w:rPr>
          <w:rFonts w:ascii="Tesco" w:hAnsi="Tesco"/>
          <w:b/>
          <w:sz w:val="21"/>
          <w:szCs w:val="21"/>
        </w:rPr>
        <w:t>22.2</w:t>
      </w:r>
      <w:r w:rsidR="002A1297">
        <w:rPr>
          <w:rFonts w:ascii="Tesco" w:hAnsi="Tesco"/>
          <w:b/>
          <w:sz w:val="21"/>
          <w:szCs w:val="21"/>
        </w:rPr>
        <w:t>%</w:t>
      </w:r>
      <w:r w:rsidR="00837F28">
        <w:rPr>
          <w:rFonts w:ascii="Tesco" w:hAnsi="Tesco"/>
          <w:b/>
          <w:sz w:val="21"/>
          <w:szCs w:val="21"/>
        </w:rPr>
        <w:t xml:space="preserve"> and</w:t>
      </w:r>
      <w:r w:rsidR="005615AC" w:rsidRPr="00E1007F">
        <w:rPr>
          <w:rFonts w:ascii="Tesco" w:hAnsi="Tesco"/>
          <w:b/>
          <w:sz w:val="21"/>
          <w:szCs w:val="21"/>
        </w:rPr>
        <w:t xml:space="preserve"> clothing online</w:t>
      </w:r>
      <w:r w:rsidR="002A1297">
        <w:rPr>
          <w:rFonts w:ascii="Tesco" w:hAnsi="Tesco"/>
          <w:b/>
          <w:sz w:val="21"/>
          <w:szCs w:val="21"/>
        </w:rPr>
        <w:t xml:space="preserve"> </w:t>
      </w:r>
      <w:r w:rsidR="005615AC" w:rsidRPr="004641C1">
        <w:rPr>
          <w:rFonts w:ascii="Tesco" w:hAnsi="Tesco"/>
          <w:b/>
          <w:sz w:val="21"/>
          <w:szCs w:val="21"/>
        </w:rPr>
        <w:t>+</w:t>
      </w:r>
      <w:r w:rsidR="00837F28">
        <w:rPr>
          <w:rFonts w:ascii="Tesco" w:hAnsi="Tesco"/>
          <w:b/>
          <w:sz w:val="21"/>
          <w:szCs w:val="21"/>
        </w:rPr>
        <w:t>52.4</w:t>
      </w:r>
      <w:r w:rsidR="005615AC" w:rsidRPr="004641C1">
        <w:rPr>
          <w:rFonts w:ascii="Tesco" w:hAnsi="Tesco"/>
          <w:b/>
          <w:sz w:val="21"/>
          <w:szCs w:val="21"/>
        </w:rPr>
        <w:t>%</w:t>
      </w:r>
    </w:p>
    <w:p w:rsidR="002A1297" w:rsidRPr="004641C1" w:rsidRDefault="002A1297" w:rsidP="00837F28">
      <w:pPr>
        <w:numPr>
          <w:ilvl w:val="1"/>
          <w:numId w:val="22"/>
        </w:numPr>
        <w:tabs>
          <w:tab w:val="left" w:pos="284"/>
        </w:tabs>
        <w:spacing w:line="360" w:lineRule="auto"/>
        <w:ind w:left="851" w:hanging="284"/>
        <w:rPr>
          <w:rFonts w:ascii="Tesco" w:hAnsi="Tesco"/>
          <w:b/>
          <w:sz w:val="21"/>
          <w:szCs w:val="21"/>
        </w:rPr>
      </w:pPr>
      <w:r>
        <w:rPr>
          <w:rFonts w:ascii="Tesco" w:hAnsi="Tesco"/>
          <w:b/>
          <w:sz w:val="21"/>
          <w:szCs w:val="21"/>
        </w:rPr>
        <w:t>Express format +4.</w:t>
      </w:r>
      <w:r w:rsidR="007D0578">
        <w:rPr>
          <w:rFonts w:ascii="Tesco" w:hAnsi="Tesco"/>
          <w:b/>
          <w:sz w:val="21"/>
          <w:szCs w:val="21"/>
        </w:rPr>
        <w:t>9</w:t>
      </w:r>
      <w:r>
        <w:rPr>
          <w:rFonts w:ascii="Tesco" w:hAnsi="Tesco"/>
          <w:b/>
          <w:sz w:val="21"/>
          <w:szCs w:val="21"/>
        </w:rPr>
        <w:t xml:space="preserve">%, </w:t>
      </w:r>
      <w:r w:rsidR="00837F28">
        <w:rPr>
          <w:rFonts w:ascii="Tesco" w:hAnsi="Tesco"/>
          <w:b/>
          <w:sz w:val="21"/>
          <w:szCs w:val="21"/>
        </w:rPr>
        <w:t>overall g</w:t>
      </w:r>
      <w:r>
        <w:rPr>
          <w:rFonts w:ascii="Tesco" w:hAnsi="Tesco"/>
          <w:b/>
          <w:sz w:val="21"/>
          <w:szCs w:val="21"/>
        </w:rPr>
        <w:t xml:space="preserve">eneral </w:t>
      </w:r>
      <w:r w:rsidR="00837F28">
        <w:rPr>
          <w:rFonts w:ascii="Tesco" w:hAnsi="Tesco"/>
          <w:b/>
          <w:sz w:val="21"/>
          <w:szCs w:val="21"/>
        </w:rPr>
        <w:t>me</w:t>
      </w:r>
      <w:r>
        <w:rPr>
          <w:rFonts w:ascii="Tesco" w:hAnsi="Tesco"/>
          <w:b/>
          <w:sz w:val="21"/>
          <w:szCs w:val="21"/>
        </w:rPr>
        <w:t>rchandis</w:t>
      </w:r>
      <w:r w:rsidR="00837F28">
        <w:rPr>
          <w:rFonts w:ascii="Tesco" w:hAnsi="Tesco"/>
          <w:b/>
          <w:sz w:val="21"/>
          <w:szCs w:val="21"/>
        </w:rPr>
        <w:t>e</w:t>
      </w:r>
      <w:r>
        <w:rPr>
          <w:rFonts w:ascii="Tesco" w:hAnsi="Tesco"/>
          <w:b/>
          <w:sz w:val="21"/>
          <w:szCs w:val="21"/>
        </w:rPr>
        <w:t xml:space="preserve"> +4.</w:t>
      </w:r>
      <w:r w:rsidR="00837F28">
        <w:rPr>
          <w:rFonts w:ascii="Tesco" w:hAnsi="Tesco"/>
          <w:b/>
          <w:sz w:val="21"/>
          <w:szCs w:val="21"/>
        </w:rPr>
        <w:t>8</w:t>
      </w:r>
      <w:r>
        <w:rPr>
          <w:rFonts w:ascii="Tesco" w:hAnsi="Tesco"/>
          <w:b/>
          <w:sz w:val="21"/>
          <w:szCs w:val="21"/>
        </w:rPr>
        <w:t xml:space="preserve">% and </w:t>
      </w:r>
      <w:r w:rsidR="00837F28">
        <w:rPr>
          <w:rFonts w:ascii="Tesco" w:hAnsi="Tesco"/>
          <w:b/>
          <w:sz w:val="21"/>
          <w:szCs w:val="21"/>
        </w:rPr>
        <w:t>f</w:t>
      </w:r>
      <w:r>
        <w:rPr>
          <w:rFonts w:ascii="Tesco" w:hAnsi="Tesco"/>
          <w:b/>
          <w:sz w:val="21"/>
          <w:szCs w:val="21"/>
        </w:rPr>
        <w:t xml:space="preserve">resh </w:t>
      </w:r>
      <w:r w:rsidR="00837F28">
        <w:rPr>
          <w:rFonts w:ascii="Tesco" w:hAnsi="Tesco"/>
          <w:b/>
          <w:sz w:val="21"/>
          <w:szCs w:val="21"/>
        </w:rPr>
        <w:t>food</w:t>
      </w:r>
      <w:r>
        <w:rPr>
          <w:rFonts w:ascii="Tesco" w:hAnsi="Tesco"/>
          <w:b/>
          <w:sz w:val="21"/>
          <w:szCs w:val="21"/>
        </w:rPr>
        <w:t xml:space="preserve"> volume growth for first time in </w:t>
      </w:r>
      <w:r w:rsidR="00837F28">
        <w:rPr>
          <w:rFonts w:ascii="Tesco" w:hAnsi="Tesco"/>
          <w:b/>
          <w:sz w:val="21"/>
          <w:szCs w:val="21"/>
        </w:rPr>
        <w:t>five</w:t>
      </w:r>
      <w:r>
        <w:rPr>
          <w:rFonts w:ascii="Tesco" w:hAnsi="Tesco"/>
          <w:b/>
          <w:sz w:val="21"/>
          <w:szCs w:val="21"/>
        </w:rPr>
        <w:t xml:space="preserve"> years</w:t>
      </w:r>
    </w:p>
    <w:p w:rsidR="00F06FE2" w:rsidRPr="004641C1" w:rsidRDefault="00F06FE2" w:rsidP="00F06FE2">
      <w:pPr>
        <w:numPr>
          <w:ilvl w:val="0"/>
          <w:numId w:val="22"/>
        </w:numPr>
        <w:tabs>
          <w:tab w:val="left" w:pos="284"/>
        </w:tabs>
        <w:spacing w:line="360" w:lineRule="auto"/>
        <w:ind w:left="284" w:hanging="284"/>
        <w:rPr>
          <w:rFonts w:ascii="Tesco" w:hAnsi="Tesco"/>
          <w:b/>
          <w:sz w:val="21"/>
          <w:szCs w:val="21"/>
        </w:rPr>
      </w:pPr>
      <w:r w:rsidRPr="004641C1">
        <w:rPr>
          <w:rFonts w:ascii="Tesco" w:hAnsi="Tesco"/>
          <w:b/>
          <w:sz w:val="21"/>
          <w:szCs w:val="21"/>
        </w:rPr>
        <w:t xml:space="preserve">Europe returned to positive </w:t>
      </w:r>
      <w:r w:rsidR="00365FDE" w:rsidRPr="00E1007F">
        <w:rPr>
          <w:rFonts w:ascii="Tesco" w:hAnsi="Tesco"/>
          <w:b/>
          <w:sz w:val="21"/>
          <w:szCs w:val="21"/>
        </w:rPr>
        <w:t>like-for-like</w:t>
      </w:r>
      <w:r w:rsidRPr="00E1007F">
        <w:rPr>
          <w:rFonts w:ascii="Tesco" w:hAnsi="Tesco"/>
          <w:b/>
          <w:sz w:val="21"/>
          <w:szCs w:val="21"/>
        </w:rPr>
        <w:t xml:space="preserve"> sales growth of +</w:t>
      </w:r>
      <w:r w:rsidR="00390CD4" w:rsidRPr="004641C1">
        <w:rPr>
          <w:rFonts w:ascii="Tesco" w:hAnsi="Tesco"/>
          <w:b/>
          <w:sz w:val="21"/>
          <w:szCs w:val="21"/>
        </w:rPr>
        <w:t>1.0</w:t>
      </w:r>
      <w:r w:rsidRPr="004641C1">
        <w:rPr>
          <w:rFonts w:ascii="Tesco" w:hAnsi="Tesco"/>
          <w:b/>
          <w:sz w:val="21"/>
          <w:szCs w:val="21"/>
        </w:rPr>
        <w:t>% in last six weeks</w:t>
      </w:r>
    </w:p>
    <w:p w:rsidR="00741EF9" w:rsidRPr="00E1007F" w:rsidRDefault="00F06FE2" w:rsidP="00D439FF">
      <w:pPr>
        <w:numPr>
          <w:ilvl w:val="0"/>
          <w:numId w:val="22"/>
        </w:numPr>
        <w:tabs>
          <w:tab w:val="left" w:pos="284"/>
        </w:tabs>
        <w:spacing w:line="360" w:lineRule="auto"/>
        <w:ind w:left="284" w:hanging="284"/>
        <w:rPr>
          <w:rFonts w:ascii="Tesco" w:hAnsi="Tesco"/>
          <w:b/>
          <w:sz w:val="21"/>
          <w:szCs w:val="21"/>
        </w:rPr>
      </w:pPr>
      <w:r w:rsidRPr="00E1007F">
        <w:rPr>
          <w:rFonts w:ascii="Tesco" w:hAnsi="Tesco"/>
          <w:b/>
          <w:sz w:val="21"/>
          <w:szCs w:val="21"/>
        </w:rPr>
        <w:t xml:space="preserve">Announcing progress on our immediate priorities, including a significant cost-efficiency programme </w:t>
      </w:r>
      <w:r w:rsidR="00741EF9" w:rsidRPr="00E1007F">
        <w:rPr>
          <w:rFonts w:ascii="Tesco" w:hAnsi="Tesco"/>
          <w:b/>
          <w:sz w:val="21"/>
          <w:szCs w:val="21"/>
        </w:rPr>
        <w:t>and a reduction in capital expenditure to £1bn in 2015/16</w:t>
      </w:r>
    </w:p>
    <w:p w:rsidR="001868D4" w:rsidRDefault="00741EF9" w:rsidP="00D439FF">
      <w:pPr>
        <w:numPr>
          <w:ilvl w:val="0"/>
          <w:numId w:val="22"/>
        </w:numPr>
        <w:tabs>
          <w:tab w:val="left" w:pos="284"/>
        </w:tabs>
        <w:spacing w:line="360" w:lineRule="auto"/>
        <w:ind w:left="284" w:hanging="284"/>
        <w:rPr>
          <w:rFonts w:ascii="Tesco" w:hAnsi="Tesco"/>
          <w:b/>
          <w:sz w:val="21"/>
          <w:szCs w:val="21"/>
        </w:rPr>
      </w:pPr>
      <w:r w:rsidRPr="00E1007F">
        <w:rPr>
          <w:rFonts w:ascii="Tesco" w:hAnsi="Tesco"/>
          <w:b/>
          <w:sz w:val="21"/>
          <w:szCs w:val="21"/>
        </w:rPr>
        <w:t>D</w:t>
      </w:r>
      <w:r w:rsidR="00F06FE2" w:rsidRPr="00E1007F">
        <w:rPr>
          <w:rFonts w:ascii="Tesco" w:hAnsi="Tesco"/>
          <w:b/>
          <w:sz w:val="21"/>
          <w:szCs w:val="21"/>
        </w:rPr>
        <w:t>ecision not to pay a final dividend for 2014/15</w:t>
      </w:r>
    </w:p>
    <w:p w:rsidR="000C3033" w:rsidRPr="007D2024" w:rsidRDefault="000C3033" w:rsidP="005C4947">
      <w:pPr>
        <w:tabs>
          <w:tab w:val="left" w:pos="1134"/>
        </w:tabs>
        <w:autoSpaceDE w:val="0"/>
        <w:autoSpaceDN w:val="0"/>
        <w:adjustRightInd w:val="0"/>
        <w:spacing w:line="360" w:lineRule="auto"/>
        <w:ind w:left="2220"/>
        <w:rPr>
          <w:rFonts w:ascii="Tesco" w:hAnsi="Tesco" w:cs="Courier New"/>
          <w:sz w:val="2"/>
          <w:szCs w:val="8"/>
        </w:rPr>
      </w:pP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8931"/>
      </w:tblGrid>
      <w:tr w:rsidR="00641559" w:rsidRPr="00D9698D" w:rsidTr="00231A18">
        <w:trPr>
          <w:trHeight w:val="312"/>
        </w:trPr>
        <w:tc>
          <w:tcPr>
            <w:tcW w:w="8931" w:type="dxa"/>
            <w:shd w:val="clear" w:color="auto" w:fill="548DD4"/>
            <w:vAlign w:val="center"/>
          </w:tcPr>
          <w:p w:rsidR="00641559" w:rsidRPr="00D9698D" w:rsidRDefault="004A218F" w:rsidP="002143C8">
            <w:pPr>
              <w:pStyle w:val="NormalWeb"/>
              <w:jc w:val="center"/>
              <w:rPr>
                <w:rFonts w:ascii="Tesco" w:hAnsi="Tesco"/>
                <w:b/>
                <w:color w:val="FFFFFF"/>
                <w:sz w:val="21"/>
                <w:szCs w:val="21"/>
              </w:rPr>
            </w:pPr>
            <w:r>
              <w:rPr>
                <w:rFonts w:ascii="Tesco" w:hAnsi="Tesco"/>
                <w:b/>
                <w:color w:val="FFFFFF"/>
                <w:sz w:val="21"/>
                <w:szCs w:val="21"/>
              </w:rPr>
              <w:t xml:space="preserve">Dave Lewis – </w:t>
            </w:r>
            <w:r w:rsidR="00641559" w:rsidRPr="00D9698D">
              <w:rPr>
                <w:rFonts w:ascii="Tesco" w:hAnsi="Tesco"/>
                <w:b/>
                <w:color w:val="FFFFFF"/>
                <w:sz w:val="21"/>
                <w:szCs w:val="21"/>
              </w:rPr>
              <w:t>Chief Executive</w:t>
            </w:r>
          </w:p>
        </w:tc>
      </w:tr>
    </w:tbl>
    <w:p w:rsidR="005F49DA" w:rsidRPr="002721F7" w:rsidRDefault="005F49DA" w:rsidP="005F49DA">
      <w:pPr>
        <w:autoSpaceDE w:val="0"/>
        <w:autoSpaceDN w:val="0"/>
        <w:adjustRightInd w:val="0"/>
        <w:rPr>
          <w:rFonts w:ascii="Tesco" w:eastAsia="MS Mincho" w:hAnsi="Tesco" w:cs="Courier New"/>
          <w:sz w:val="12"/>
          <w:lang w:eastAsia="ja-JP"/>
        </w:rPr>
      </w:pPr>
    </w:p>
    <w:p w:rsidR="003D6E51" w:rsidRDefault="000C3033" w:rsidP="000B43BF">
      <w:pPr>
        <w:spacing w:line="336" w:lineRule="auto"/>
        <w:rPr>
          <w:rFonts w:ascii="Tesco" w:hAnsi="Tesco"/>
          <w:sz w:val="21"/>
          <w:szCs w:val="21"/>
        </w:rPr>
      </w:pPr>
      <w:r w:rsidRPr="000C3033">
        <w:rPr>
          <w:rFonts w:ascii="Tesco" w:hAnsi="Tesco"/>
          <w:sz w:val="21"/>
          <w:szCs w:val="21"/>
        </w:rPr>
        <w:t>“</w:t>
      </w:r>
      <w:r w:rsidR="003D6E51">
        <w:rPr>
          <w:rFonts w:ascii="Tesco" w:hAnsi="Tesco"/>
          <w:sz w:val="21"/>
          <w:szCs w:val="21"/>
        </w:rPr>
        <w:t xml:space="preserve">We are </w:t>
      </w:r>
      <w:r w:rsidR="007E523A">
        <w:rPr>
          <w:rFonts w:ascii="Tesco" w:hAnsi="Tesco"/>
          <w:sz w:val="21"/>
          <w:szCs w:val="21"/>
        </w:rPr>
        <w:t xml:space="preserve">seeing the benefits of </w:t>
      </w:r>
      <w:r w:rsidR="003D6E51">
        <w:rPr>
          <w:rFonts w:ascii="Tesco" w:hAnsi="Tesco"/>
          <w:sz w:val="21"/>
          <w:szCs w:val="21"/>
        </w:rPr>
        <w:t>listening to our customers.  The investments we are making in service, availability and</w:t>
      </w:r>
      <w:r w:rsidR="007E523A">
        <w:rPr>
          <w:rFonts w:ascii="Tesco" w:hAnsi="Tesco"/>
          <w:sz w:val="21"/>
          <w:szCs w:val="21"/>
        </w:rPr>
        <w:t xml:space="preserve"> selectively</w:t>
      </w:r>
      <w:r w:rsidR="003D6E51">
        <w:rPr>
          <w:rFonts w:ascii="Tesco" w:hAnsi="Tesco"/>
          <w:sz w:val="21"/>
          <w:szCs w:val="21"/>
        </w:rPr>
        <w:t xml:space="preserve"> in price are already resulting in a better shopping experience.</w:t>
      </w:r>
      <w:r w:rsidR="0042224B">
        <w:rPr>
          <w:rFonts w:ascii="Tesco" w:hAnsi="Tesco"/>
          <w:sz w:val="21"/>
          <w:szCs w:val="21"/>
        </w:rPr>
        <w:t xml:space="preserve">  </w:t>
      </w:r>
      <w:r w:rsidR="003D6E51">
        <w:rPr>
          <w:rFonts w:ascii="Tesco" w:hAnsi="Tesco"/>
          <w:sz w:val="21"/>
          <w:szCs w:val="21"/>
        </w:rPr>
        <w:t xml:space="preserve">A broad-based improvement has built gradually through the third quarter, leading to a strong Christmas trading </w:t>
      </w:r>
      <w:r w:rsidR="009C23B2">
        <w:rPr>
          <w:rFonts w:ascii="Tesco" w:hAnsi="Tesco"/>
          <w:sz w:val="21"/>
          <w:szCs w:val="21"/>
        </w:rPr>
        <w:t>performance</w:t>
      </w:r>
      <w:r w:rsidR="003D6E51">
        <w:rPr>
          <w:rFonts w:ascii="Tesco" w:hAnsi="Tesco"/>
          <w:sz w:val="21"/>
          <w:szCs w:val="21"/>
        </w:rPr>
        <w:t>.</w:t>
      </w:r>
    </w:p>
    <w:p w:rsidR="003D6E51" w:rsidRPr="002721F7" w:rsidRDefault="003D6E51" w:rsidP="000B43BF">
      <w:pPr>
        <w:spacing w:line="336" w:lineRule="auto"/>
        <w:rPr>
          <w:rFonts w:ascii="Tesco" w:hAnsi="Tesco"/>
          <w:sz w:val="6"/>
          <w:szCs w:val="21"/>
        </w:rPr>
      </w:pPr>
    </w:p>
    <w:p w:rsidR="003D6E51" w:rsidRDefault="003D6E51" w:rsidP="000B43BF">
      <w:pPr>
        <w:spacing w:line="336" w:lineRule="auto"/>
        <w:rPr>
          <w:rFonts w:ascii="Tesco" w:hAnsi="Tesco"/>
          <w:sz w:val="21"/>
          <w:szCs w:val="21"/>
        </w:rPr>
      </w:pPr>
      <w:r>
        <w:rPr>
          <w:rFonts w:ascii="Tesco" w:hAnsi="Tesco"/>
          <w:sz w:val="21"/>
          <w:szCs w:val="21"/>
        </w:rPr>
        <w:t xml:space="preserve">I would like to thank all </w:t>
      </w:r>
      <w:r w:rsidR="007E523A">
        <w:rPr>
          <w:rFonts w:ascii="Tesco" w:hAnsi="Tesco"/>
          <w:sz w:val="21"/>
          <w:szCs w:val="21"/>
        </w:rPr>
        <w:t xml:space="preserve">of </w:t>
      </w:r>
      <w:r>
        <w:rPr>
          <w:rFonts w:ascii="Tesco" w:hAnsi="Tesco"/>
          <w:sz w:val="21"/>
          <w:szCs w:val="21"/>
        </w:rPr>
        <w:t>my colleagues in Tesco.  The unique combination of retail expertise and real passion for the customer has been an inspiration to be a part of.  In difficult circumstances the team has begun the challenging task of reinvigorating our business.  There is more to do but we have taken the first important step</w:t>
      </w:r>
      <w:r w:rsidR="009C23B2">
        <w:rPr>
          <w:rFonts w:ascii="Tesco" w:hAnsi="Tesco"/>
          <w:sz w:val="21"/>
          <w:szCs w:val="21"/>
        </w:rPr>
        <w:t>s</w:t>
      </w:r>
      <w:r>
        <w:rPr>
          <w:rFonts w:ascii="Tesco" w:hAnsi="Tesco"/>
          <w:sz w:val="21"/>
          <w:szCs w:val="21"/>
        </w:rPr>
        <w:t xml:space="preserve"> in the right direction.</w:t>
      </w:r>
    </w:p>
    <w:p w:rsidR="003D6E51" w:rsidRPr="002721F7" w:rsidRDefault="003D6E51" w:rsidP="000B43BF">
      <w:pPr>
        <w:spacing w:line="336" w:lineRule="auto"/>
        <w:rPr>
          <w:rFonts w:ascii="Tesco" w:hAnsi="Tesco"/>
          <w:sz w:val="6"/>
          <w:szCs w:val="21"/>
        </w:rPr>
      </w:pPr>
    </w:p>
    <w:p w:rsidR="008D4D4B" w:rsidRDefault="003D6E51" w:rsidP="000B43BF">
      <w:pPr>
        <w:spacing w:line="336" w:lineRule="auto"/>
        <w:rPr>
          <w:sz w:val="6"/>
        </w:rPr>
      </w:pPr>
      <w:r>
        <w:rPr>
          <w:rFonts w:ascii="Tesco" w:hAnsi="Tesco"/>
          <w:sz w:val="21"/>
          <w:szCs w:val="21"/>
        </w:rPr>
        <w:t xml:space="preserve">We have some very difficult changes to make. </w:t>
      </w:r>
      <w:r w:rsidR="007E523A">
        <w:rPr>
          <w:rFonts w:ascii="Tesco" w:hAnsi="Tesco"/>
          <w:sz w:val="21"/>
          <w:szCs w:val="21"/>
        </w:rPr>
        <w:t xml:space="preserve"> I am very conscious that t</w:t>
      </w:r>
      <w:r>
        <w:rPr>
          <w:rFonts w:ascii="Tesco" w:hAnsi="Tesco"/>
          <w:sz w:val="21"/>
          <w:szCs w:val="21"/>
        </w:rPr>
        <w:t>he consequences of these changes are significant for all stakeholders in our business</w:t>
      </w:r>
      <w:r w:rsidR="0042224B">
        <w:rPr>
          <w:rFonts w:ascii="Tesco" w:hAnsi="Tesco"/>
          <w:sz w:val="21"/>
          <w:szCs w:val="21"/>
        </w:rPr>
        <w:t xml:space="preserve"> but we are facing the reality of the </w:t>
      </w:r>
      <w:r w:rsidR="007E523A">
        <w:rPr>
          <w:rFonts w:ascii="Tesco" w:hAnsi="Tesco"/>
          <w:sz w:val="21"/>
          <w:szCs w:val="21"/>
        </w:rPr>
        <w:t>situation.   O</w:t>
      </w:r>
      <w:r w:rsidR="0042224B">
        <w:rPr>
          <w:rFonts w:ascii="Tesco" w:hAnsi="Tesco"/>
          <w:sz w:val="21"/>
          <w:szCs w:val="21"/>
        </w:rPr>
        <w:t>ur recent performance gives us confidence that when we pull together and put the customer first we can deliver the right results.</w:t>
      </w:r>
      <w:r w:rsidR="000C3033" w:rsidRPr="000C3033">
        <w:rPr>
          <w:rFonts w:ascii="Tesco" w:hAnsi="Tesco"/>
          <w:sz w:val="21"/>
          <w:szCs w:val="21"/>
        </w:rPr>
        <w:t>”</w:t>
      </w:r>
    </w:p>
    <w:p w:rsidR="002A1297" w:rsidRPr="002721F7" w:rsidRDefault="002A1297">
      <w:pPr>
        <w:rPr>
          <w:sz w:val="6"/>
        </w:rPr>
      </w:pP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10"/>
        <w:gridCol w:w="1813"/>
        <w:gridCol w:w="1164"/>
        <w:gridCol w:w="222"/>
        <w:gridCol w:w="1164"/>
        <w:gridCol w:w="236"/>
        <w:gridCol w:w="1160"/>
        <w:gridCol w:w="323"/>
        <w:gridCol w:w="1211"/>
        <w:gridCol w:w="464"/>
        <w:gridCol w:w="1164"/>
      </w:tblGrid>
      <w:tr w:rsidR="008D4D4B" w:rsidTr="008D4D4B">
        <w:trPr>
          <w:trHeight w:val="312"/>
        </w:trPr>
        <w:tc>
          <w:tcPr>
            <w:tcW w:w="8931" w:type="dxa"/>
            <w:gridSpan w:val="11"/>
            <w:tcBorders>
              <w:top w:val="single" w:sz="4" w:space="0" w:color="00539F"/>
              <w:left w:val="single" w:sz="4" w:space="0" w:color="00539F"/>
              <w:bottom w:val="single" w:sz="4" w:space="0" w:color="00539F"/>
              <w:right w:val="single" w:sz="4" w:space="0" w:color="00539F"/>
            </w:tcBorders>
            <w:shd w:val="clear" w:color="auto" w:fill="548DD4"/>
            <w:vAlign w:val="center"/>
            <w:hideMark/>
          </w:tcPr>
          <w:p w:rsidR="008D4D4B" w:rsidRDefault="008D4D4B">
            <w:pPr>
              <w:pStyle w:val="NormalWeb"/>
              <w:jc w:val="center"/>
              <w:rPr>
                <w:rFonts w:ascii="Tesco" w:hAnsi="Tesco"/>
                <w:b/>
                <w:color w:val="FFFFFF"/>
                <w:sz w:val="21"/>
                <w:szCs w:val="21"/>
              </w:rPr>
            </w:pPr>
            <w:r>
              <w:rPr>
                <w:rFonts w:ascii="Tesco" w:hAnsi="Tesco"/>
                <w:b/>
                <w:color w:val="FFFFFF"/>
                <w:sz w:val="21"/>
                <w:szCs w:val="21"/>
              </w:rPr>
              <w:t>Like-for-Like Sales Growth (Inc. VAT, Exc. Fuel)</w:t>
            </w:r>
          </w:p>
        </w:tc>
      </w:tr>
      <w:tr w:rsidR="008D4D4B" w:rsidRPr="007D2024" w:rsidTr="00E1007F">
        <w:trPr>
          <w:gridBefore w:val="1"/>
          <w:wBefore w:w="10" w:type="dxa"/>
          <w:trHeight w:val="224"/>
        </w:trPr>
        <w:tc>
          <w:tcPr>
            <w:tcW w:w="8921" w:type="dxa"/>
            <w:gridSpan w:val="10"/>
            <w:tcBorders>
              <w:top w:val="nil"/>
              <w:left w:val="nil"/>
              <w:bottom w:val="nil"/>
              <w:right w:val="nil"/>
            </w:tcBorders>
            <w:shd w:val="clear" w:color="auto" w:fill="auto"/>
            <w:hideMark/>
          </w:tcPr>
          <w:p w:rsidR="008D4D4B" w:rsidRPr="007D2024" w:rsidRDefault="000F6D76">
            <w:pPr>
              <w:rPr>
                <w:rFonts w:ascii="Calibri" w:eastAsia="Calibri" w:hAnsi="Calibri"/>
                <w:i/>
                <w:color w:val="FFFFFF"/>
                <w:szCs w:val="21"/>
              </w:rPr>
            </w:pPr>
            <w:r>
              <w:rPr>
                <w:noProof/>
              </w:rPr>
              <mc:AlternateContent>
                <mc:Choice Requires="wps">
                  <w:drawing>
                    <wp:anchor distT="0" distB="0" distL="114300" distR="114300" simplePos="0" relativeHeight="251656704" behindDoc="0" locked="0" layoutInCell="1" allowOverlap="1" wp14:anchorId="7595B2DE" wp14:editId="0AFBE929">
                      <wp:simplePos x="0" y="0"/>
                      <wp:positionH relativeFrom="column">
                        <wp:posOffset>2793365</wp:posOffset>
                      </wp:positionH>
                      <wp:positionV relativeFrom="paragraph">
                        <wp:posOffset>109220</wp:posOffset>
                      </wp:positionV>
                      <wp:extent cx="1809750" cy="1578610"/>
                      <wp:effectExtent l="19050" t="19050" r="19050" b="2159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578610"/>
                              </a:xfrm>
                              <a:prstGeom prst="rect">
                                <a:avLst/>
                              </a:prstGeom>
                              <a:noFill/>
                              <a:ln w="28575">
                                <a:solidFill>
                                  <a:srgbClr val="548D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B4BB2" id="Rectangle 6" o:spid="_x0000_s1026" style="position:absolute;margin-left:219.95pt;margin-top:8.6pt;width:142.5pt;height:12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" filled="f" strokecolor="#548dd4" strokeweight="2.25pt"/>
                  </w:pict>
                </mc:Fallback>
              </mc:AlternateContent>
            </w:r>
          </w:p>
        </w:tc>
      </w:tr>
      <w:tr w:rsidR="008D4D4B" w:rsidTr="008D4D4B">
        <w:trPr>
          <w:trHeight w:val="170"/>
        </w:trPr>
        <w:tc>
          <w:tcPr>
            <w:tcW w:w="1823" w:type="dxa"/>
            <w:gridSpan w:val="2"/>
            <w:tcBorders>
              <w:top w:val="nil"/>
              <w:left w:val="nil"/>
              <w:bottom w:val="nil"/>
              <w:right w:val="single" w:sz="4" w:space="0" w:color="auto"/>
            </w:tcBorders>
            <w:shd w:val="clear" w:color="auto" w:fill="auto"/>
            <w:vAlign w:val="center"/>
          </w:tcPr>
          <w:p w:rsidR="008D4D4B" w:rsidRDefault="008D4D4B">
            <w:pPr>
              <w:jc w:val="center"/>
              <w:rPr>
                <w:rFonts w:ascii="Calibri" w:eastAsia="Calibri" w:hAnsi="Calibri"/>
                <w:i/>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Q1 2014/15</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eastAsia="Calibri" w:hAnsi="Tesco" w:cs="Arial"/>
                <w:b/>
                <w:color w:val="FFFFFF"/>
              </w:rPr>
              <w:t>Q2 2014/15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0"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hAnsi="Tesco"/>
                <w:b/>
                <w:color w:val="FFFFFF"/>
              </w:rPr>
            </w:pPr>
            <w:r>
              <w:rPr>
                <w:rFonts w:ascii="Tesco" w:hAnsi="Tesco"/>
                <w:b/>
                <w:color w:val="FFFFFF"/>
              </w:rPr>
              <w:t>Q3 2014/15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211"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Christmas Period</w:t>
            </w:r>
            <w:r w:rsidR="00DE5EE9" w:rsidRPr="000B43BF">
              <w:rPr>
                <w:rFonts w:ascii="Tesco" w:hAnsi="Tesco"/>
                <w:b/>
                <w:color w:val="FFFFFF"/>
                <w:vertAlign w:val="superscript"/>
              </w:rPr>
              <w:t>*</w:t>
            </w:r>
            <w:r>
              <w:rPr>
                <w:rFonts w:ascii="Tesco" w:hAnsi="Tesco"/>
                <w:b/>
                <w:color w:val="FFFFFF"/>
              </w:rPr>
              <w:t xml:space="preserve"> 2014/15</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Arial"/>
                <w:i/>
              </w:rPr>
            </w:pPr>
            <w:r>
              <w:rPr>
                <w:rFonts w:ascii="Tesco" w:hAnsi="Tesco"/>
                <w:i/>
              </w:rPr>
              <w:t>19 Week Period 2014/15</w:t>
            </w:r>
          </w:p>
        </w:tc>
      </w:tr>
      <w:tr w:rsidR="008D4D4B" w:rsidTr="008D4D4B">
        <w:trPr>
          <w:trHeight w:val="272"/>
        </w:trPr>
        <w:tc>
          <w:tcPr>
            <w:tcW w:w="1823" w:type="dxa"/>
            <w:gridSpan w:val="2"/>
            <w:tcBorders>
              <w:top w:val="nil"/>
              <w:left w:val="nil"/>
              <w:bottom w:val="single" w:sz="4" w:space="0" w:color="auto"/>
              <w:right w:val="nil"/>
            </w:tcBorders>
            <w:shd w:val="clear" w:color="auto" w:fill="auto"/>
            <w:vAlign w:val="center"/>
          </w:tcPr>
          <w:p w:rsidR="008D4D4B" w:rsidRDefault="008D4D4B">
            <w:pPr>
              <w:jc w:val="center"/>
              <w:rPr>
                <w:rFonts w:ascii="Tesco" w:hAnsi="Tesco" w:cs="Tahoma"/>
                <w:b/>
                <w:sz w:val="18"/>
              </w:rPr>
            </w:pPr>
          </w:p>
        </w:tc>
        <w:tc>
          <w:tcPr>
            <w:tcW w:w="1164" w:type="dxa"/>
            <w:tcBorders>
              <w:top w:val="single" w:sz="4" w:space="0" w:color="auto"/>
              <w:left w:val="nil"/>
              <w:bottom w:val="single" w:sz="4" w:space="0" w:color="auto"/>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222"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1164" w:type="dxa"/>
            <w:tcBorders>
              <w:top w:val="single" w:sz="4" w:space="0" w:color="auto"/>
              <w:left w:val="nil"/>
              <w:bottom w:val="single" w:sz="4" w:space="0" w:color="auto"/>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236"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1160"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(A)</w:t>
            </w:r>
          </w:p>
        </w:tc>
        <w:tc>
          <w:tcPr>
            <w:tcW w:w="323"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211"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(B)</w:t>
            </w:r>
          </w:p>
        </w:tc>
        <w:tc>
          <w:tcPr>
            <w:tcW w:w="464"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164"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(C)</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cs="Tahoma"/>
                <w:b/>
              </w:rPr>
            </w:pPr>
            <w:r>
              <w:rPr>
                <w:rFonts w:ascii="Tesco" w:hAnsi="Tesco" w:cs="Tahoma"/>
                <w:b/>
              </w:rPr>
              <w:t>UK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(3.7)%</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(5.4)%</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0.3</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2.9</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 xml:space="preserve">Asia </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(4.9)%</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(5.0)%</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3.9</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4.6</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Europe</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(1.0)%</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1.0</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(0.4)%</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International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(3.7)%</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(3.1)%</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1.3</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(2.5)%</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Group</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(4.8)%</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(3.8)%</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(0.6)%</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(2.7)%</w:t>
            </w:r>
          </w:p>
        </w:tc>
      </w:tr>
    </w:tbl>
    <w:p w:rsidR="00E2593A" w:rsidRPr="005C4947" w:rsidRDefault="00E2593A" w:rsidP="005C4947">
      <w:pPr>
        <w:tabs>
          <w:tab w:val="left" w:pos="945"/>
        </w:tabs>
        <w:spacing w:line="276" w:lineRule="auto"/>
        <w:rPr>
          <w:rFonts w:ascii="Tesco" w:hAnsi="Tesco"/>
          <w:sz w:val="8"/>
          <w:szCs w:val="8"/>
          <w:vertAlign w:val="superscript"/>
        </w:rPr>
      </w:pPr>
      <w:r>
        <w:rPr>
          <w:rFonts w:ascii="Tesco" w:hAnsi="Tesco"/>
          <w:sz w:val="16"/>
          <w:szCs w:val="16"/>
          <w:vertAlign w:val="superscript"/>
        </w:rPr>
        <w:tab/>
      </w:r>
    </w:p>
    <w:p w:rsidR="003E5F95" w:rsidRDefault="00654B2B" w:rsidP="005544C4">
      <w:pPr>
        <w:spacing w:line="276" w:lineRule="auto"/>
        <w:rPr>
          <w:rFonts w:ascii="Tesco" w:hAnsi="Tesco"/>
          <w:sz w:val="16"/>
          <w:szCs w:val="16"/>
          <w:highlight w:val="yellow"/>
        </w:rPr>
      </w:pPr>
      <w:r w:rsidRPr="005C4947">
        <w:rPr>
          <w:rFonts w:ascii="Tesco" w:hAnsi="Tesco"/>
          <w:sz w:val="16"/>
          <w:szCs w:val="16"/>
          <w:vertAlign w:val="superscript"/>
        </w:rPr>
        <w:t>*</w:t>
      </w:r>
      <w:r w:rsidRPr="005C4947">
        <w:rPr>
          <w:rFonts w:ascii="Tesco" w:hAnsi="Tesco"/>
          <w:sz w:val="16"/>
          <w:szCs w:val="16"/>
        </w:rPr>
        <w:t>For the six weeks end</w:t>
      </w:r>
      <w:r w:rsidR="00C741F6">
        <w:rPr>
          <w:rFonts w:ascii="Tesco" w:hAnsi="Tesco"/>
          <w:sz w:val="16"/>
          <w:szCs w:val="16"/>
        </w:rPr>
        <w:t>ed</w:t>
      </w:r>
      <w:r w:rsidRPr="005C4947">
        <w:rPr>
          <w:rFonts w:ascii="Tesco" w:hAnsi="Tesco"/>
          <w:sz w:val="16"/>
          <w:szCs w:val="16"/>
        </w:rPr>
        <w:t xml:space="preserve"> 3 January 2015 </w:t>
      </w: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8931"/>
      </w:tblGrid>
      <w:tr w:rsidR="00864EAE" w:rsidRPr="00D9698D" w:rsidTr="0030666B">
        <w:trPr>
          <w:trHeight w:val="312"/>
        </w:trPr>
        <w:tc>
          <w:tcPr>
            <w:tcW w:w="8931" w:type="dxa"/>
            <w:shd w:val="clear" w:color="auto" w:fill="548DD4"/>
            <w:vAlign w:val="center"/>
          </w:tcPr>
          <w:p w:rsidR="00864EAE" w:rsidRPr="00D9698D" w:rsidRDefault="00D7029C" w:rsidP="00864EAE">
            <w:pPr>
              <w:pStyle w:val="NormalWeb"/>
              <w:jc w:val="center"/>
              <w:rPr>
                <w:rFonts w:ascii="Tesco" w:hAnsi="Tesco"/>
                <w:b/>
                <w:color w:val="FFFFFF"/>
                <w:sz w:val="21"/>
                <w:szCs w:val="21"/>
              </w:rPr>
            </w:pPr>
            <w:r>
              <w:rPr>
                <w:rFonts w:ascii="Tesco" w:hAnsi="Tesco"/>
                <w:sz w:val="16"/>
                <w:szCs w:val="16"/>
                <w:highlight w:val="yellow"/>
              </w:rPr>
              <w:br w:type="page"/>
            </w:r>
            <w:r>
              <w:rPr>
                <w:rFonts w:ascii="Tesco" w:hAnsi="Tesco"/>
                <w:b/>
                <w:color w:val="FFFFFF"/>
                <w:sz w:val="21"/>
                <w:szCs w:val="21"/>
              </w:rPr>
              <w:t>UPDATE ON OUR PRIORITIES</w:t>
            </w:r>
          </w:p>
        </w:tc>
      </w:tr>
    </w:tbl>
    <w:p w:rsidR="00864EAE" w:rsidRDefault="00864EAE" w:rsidP="000835E2">
      <w:pPr>
        <w:rPr>
          <w:rFonts w:ascii="Tesco" w:hAnsi="Tesco"/>
          <w:b/>
          <w:sz w:val="21"/>
          <w:szCs w:val="21"/>
          <w:u w:val="single"/>
        </w:rPr>
      </w:pPr>
    </w:p>
    <w:p w:rsidR="00A802C4" w:rsidRDefault="007E523A" w:rsidP="00A802C4">
      <w:pPr>
        <w:pStyle w:val="s39"/>
        <w:spacing w:before="0" w:beforeAutospacing="0" w:after="0" w:afterAutospacing="0"/>
      </w:pPr>
      <w:r>
        <w:rPr>
          <w:rFonts w:ascii="Tesco" w:hAnsi="Tesco"/>
          <w:sz w:val="21"/>
          <w:szCs w:val="21"/>
        </w:rPr>
        <w:t xml:space="preserve">Following a briefing of Tesco colleagues </w:t>
      </w:r>
      <w:r w:rsidR="003E5F95">
        <w:rPr>
          <w:rFonts w:ascii="Tesco" w:hAnsi="Tesco"/>
          <w:sz w:val="21"/>
          <w:szCs w:val="21"/>
        </w:rPr>
        <w:t xml:space="preserve">Dave Lewis and Alan Stewart will be updating investors and analysts </w:t>
      </w:r>
      <w:r w:rsidR="00510583">
        <w:rPr>
          <w:rFonts w:ascii="Tesco" w:hAnsi="Tesco"/>
          <w:sz w:val="21"/>
          <w:szCs w:val="21"/>
        </w:rPr>
        <w:t xml:space="preserve">at 11.30am this morning with </w:t>
      </w:r>
      <w:r w:rsidR="008156D9">
        <w:rPr>
          <w:rFonts w:ascii="Tesco" w:hAnsi="Tesco"/>
          <w:sz w:val="21"/>
          <w:szCs w:val="21"/>
        </w:rPr>
        <w:t xml:space="preserve">further </w:t>
      </w:r>
      <w:r w:rsidR="00510583">
        <w:rPr>
          <w:rFonts w:ascii="Tesco" w:hAnsi="Tesco"/>
          <w:sz w:val="21"/>
          <w:szCs w:val="21"/>
        </w:rPr>
        <w:t>detail on our Christmas trading performance</w:t>
      </w:r>
      <w:r w:rsidR="00A802C4">
        <w:rPr>
          <w:rFonts w:ascii="Tesco" w:hAnsi="Tesco"/>
          <w:sz w:val="21"/>
          <w:szCs w:val="21"/>
        </w:rPr>
        <w:t xml:space="preserve">.  </w:t>
      </w:r>
      <w:r w:rsidR="00A802C4">
        <w:rPr>
          <w:rStyle w:val="s38"/>
        </w:rPr>
        <w:t xml:space="preserve">In addition they will share </w:t>
      </w:r>
      <w:r>
        <w:rPr>
          <w:rStyle w:val="s38"/>
        </w:rPr>
        <w:t xml:space="preserve">more details on progress against our </w:t>
      </w:r>
      <w:r w:rsidR="00741EF9">
        <w:rPr>
          <w:rStyle w:val="s38"/>
        </w:rPr>
        <w:t>three</w:t>
      </w:r>
      <w:r w:rsidR="00A802C4">
        <w:rPr>
          <w:rStyle w:val="s38"/>
        </w:rPr>
        <w:t xml:space="preserve"> immediate priorities:</w:t>
      </w:r>
    </w:p>
    <w:p w:rsidR="00A802C4" w:rsidRDefault="00A802C4" w:rsidP="000A5579">
      <w:pPr>
        <w:pStyle w:val="s40"/>
        <w:spacing w:before="0" w:beforeAutospacing="0" w:after="0" w:afterAutospacing="0"/>
        <w:ind w:left="540"/>
      </w:pPr>
      <w:r>
        <w:t> </w:t>
      </w:r>
    </w:p>
    <w:p w:rsidR="00A802C4" w:rsidRPr="000B43BF" w:rsidRDefault="00DE5EE9" w:rsidP="000A5579">
      <w:pPr>
        <w:pStyle w:val="s40"/>
        <w:numPr>
          <w:ilvl w:val="0"/>
          <w:numId w:val="29"/>
        </w:numPr>
        <w:spacing w:before="0" w:beforeAutospacing="0" w:after="0" w:afterAutospacing="0"/>
        <w:ind w:left="360"/>
        <w:rPr>
          <w:rStyle w:val="s11"/>
          <w:rFonts w:ascii="Tesco" w:hAnsi="Tesco"/>
          <w:b/>
        </w:rPr>
      </w:pPr>
      <w:r w:rsidRPr="000B43BF">
        <w:rPr>
          <w:rStyle w:val="s11"/>
          <w:rFonts w:ascii="Tesco" w:hAnsi="Tesco"/>
          <w:b/>
        </w:rPr>
        <w:t>Re</w:t>
      </w:r>
      <w:r>
        <w:rPr>
          <w:rStyle w:val="s11"/>
          <w:rFonts w:ascii="Tesco" w:hAnsi="Tesco"/>
          <w:b/>
        </w:rPr>
        <w:t>gain</w:t>
      </w:r>
      <w:r w:rsidRPr="000B43BF">
        <w:rPr>
          <w:rStyle w:val="s11"/>
          <w:rFonts w:ascii="Tesco" w:hAnsi="Tesco"/>
          <w:b/>
        </w:rPr>
        <w:t xml:space="preserve">ing </w:t>
      </w:r>
      <w:r w:rsidR="00A802C4" w:rsidRPr="000B43BF">
        <w:rPr>
          <w:rStyle w:val="s11"/>
          <w:rFonts w:ascii="Tesco" w:hAnsi="Tesco"/>
          <w:b/>
        </w:rPr>
        <w:t>competitiveness in core UK business, including:</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 xml:space="preserve">the appointment of </w:t>
      </w:r>
      <w:r w:rsidR="000B43BF">
        <w:rPr>
          <w:rFonts w:ascii="Tesco" w:hAnsi="Tesco"/>
          <w:sz w:val="21"/>
          <w:szCs w:val="21"/>
        </w:rPr>
        <w:t>Matt Davies</w:t>
      </w:r>
      <w:r w:rsidR="00282DDA">
        <w:rPr>
          <w:rFonts w:ascii="Tesco" w:hAnsi="Tesco"/>
          <w:sz w:val="21"/>
          <w:szCs w:val="21"/>
        </w:rPr>
        <w:t>, Group Chief Executive of Halfords Group</w:t>
      </w:r>
      <w:r w:rsidRPr="000A5579">
        <w:rPr>
          <w:rFonts w:ascii="Tesco" w:hAnsi="Tesco"/>
          <w:sz w:val="21"/>
          <w:szCs w:val="21"/>
        </w:rPr>
        <w:t xml:space="preserve"> </w:t>
      </w:r>
      <w:r w:rsidR="00282DDA">
        <w:rPr>
          <w:rFonts w:ascii="Tesco" w:hAnsi="Tesco"/>
          <w:sz w:val="21"/>
          <w:szCs w:val="21"/>
        </w:rPr>
        <w:t xml:space="preserve">plc, </w:t>
      </w:r>
      <w:r w:rsidRPr="000A5579">
        <w:rPr>
          <w:rFonts w:ascii="Tesco" w:hAnsi="Tesco"/>
          <w:sz w:val="21"/>
          <w:szCs w:val="21"/>
        </w:rPr>
        <w:t>as the new CEO for the UK and Ireland business</w:t>
      </w:r>
      <w:r w:rsidR="00837F28">
        <w:rPr>
          <w:rFonts w:ascii="Tesco" w:hAnsi="Tesco"/>
          <w:sz w:val="21"/>
          <w:szCs w:val="21"/>
        </w:rPr>
        <w:t>,</w:t>
      </w:r>
      <w:r w:rsidR="007E523A">
        <w:rPr>
          <w:rFonts w:ascii="Tesco" w:hAnsi="Tesco"/>
          <w:sz w:val="21"/>
          <w:szCs w:val="21"/>
        </w:rPr>
        <w:t xml:space="preserve"> effective 1</w:t>
      </w:r>
      <w:r w:rsidR="007E523A" w:rsidRPr="00C943AA">
        <w:rPr>
          <w:rFonts w:ascii="Tesco" w:hAnsi="Tesco"/>
          <w:sz w:val="21"/>
          <w:szCs w:val="21"/>
          <w:vertAlign w:val="superscript"/>
        </w:rPr>
        <w:t>st</w:t>
      </w:r>
      <w:r w:rsidR="007E523A">
        <w:rPr>
          <w:rFonts w:ascii="Tesco" w:hAnsi="Tesco"/>
          <w:sz w:val="21"/>
          <w:szCs w:val="21"/>
        </w:rPr>
        <w:t xml:space="preserve"> June</w:t>
      </w:r>
    </w:p>
    <w:p w:rsidR="00A802C4"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a restructuring of central overhead</w:t>
      </w:r>
      <w:r w:rsidR="00DE5EE9">
        <w:rPr>
          <w:rFonts w:ascii="Tesco" w:hAnsi="Tesco"/>
          <w:sz w:val="21"/>
          <w:szCs w:val="21"/>
        </w:rPr>
        <w:t>s, simplification of</w:t>
      </w:r>
      <w:r w:rsidR="00DE5EE9" w:rsidRPr="00837F28">
        <w:rPr>
          <w:rFonts w:ascii="Tesco" w:hAnsi="Tesco"/>
          <w:sz w:val="21"/>
          <w:szCs w:val="21"/>
        </w:rPr>
        <w:t xml:space="preserve"> store management structures</w:t>
      </w:r>
      <w:r w:rsidR="00DE5EE9">
        <w:rPr>
          <w:rFonts w:ascii="Tesco" w:hAnsi="Tesco"/>
          <w:sz w:val="21"/>
          <w:szCs w:val="21"/>
        </w:rPr>
        <w:t xml:space="preserve"> </w:t>
      </w:r>
      <w:r w:rsidR="00DE5EE9" w:rsidRPr="00837F28">
        <w:rPr>
          <w:rFonts w:ascii="Tesco" w:hAnsi="Tesco"/>
          <w:sz w:val="21"/>
          <w:szCs w:val="21"/>
        </w:rPr>
        <w:t>and increased working-hour flexibility</w:t>
      </w:r>
      <w:r w:rsidRPr="000A5579">
        <w:rPr>
          <w:rFonts w:ascii="Tesco" w:hAnsi="Tesco"/>
          <w:sz w:val="21"/>
          <w:szCs w:val="21"/>
        </w:rPr>
        <w:t xml:space="preserve">, </w:t>
      </w:r>
      <w:r w:rsidR="00DE5EE9">
        <w:rPr>
          <w:rFonts w:ascii="Tesco" w:hAnsi="Tesco"/>
          <w:sz w:val="21"/>
          <w:szCs w:val="21"/>
        </w:rPr>
        <w:t>delivering savings of</w:t>
      </w:r>
      <w:r w:rsidRPr="000A5579">
        <w:rPr>
          <w:rFonts w:ascii="Tesco" w:hAnsi="Tesco"/>
          <w:sz w:val="21"/>
          <w:szCs w:val="21"/>
        </w:rPr>
        <w:t xml:space="preserve"> </w:t>
      </w:r>
      <w:r w:rsidR="002A1297">
        <w:rPr>
          <w:rFonts w:ascii="Tesco" w:hAnsi="Tesco"/>
          <w:sz w:val="21"/>
          <w:szCs w:val="21"/>
        </w:rPr>
        <w:t>c.£250m per year</w:t>
      </w:r>
      <w:r w:rsidR="00DE5EE9">
        <w:rPr>
          <w:rFonts w:ascii="Tesco" w:hAnsi="Tesco"/>
          <w:sz w:val="21"/>
          <w:szCs w:val="21"/>
        </w:rPr>
        <w:t xml:space="preserve"> at a one-off cost of £(300)m</w:t>
      </w:r>
    </w:p>
    <w:p w:rsidR="00837F28" w:rsidRDefault="0014569F">
      <w:pPr>
        <w:pStyle w:val="s40"/>
        <w:numPr>
          <w:ilvl w:val="0"/>
          <w:numId w:val="31"/>
        </w:numPr>
        <w:spacing w:before="0" w:beforeAutospacing="0" w:after="0" w:afterAutospacing="0"/>
        <w:rPr>
          <w:rFonts w:ascii="Tesco" w:hAnsi="Tesco"/>
          <w:sz w:val="21"/>
          <w:szCs w:val="21"/>
        </w:rPr>
      </w:pPr>
      <w:r>
        <w:rPr>
          <w:rFonts w:ascii="Tesco" w:hAnsi="Tesco"/>
          <w:sz w:val="21"/>
          <w:szCs w:val="21"/>
        </w:rPr>
        <w:t>flat investment in payroll</w:t>
      </w:r>
      <w:r w:rsidR="00741EF9">
        <w:rPr>
          <w:rFonts w:ascii="Tesco" w:hAnsi="Tesco"/>
          <w:sz w:val="21"/>
          <w:szCs w:val="21"/>
        </w:rPr>
        <w:t>, the introduction of a flexible benefits package</w:t>
      </w:r>
      <w:r w:rsidR="007E523A">
        <w:rPr>
          <w:rFonts w:ascii="Tesco" w:hAnsi="Tesco"/>
          <w:sz w:val="21"/>
          <w:szCs w:val="21"/>
        </w:rPr>
        <w:t xml:space="preserve"> for store colleagues</w:t>
      </w:r>
      <w:r w:rsidR="00741EF9">
        <w:rPr>
          <w:rFonts w:ascii="Tesco" w:hAnsi="Tesco"/>
          <w:sz w:val="21"/>
          <w:szCs w:val="21"/>
        </w:rPr>
        <w:t xml:space="preserve"> and a turnaround-based bonus for all colleagues</w:t>
      </w:r>
    </w:p>
    <w:p w:rsidR="00A802C4" w:rsidRPr="00837F28" w:rsidRDefault="00A802C4">
      <w:pPr>
        <w:pStyle w:val="s40"/>
        <w:numPr>
          <w:ilvl w:val="0"/>
          <w:numId w:val="31"/>
        </w:numPr>
        <w:spacing w:before="0" w:beforeAutospacing="0" w:after="0" w:afterAutospacing="0"/>
        <w:rPr>
          <w:rFonts w:ascii="Tesco" w:hAnsi="Tesco"/>
          <w:sz w:val="21"/>
          <w:szCs w:val="21"/>
        </w:rPr>
      </w:pPr>
      <w:r w:rsidRPr="00837F28">
        <w:rPr>
          <w:rFonts w:ascii="Tesco" w:hAnsi="Tesco"/>
          <w:sz w:val="21"/>
          <w:szCs w:val="21"/>
        </w:rPr>
        <w:t xml:space="preserve">a </w:t>
      </w:r>
      <w:r w:rsidR="007E523A" w:rsidRPr="00837F28">
        <w:rPr>
          <w:rFonts w:ascii="Tesco" w:hAnsi="Tesco"/>
          <w:sz w:val="21"/>
          <w:szCs w:val="21"/>
        </w:rPr>
        <w:t>decision</w:t>
      </w:r>
      <w:r w:rsidRPr="00837F28">
        <w:rPr>
          <w:rFonts w:ascii="Tesco" w:hAnsi="Tesco"/>
          <w:sz w:val="21"/>
          <w:szCs w:val="21"/>
        </w:rPr>
        <w:t xml:space="preserve"> to consolidate head office locations, closing Cheshunt in 2016 and making Welwyn Garden City the UK and Group centre</w:t>
      </w:r>
    </w:p>
    <w:p w:rsidR="007E523A" w:rsidRDefault="007E523A"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the closure of 43 unprofitable stores</w:t>
      </w:r>
    </w:p>
    <w:p w:rsidR="001543C4" w:rsidRPr="000A5579" w:rsidRDefault="00741EF9"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o</w:t>
      </w:r>
      <w:r w:rsidR="001543C4">
        <w:rPr>
          <w:rFonts w:ascii="Tesco" w:hAnsi="Tesco"/>
          <w:sz w:val="21"/>
          <w:szCs w:val="21"/>
        </w:rPr>
        <w:t xml:space="preserve">ur </w:t>
      </w:r>
      <w:r>
        <w:rPr>
          <w:rFonts w:ascii="Tesco" w:hAnsi="Tesco"/>
          <w:sz w:val="21"/>
          <w:szCs w:val="21"/>
        </w:rPr>
        <w:t xml:space="preserve">latest </w:t>
      </w:r>
      <w:r w:rsidR="001543C4">
        <w:rPr>
          <w:rFonts w:ascii="Tesco" w:hAnsi="Tesco"/>
          <w:sz w:val="21"/>
          <w:szCs w:val="21"/>
        </w:rPr>
        <w:t>initiative to set lower prices on some of the nation’s favourite brands</w:t>
      </w:r>
    </w:p>
    <w:p w:rsidR="00A802C4" w:rsidRDefault="00A802C4" w:rsidP="00A802C4">
      <w:pPr>
        <w:pStyle w:val="s41"/>
        <w:spacing w:before="0" w:beforeAutospacing="0" w:after="0" w:afterAutospacing="0"/>
        <w:ind w:left="315"/>
      </w:pPr>
    </w:p>
    <w:p w:rsidR="00A802C4" w:rsidRPr="000B43BF" w:rsidRDefault="00A802C4" w:rsidP="000A5579">
      <w:pPr>
        <w:pStyle w:val="s40"/>
        <w:numPr>
          <w:ilvl w:val="0"/>
          <w:numId w:val="29"/>
        </w:numPr>
        <w:spacing w:before="0" w:beforeAutospacing="0" w:after="0" w:afterAutospacing="0"/>
        <w:ind w:left="360"/>
        <w:rPr>
          <w:rStyle w:val="s11"/>
          <w:rFonts w:ascii="Tesco" w:hAnsi="Tesco"/>
          <w:b/>
        </w:rPr>
      </w:pPr>
      <w:r w:rsidRPr="000B43BF">
        <w:rPr>
          <w:rStyle w:val="s11"/>
          <w:rFonts w:ascii="Tesco" w:hAnsi="Tesco"/>
          <w:b/>
        </w:rPr>
        <w:t>Protecting and strengthening the balance sheet, including:</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a significant revision to our store building program</w:t>
      </w:r>
      <w:r>
        <w:rPr>
          <w:rFonts w:ascii="Tesco" w:hAnsi="Tesco"/>
          <w:sz w:val="21"/>
          <w:szCs w:val="21"/>
        </w:rPr>
        <w:t>me</w:t>
      </w:r>
      <w:r w:rsidRPr="000A5579">
        <w:rPr>
          <w:rFonts w:ascii="Tesco" w:hAnsi="Tesco"/>
          <w:sz w:val="21"/>
          <w:szCs w:val="21"/>
        </w:rPr>
        <w:t xml:space="preserve"> </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 xml:space="preserve">the initiation of consultation to close the company defined </w:t>
      </w:r>
      <w:r w:rsidR="00741EF9">
        <w:rPr>
          <w:rFonts w:ascii="Tesco" w:hAnsi="Tesco"/>
          <w:sz w:val="21"/>
          <w:szCs w:val="21"/>
        </w:rPr>
        <w:t xml:space="preserve">benefit </w:t>
      </w:r>
      <w:r w:rsidRPr="000A5579">
        <w:rPr>
          <w:rFonts w:ascii="Tesco" w:hAnsi="Tesco"/>
          <w:sz w:val="21"/>
          <w:szCs w:val="21"/>
        </w:rPr>
        <w:t>pension scheme to all colleagues</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a </w:t>
      </w:r>
      <w:r>
        <w:rPr>
          <w:rFonts w:ascii="Tesco" w:hAnsi="Tesco"/>
          <w:sz w:val="21"/>
          <w:szCs w:val="21"/>
        </w:rPr>
        <w:t xml:space="preserve">significantly reduced </w:t>
      </w:r>
      <w:r w:rsidRPr="000A5579">
        <w:rPr>
          <w:rFonts w:ascii="Tesco" w:hAnsi="Tesco"/>
          <w:sz w:val="21"/>
          <w:szCs w:val="21"/>
        </w:rPr>
        <w:t>cap</w:t>
      </w:r>
      <w:r>
        <w:rPr>
          <w:rFonts w:ascii="Tesco" w:hAnsi="Tesco"/>
          <w:sz w:val="21"/>
          <w:szCs w:val="21"/>
        </w:rPr>
        <w:t xml:space="preserve">ital </w:t>
      </w:r>
      <w:r w:rsidRPr="000A5579">
        <w:rPr>
          <w:rFonts w:ascii="Tesco" w:hAnsi="Tesco"/>
          <w:sz w:val="21"/>
          <w:szCs w:val="21"/>
        </w:rPr>
        <w:t>ex</w:t>
      </w:r>
      <w:r>
        <w:rPr>
          <w:rFonts w:ascii="Tesco" w:hAnsi="Tesco"/>
          <w:sz w:val="21"/>
          <w:szCs w:val="21"/>
        </w:rPr>
        <w:t>penditure</w:t>
      </w:r>
      <w:r w:rsidRPr="000A5579">
        <w:rPr>
          <w:rFonts w:ascii="Tesco" w:hAnsi="Tesco"/>
          <w:sz w:val="21"/>
          <w:szCs w:val="21"/>
        </w:rPr>
        <w:t xml:space="preserve"> budget in 2015/16 of £1bn</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t</w:t>
      </w:r>
      <w:r w:rsidRPr="000A5579">
        <w:rPr>
          <w:rFonts w:ascii="Tesco" w:hAnsi="Tesco"/>
          <w:sz w:val="21"/>
          <w:szCs w:val="21"/>
        </w:rPr>
        <w:t xml:space="preserve">he disposal of </w:t>
      </w:r>
      <w:r>
        <w:rPr>
          <w:rFonts w:ascii="Tesco" w:hAnsi="Tesco"/>
          <w:sz w:val="21"/>
          <w:szCs w:val="21"/>
        </w:rPr>
        <w:t>T</w:t>
      </w:r>
      <w:r w:rsidRPr="000A5579">
        <w:rPr>
          <w:rFonts w:ascii="Tesco" w:hAnsi="Tesco"/>
          <w:sz w:val="21"/>
          <w:szCs w:val="21"/>
        </w:rPr>
        <w:t xml:space="preserve">esco </w:t>
      </w:r>
      <w:r>
        <w:rPr>
          <w:rFonts w:ascii="Tesco" w:hAnsi="Tesco"/>
          <w:sz w:val="21"/>
          <w:szCs w:val="21"/>
        </w:rPr>
        <w:t>B</w:t>
      </w:r>
      <w:r w:rsidRPr="000A5579">
        <w:rPr>
          <w:rFonts w:ascii="Tesco" w:hAnsi="Tesco"/>
          <w:sz w:val="21"/>
          <w:szCs w:val="21"/>
        </w:rPr>
        <w:t xml:space="preserve">roadband and </w:t>
      </w:r>
      <w:r>
        <w:rPr>
          <w:rFonts w:ascii="Tesco" w:hAnsi="Tesco"/>
          <w:sz w:val="21"/>
          <w:szCs w:val="21"/>
        </w:rPr>
        <w:t>B</w:t>
      </w:r>
      <w:r w:rsidRPr="000A5579">
        <w:rPr>
          <w:rFonts w:ascii="Tesco" w:hAnsi="Tesco"/>
          <w:sz w:val="21"/>
          <w:szCs w:val="21"/>
        </w:rPr>
        <w:t xml:space="preserve">linkbox to </w:t>
      </w:r>
      <w:r>
        <w:rPr>
          <w:rFonts w:ascii="Tesco" w:hAnsi="Tesco"/>
          <w:sz w:val="21"/>
          <w:szCs w:val="21"/>
        </w:rPr>
        <w:t>T</w:t>
      </w:r>
      <w:r w:rsidRPr="000A5579">
        <w:rPr>
          <w:rFonts w:ascii="Tesco" w:hAnsi="Tesco"/>
          <w:sz w:val="21"/>
          <w:szCs w:val="21"/>
        </w:rPr>
        <w:t>alk</w:t>
      </w:r>
      <w:r>
        <w:rPr>
          <w:rFonts w:ascii="Tesco" w:hAnsi="Tesco"/>
          <w:sz w:val="21"/>
          <w:szCs w:val="21"/>
        </w:rPr>
        <w:t>T</w:t>
      </w:r>
      <w:r w:rsidRPr="000A5579">
        <w:rPr>
          <w:rFonts w:ascii="Tesco" w:hAnsi="Tesco"/>
          <w:sz w:val="21"/>
          <w:szCs w:val="21"/>
        </w:rPr>
        <w:t>alk</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t</w:t>
      </w:r>
      <w:r w:rsidRPr="000A5579">
        <w:rPr>
          <w:rFonts w:ascii="Tesco" w:hAnsi="Tesco"/>
          <w:sz w:val="21"/>
          <w:szCs w:val="21"/>
        </w:rPr>
        <w:t>he appointment of advis</w:t>
      </w:r>
      <w:r w:rsidR="00DE5EE9">
        <w:rPr>
          <w:rFonts w:ascii="Tesco" w:hAnsi="Tesco"/>
          <w:sz w:val="21"/>
          <w:szCs w:val="21"/>
        </w:rPr>
        <w:t>o</w:t>
      </w:r>
      <w:r w:rsidRPr="000A5579">
        <w:rPr>
          <w:rFonts w:ascii="Tesco" w:hAnsi="Tesco"/>
          <w:sz w:val="21"/>
          <w:szCs w:val="21"/>
        </w:rPr>
        <w:t xml:space="preserve">rs to explore </w:t>
      </w:r>
      <w:r w:rsidR="002A1297">
        <w:rPr>
          <w:rFonts w:ascii="Tesco" w:hAnsi="Tesco"/>
          <w:sz w:val="21"/>
          <w:szCs w:val="21"/>
        </w:rPr>
        <w:t xml:space="preserve">strategic </w:t>
      </w:r>
      <w:r w:rsidR="00741EF9">
        <w:rPr>
          <w:rFonts w:ascii="Tesco" w:hAnsi="Tesco"/>
          <w:sz w:val="21"/>
          <w:szCs w:val="21"/>
        </w:rPr>
        <w:t>options</w:t>
      </w:r>
      <w:r w:rsidR="002A1297">
        <w:rPr>
          <w:rFonts w:ascii="Tesco" w:hAnsi="Tesco"/>
          <w:sz w:val="21"/>
          <w:szCs w:val="21"/>
        </w:rPr>
        <w:t xml:space="preserve"> for the</w:t>
      </w:r>
      <w:r w:rsidRPr="000A5579">
        <w:rPr>
          <w:rFonts w:ascii="Tesco" w:hAnsi="Tesco"/>
          <w:sz w:val="21"/>
          <w:szCs w:val="21"/>
        </w:rPr>
        <w:t xml:space="preserve"> </w:t>
      </w:r>
      <w:r>
        <w:rPr>
          <w:rFonts w:ascii="Tesco" w:hAnsi="Tesco"/>
          <w:sz w:val="21"/>
          <w:szCs w:val="21"/>
        </w:rPr>
        <w:t>d</w:t>
      </w:r>
      <w:r w:rsidRPr="000A5579">
        <w:rPr>
          <w:rFonts w:ascii="Tesco" w:hAnsi="Tesco"/>
          <w:sz w:val="21"/>
          <w:szCs w:val="21"/>
        </w:rPr>
        <w:t>un</w:t>
      </w:r>
      <w:r>
        <w:rPr>
          <w:rFonts w:ascii="Tesco" w:hAnsi="Tesco"/>
          <w:sz w:val="21"/>
          <w:szCs w:val="21"/>
        </w:rPr>
        <w:t>n</w:t>
      </w:r>
      <w:r w:rsidRPr="000A5579">
        <w:rPr>
          <w:rFonts w:ascii="Tesco" w:hAnsi="Tesco"/>
          <w:sz w:val="21"/>
          <w:szCs w:val="21"/>
        </w:rPr>
        <w:t>hu</w:t>
      </w:r>
      <w:r>
        <w:rPr>
          <w:rFonts w:ascii="Tesco" w:hAnsi="Tesco"/>
          <w:sz w:val="21"/>
          <w:szCs w:val="21"/>
        </w:rPr>
        <w:t>m</w:t>
      </w:r>
      <w:r w:rsidRPr="000A5579">
        <w:rPr>
          <w:rFonts w:ascii="Tesco" w:hAnsi="Tesco"/>
          <w:sz w:val="21"/>
          <w:szCs w:val="21"/>
        </w:rPr>
        <w:t>by business</w:t>
      </w:r>
    </w:p>
    <w:p w:rsidR="00A802C4"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 xml:space="preserve">the decision not to pay a final dividend </w:t>
      </w:r>
      <w:r w:rsidR="00535872">
        <w:rPr>
          <w:rFonts w:ascii="Tesco" w:hAnsi="Tesco"/>
          <w:sz w:val="21"/>
          <w:szCs w:val="21"/>
        </w:rPr>
        <w:t>for</w:t>
      </w:r>
      <w:r w:rsidR="00535872" w:rsidRPr="000A5579">
        <w:rPr>
          <w:rFonts w:ascii="Tesco" w:hAnsi="Tesco"/>
          <w:sz w:val="21"/>
          <w:szCs w:val="21"/>
        </w:rPr>
        <w:t xml:space="preserve"> </w:t>
      </w:r>
      <w:r w:rsidRPr="000A5579">
        <w:rPr>
          <w:rFonts w:ascii="Tesco" w:hAnsi="Tesco"/>
          <w:sz w:val="21"/>
          <w:szCs w:val="21"/>
        </w:rPr>
        <w:t>201</w:t>
      </w:r>
      <w:r w:rsidR="00F06FE2">
        <w:rPr>
          <w:rFonts w:ascii="Tesco" w:hAnsi="Tesco"/>
          <w:sz w:val="21"/>
          <w:szCs w:val="21"/>
        </w:rPr>
        <w:t>4</w:t>
      </w:r>
      <w:r w:rsidRPr="000A5579">
        <w:rPr>
          <w:rFonts w:ascii="Tesco" w:hAnsi="Tesco"/>
          <w:sz w:val="21"/>
          <w:szCs w:val="21"/>
        </w:rPr>
        <w:t>/1</w:t>
      </w:r>
      <w:r w:rsidR="00F06FE2">
        <w:rPr>
          <w:rFonts w:ascii="Tesco" w:hAnsi="Tesco"/>
          <w:sz w:val="21"/>
          <w:szCs w:val="21"/>
        </w:rPr>
        <w:t>5</w:t>
      </w:r>
    </w:p>
    <w:p w:rsidR="001543C4" w:rsidRDefault="00741EF9"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t</w:t>
      </w:r>
      <w:r w:rsidR="001543C4">
        <w:rPr>
          <w:rFonts w:ascii="Tesco" w:hAnsi="Tesco"/>
          <w:sz w:val="21"/>
          <w:szCs w:val="21"/>
        </w:rPr>
        <w:t xml:space="preserve">hese actions </w:t>
      </w:r>
      <w:r w:rsidR="007E523A">
        <w:rPr>
          <w:rFonts w:ascii="Tesco" w:hAnsi="Tesco"/>
          <w:sz w:val="21"/>
          <w:szCs w:val="21"/>
        </w:rPr>
        <w:t>are</w:t>
      </w:r>
      <w:r w:rsidR="000F6D76">
        <w:rPr>
          <w:rFonts w:ascii="Tesco" w:hAnsi="Tesco"/>
          <w:sz w:val="21"/>
          <w:szCs w:val="21"/>
        </w:rPr>
        <w:t xml:space="preserve"> the</w:t>
      </w:r>
      <w:r w:rsidR="001543C4">
        <w:rPr>
          <w:rFonts w:ascii="Tesco" w:hAnsi="Tesco"/>
          <w:sz w:val="21"/>
          <w:szCs w:val="21"/>
        </w:rPr>
        <w:t xml:space="preserve"> first step</w:t>
      </w:r>
      <w:r w:rsidR="00837F28">
        <w:rPr>
          <w:rFonts w:ascii="Tesco" w:hAnsi="Tesco"/>
          <w:sz w:val="21"/>
          <w:szCs w:val="21"/>
        </w:rPr>
        <w:t>s</w:t>
      </w:r>
      <w:r w:rsidR="001543C4">
        <w:rPr>
          <w:rFonts w:ascii="Tesco" w:hAnsi="Tesco"/>
          <w:sz w:val="21"/>
          <w:szCs w:val="21"/>
        </w:rPr>
        <w:t xml:space="preserve"> in strengthening the balance sheet.  </w:t>
      </w:r>
      <w:r w:rsidR="000F6D76">
        <w:rPr>
          <w:rFonts w:ascii="Tesco" w:hAnsi="Tesco"/>
          <w:sz w:val="21"/>
          <w:szCs w:val="21"/>
        </w:rPr>
        <w:t xml:space="preserve"> Further</w:t>
      </w:r>
      <w:r w:rsidR="001543C4">
        <w:rPr>
          <w:rFonts w:ascii="Tesco" w:hAnsi="Tesco"/>
          <w:sz w:val="21"/>
          <w:szCs w:val="21"/>
        </w:rPr>
        <w:t xml:space="preserve"> </w:t>
      </w:r>
      <w:r w:rsidR="002A1297">
        <w:rPr>
          <w:rFonts w:ascii="Tesco" w:hAnsi="Tesco"/>
          <w:sz w:val="21"/>
          <w:szCs w:val="21"/>
        </w:rPr>
        <w:t>initiatives</w:t>
      </w:r>
      <w:r w:rsidR="00837F28">
        <w:rPr>
          <w:rFonts w:ascii="Tesco" w:hAnsi="Tesco"/>
          <w:sz w:val="21"/>
          <w:szCs w:val="21"/>
        </w:rPr>
        <w:t xml:space="preserve"> </w:t>
      </w:r>
      <w:r w:rsidR="001543C4">
        <w:rPr>
          <w:rFonts w:ascii="Tesco" w:hAnsi="Tesco"/>
          <w:sz w:val="21"/>
          <w:szCs w:val="21"/>
        </w:rPr>
        <w:t>which maximise shareholder value are under consideration</w:t>
      </w:r>
    </w:p>
    <w:p w:rsidR="00A802C4" w:rsidRPr="000A5579" w:rsidRDefault="00A802C4" w:rsidP="000A5579">
      <w:pPr>
        <w:pStyle w:val="s40"/>
        <w:spacing w:before="0" w:beforeAutospacing="0" w:after="0" w:afterAutospacing="0"/>
        <w:ind w:left="720"/>
        <w:rPr>
          <w:rFonts w:ascii="Tesco" w:hAnsi="Tesco"/>
          <w:sz w:val="21"/>
          <w:szCs w:val="21"/>
        </w:rPr>
      </w:pPr>
    </w:p>
    <w:p w:rsidR="00A802C4" w:rsidRPr="000B43BF" w:rsidRDefault="00A802C4" w:rsidP="000A5579">
      <w:pPr>
        <w:pStyle w:val="s40"/>
        <w:numPr>
          <w:ilvl w:val="0"/>
          <w:numId w:val="29"/>
        </w:numPr>
        <w:spacing w:before="0" w:beforeAutospacing="0" w:after="0" w:afterAutospacing="0"/>
        <w:ind w:left="360"/>
        <w:rPr>
          <w:rStyle w:val="s11"/>
          <w:rFonts w:ascii="Tesco" w:hAnsi="Tesco"/>
          <w:b/>
        </w:rPr>
      </w:pPr>
      <w:r w:rsidRPr="000B43BF">
        <w:rPr>
          <w:rStyle w:val="s11"/>
          <w:rFonts w:ascii="Tesco" w:hAnsi="Tesco"/>
          <w:b/>
        </w:rPr>
        <w:t>Rebuilding trust and transparency, including:</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the next step in re</w:t>
      </w:r>
      <w:r>
        <w:rPr>
          <w:rFonts w:ascii="Tesco" w:hAnsi="Tesco"/>
          <w:sz w:val="21"/>
          <w:szCs w:val="21"/>
        </w:rPr>
        <w:t>-</w:t>
      </w:r>
      <w:r w:rsidRPr="000A5579">
        <w:rPr>
          <w:rFonts w:ascii="Tesco" w:hAnsi="Tesco"/>
          <w:sz w:val="21"/>
          <w:szCs w:val="21"/>
        </w:rPr>
        <w:t>establishing trust in our pricing policy</w:t>
      </w:r>
    </w:p>
    <w:p w:rsidR="00A802C4" w:rsidRPr="000A5579" w:rsidRDefault="00A802C4" w:rsidP="000A5579">
      <w:pPr>
        <w:pStyle w:val="s40"/>
        <w:numPr>
          <w:ilvl w:val="0"/>
          <w:numId w:val="31"/>
        </w:numPr>
        <w:spacing w:before="0" w:beforeAutospacing="0" w:after="0" w:afterAutospacing="0"/>
        <w:rPr>
          <w:rFonts w:ascii="Tesco" w:hAnsi="Tesco"/>
          <w:sz w:val="21"/>
          <w:szCs w:val="21"/>
        </w:rPr>
      </w:pPr>
      <w:r w:rsidRPr="000A5579">
        <w:rPr>
          <w:rFonts w:ascii="Tesco" w:hAnsi="Tesco"/>
          <w:sz w:val="21"/>
          <w:szCs w:val="21"/>
        </w:rPr>
        <w:t xml:space="preserve">the progress made against our </w:t>
      </w:r>
      <w:r>
        <w:rPr>
          <w:rFonts w:ascii="Tesco" w:hAnsi="Tesco"/>
          <w:sz w:val="21"/>
          <w:szCs w:val="21"/>
        </w:rPr>
        <w:t>three</w:t>
      </w:r>
      <w:r w:rsidRPr="000A5579">
        <w:rPr>
          <w:rFonts w:ascii="Tesco" w:hAnsi="Tesco"/>
          <w:sz w:val="21"/>
          <w:szCs w:val="21"/>
        </w:rPr>
        <w:t xml:space="preserve"> major social responsibility initiatives</w:t>
      </w:r>
    </w:p>
    <w:p w:rsidR="000F6D76" w:rsidRPr="000A5579" w:rsidRDefault="000F6D76" w:rsidP="000A5579">
      <w:pPr>
        <w:pStyle w:val="s40"/>
        <w:numPr>
          <w:ilvl w:val="0"/>
          <w:numId w:val="31"/>
        </w:numPr>
        <w:spacing w:before="0" w:beforeAutospacing="0" w:after="0" w:afterAutospacing="0"/>
        <w:rPr>
          <w:rFonts w:ascii="Tesco" w:hAnsi="Tesco"/>
          <w:sz w:val="21"/>
          <w:szCs w:val="21"/>
        </w:rPr>
      </w:pPr>
      <w:r>
        <w:rPr>
          <w:rFonts w:ascii="Tesco" w:hAnsi="Tesco"/>
          <w:sz w:val="21"/>
          <w:szCs w:val="21"/>
        </w:rPr>
        <w:t>reg</w:t>
      </w:r>
      <w:r w:rsidR="002A1297">
        <w:rPr>
          <w:rFonts w:ascii="Tesco" w:hAnsi="Tesco"/>
          <w:sz w:val="21"/>
          <w:szCs w:val="21"/>
        </w:rPr>
        <w:t>enerating</w:t>
      </w:r>
      <w:r>
        <w:rPr>
          <w:rFonts w:ascii="Tesco" w:hAnsi="Tesco"/>
          <w:sz w:val="21"/>
          <w:szCs w:val="21"/>
        </w:rPr>
        <w:t xml:space="preserve"> relations with suppliers with new</w:t>
      </w:r>
      <w:r w:rsidR="002A1297">
        <w:rPr>
          <w:rFonts w:ascii="Tesco" w:hAnsi="Tesco"/>
          <w:sz w:val="21"/>
          <w:szCs w:val="21"/>
        </w:rPr>
        <w:t xml:space="preserve"> commercial income</w:t>
      </w:r>
      <w:r>
        <w:rPr>
          <w:rFonts w:ascii="Tesco" w:hAnsi="Tesco"/>
          <w:sz w:val="21"/>
          <w:szCs w:val="21"/>
        </w:rPr>
        <w:t xml:space="preserve"> guidelines and associated year end c</w:t>
      </w:r>
      <w:r w:rsidR="002A1297">
        <w:rPr>
          <w:rFonts w:ascii="Tesco" w:hAnsi="Tesco"/>
          <w:sz w:val="21"/>
          <w:szCs w:val="21"/>
        </w:rPr>
        <w:t xml:space="preserve">ash </w:t>
      </w:r>
      <w:r>
        <w:rPr>
          <w:rFonts w:ascii="Tesco" w:hAnsi="Tesco"/>
          <w:sz w:val="21"/>
          <w:szCs w:val="21"/>
        </w:rPr>
        <w:t>management</w:t>
      </w:r>
    </w:p>
    <w:p w:rsidR="00A802C4" w:rsidRDefault="00A802C4" w:rsidP="00A802C4">
      <w:pPr>
        <w:pStyle w:val="s39"/>
        <w:spacing w:before="0" w:beforeAutospacing="0" w:after="0" w:afterAutospacing="0"/>
      </w:pPr>
      <w:r>
        <w:t> </w:t>
      </w:r>
    </w:p>
    <w:p w:rsidR="00510583" w:rsidRPr="000A5579" w:rsidRDefault="00A802C4" w:rsidP="00A802C4">
      <w:pPr>
        <w:pStyle w:val="BodyTextIndent"/>
        <w:rPr>
          <w:rFonts w:ascii="Tesco" w:eastAsia="Calibri" w:hAnsi="Tesco" w:cs="Calibri"/>
          <w:snapToGrid/>
          <w:color w:val="auto"/>
          <w:sz w:val="21"/>
          <w:szCs w:val="21"/>
        </w:rPr>
      </w:pPr>
      <w:r>
        <w:rPr>
          <w:rFonts w:ascii="Tesco" w:eastAsia="Calibri" w:hAnsi="Tesco" w:cs="Calibri"/>
          <w:snapToGrid/>
          <w:color w:val="auto"/>
          <w:sz w:val="21"/>
          <w:szCs w:val="21"/>
        </w:rPr>
        <w:t>Group trading p</w:t>
      </w:r>
      <w:r w:rsidRPr="000A5579">
        <w:rPr>
          <w:rFonts w:ascii="Tesco" w:eastAsia="Calibri" w:hAnsi="Tesco" w:cs="Calibri"/>
          <w:snapToGrid/>
          <w:color w:val="auto"/>
          <w:sz w:val="21"/>
          <w:szCs w:val="21"/>
        </w:rPr>
        <w:t xml:space="preserve">rofit guidance of no more than £1.4bn </w:t>
      </w:r>
      <w:r>
        <w:rPr>
          <w:rFonts w:ascii="Tesco" w:eastAsia="Calibri" w:hAnsi="Tesco" w:cs="Calibri"/>
          <w:snapToGrid/>
          <w:color w:val="auto"/>
          <w:sz w:val="21"/>
          <w:szCs w:val="21"/>
        </w:rPr>
        <w:t xml:space="preserve">for 2014/15 </w:t>
      </w:r>
      <w:r w:rsidR="00741EF9">
        <w:rPr>
          <w:rFonts w:ascii="Tesco" w:eastAsia="Calibri" w:hAnsi="Tesco" w:cs="Calibri"/>
          <w:snapToGrid/>
          <w:color w:val="auto"/>
          <w:sz w:val="21"/>
          <w:szCs w:val="21"/>
        </w:rPr>
        <w:t>is</w:t>
      </w:r>
      <w:r w:rsidRPr="000A5579">
        <w:rPr>
          <w:rFonts w:ascii="Tesco" w:eastAsia="Calibri" w:hAnsi="Tesco" w:cs="Calibri"/>
          <w:snapToGrid/>
          <w:color w:val="auto"/>
          <w:sz w:val="21"/>
          <w:szCs w:val="21"/>
        </w:rPr>
        <w:t xml:space="preserve"> maintained.</w:t>
      </w:r>
      <w:r>
        <w:rPr>
          <w:rFonts w:ascii="Tesco" w:eastAsia="Calibri" w:hAnsi="Tesco" w:cs="Calibri"/>
          <w:snapToGrid/>
          <w:color w:val="auto"/>
          <w:sz w:val="21"/>
          <w:szCs w:val="21"/>
        </w:rPr>
        <w:t xml:space="preserve"> </w:t>
      </w:r>
      <w:r w:rsidRPr="000A5579">
        <w:rPr>
          <w:rFonts w:ascii="Tesco" w:eastAsia="Calibri" w:hAnsi="Tesco" w:cs="Calibri"/>
          <w:snapToGrid/>
          <w:color w:val="auto"/>
          <w:sz w:val="21"/>
          <w:szCs w:val="21"/>
        </w:rPr>
        <w:t xml:space="preserve"> </w:t>
      </w:r>
      <w:r w:rsidR="000F6D76">
        <w:rPr>
          <w:rFonts w:ascii="Tesco" w:eastAsia="Calibri" w:hAnsi="Tesco" w:cs="Calibri"/>
          <w:snapToGrid/>
          <w:color w:val="auto"/>
          <w:sz w:val="21"/>
          <w:szCs w:val="21"/>
        </w:rPr>
        <w:t>The immediate priority for proceeds</w:t>
      </w:r>
      <w:r w:rsidRPr="000A5579">
        <w:rPr>
          <w:rFonts w:ascii="Tesco" w:eastAsia="Calibri" w:hAnsi="Tesco" w:cs="Calibri"/>
          <w:snapToGrid/>
          <w:color w:val="auto"/>
          <w:sz w:val="21"/>
          <w:szCs w:val="21"/>
        </w:rPr>
        <w:t xml:space="preserve"> from th</w:t>
      </w:r>
      <w:r>
        <w:rPr>
          <w:rFonts w:ascii="Tesco" w:eastAsia="Calibri" w:hAnsi="Tesco" w:cs="Calibri"/>
          <w:snapToGrid/>
          <w:color w:val="auto"/>
          <w:sz w:val="21"/>
          <w:szCs w:val="21"/>
        </w:rPr>
        <w:t>e</w:t>
      </w:r>
      <w:r w:rsidRPr="000A5579">
        <w:rPr>
          <w:rFonts w:ascii="Tesco" w:eastAsia="Calibri" w:hAnsi="Tesco" w:cs="Calibri"/>
          <w:snapToGrid/>
          <w:color w:val="auto"/>
          <w:sz w:val="21"/>
          <w:szCs w:val="21"/>
        </w:rPr>
        <w:t xml:space="preserve"> new level of financial discipline and cost control will be </w:t>
      </w:r>
      <w:r w:rsidR="00837F28" w:rsidRPr="000A5579">
        <w:rPr>
          <w:rFonts w:ascii="Tesco" w:eastAsia="Calibri" w:hAnsi="Tesco" w:cs="Calibri"/>
          <w:snapToGrid/>
          <w:color w:val="auto"/>
          <w:sz w:val="21"/>
          <w:szCs w:val="21"/>
        </w:rPr>
        <w:t>reinvest</w:t>
      </w:r>
      <w:r w:rsidR="00837F28">
        <w:rPr>
          <w:rFonts w:ascii="Tesco" w:eastAsia="Calibri" w:hAnsi="Tesco" w:cs="Calibri"/>
          <w:snapToGrid/>
          <w:color w:val="auto"/>
          <w:sz w:val="21"/>
          <w:szCs w:val="21"/>
        </w:rPr>
        <w:t>ment</w:t>
      </w:r>
      <w:r w:rsidR="00837F28" w:rsidRPr="000A5579">
        <w:rPr>
          <w:rFonts w:ascii="Tesco" w:eastAsia="Calibri" w:hAnsi="Tesco" w:cs="Calibri"/>
          <w:snapToGrid/>
          <w:color w:val="auto"/>
          <w:sz w:val="21"/>
          <w:szCs w:val="21"/>
        </w:rPr>
        <w:t xml:space="preserve"> </w:t>
      </w:r>
      <w:r w:rsidRPr="000A5579">
        <w:rPr>
          <w:rFonts w:ascii="Tesco" w:eastAsia="Calibri" w:hAnsi="Tesco" w:cs="Calibri"/>
          <w:snapToGrid/>
          <w:color w:val="auto"/>
          <w:sz w:val="21"/>
          <w:szCs w:val="21"/>
        </w:rPr>
        <w:t xml:space="preserve">in </w:t>
      </w:r>
      <w:r w:rsidR="000F6D76">
        <w:rPr>
          <w:rFonts w:ascii="Tesco" w:eastAsia="Calibri" w:hAnsi="Tesco" w:cs="Calibri"/>
          <w:snapToGrid/>
          <w:color w:val="auto"/>
          <w:sz w:val="21"/>
          <w:szCs w:val="21"/>
        </w:rPr>
        <w:t xml:space="preserve">our </w:t>
      </w:r>
      <w:r w:rsidRPr="000A5579">
        <w:rPr>
          <w:rFonts w:ascii="Tesco" w:eastAsia="Calibri" w:hAnsi="Tesco" w:cs="Calibri"/>
          <w:snapToGrid/>
          <w:color w:val="auto"/>
          <w:sz w:val="21"/>
          <w:szCs w:val="21"/>
        </w:rPr>
        <w:t xml:space="preserve">core customer proposition. </w:t>
      </w:r>
    </w:p>
    <w:p w:rsidR="00D7029C" w:rsidRDefault="00D7029C" w:rsidP="005D1E25">
      <w:pPr>
        <w:pStyle w:val="BodyTextIndent"/>
        <w:rPr>
          <w:rFonts w:ascii="Tesco" w:hAnsi="Tesco"/>
          <w:snapToGrid/>
          <w:sz w:val="21"/>
          <w:szCs w:val="21"/>
        </w:rPr>
      </w:pPr>
    </w:p>
    <w:p w:rsidR="003E5F95" w:rsidRDefault="003E5F95" w:rsidP="005D1E25">
      <w:pPr>
        <w:pStyle w:val="BodyTextIndent"/>
        <w:rPr>
          <w:rFonts w:ascii="Tesco" w:hAnsi="Tesco"/>
          <w:b/>
          <w:sz w:val="21"/>
          <w:szCs w:val="21"/>
          <w:u w:val="single"/>
        </w:rPr>
      </w:pPr>
      <w:r>
        <w:rPr>
          <w:rFonts w:ascii="Tesco" w:hAnsi="Tesco"/>
          <w:snapToGrid/>
          <w:sz w:val="21"/>
          <w:szCs w:val="21"/>
        </w:rPr>
        <w:t xml:space="preserve">The full presentation will be webcast </w:t>
      </w:r>
      <w:r w:rsidR="004452E8">
        <w:rPr>
          <w:rFonts w:ascii="Tesco" w:hAnsi="Tesco"/>
          <w:snapToGrid/>
          <w:sz w:val="21"/>
          <w:szCs w:val="21"/>
        </w:rPr>
        <w:t xml:space="preserve">live </w:t>
      </w:r>
      <w:r>
        <w:rPr>
          <w:rFonts w:ascii="Tesco" w:hAnsi="Tesco"/>
          <w:snapToGrid/>
          <w:sz w:val="21"/>
          <w:szCs w:val="21"/>
        </w:rPr>
        <w:t xml:space="preserve">and available to download on our website </w:t>
      </w:r>
      <w:r w:rsidR="004344FE">
        <w:rPr>
          <w:rFonts w:ascii="Tesco" w:hAnsi="Tesco"/>
          <w:snapToGrid/>
          <w:sz w:val="21"/>
          <w:szCs w:val="21"/>
        </w:rPr>
        <w:t xml:space="preserve">from 11.30am </w:t>
      </w:r>
      <w:r w:rsidR="00D7029C">
        <w:rPr>
          <w:rFonts w:ascii="Tesco" w:hAnsi="Tesco"/>
          <w:snapToGrid/>
          <w:sz w:val="21"/>
          <w:szCs w:val="21"/>
        </w:rPr>
        <w:t xml:space="preserve">at </w:t>
      </w:r>
      <w:hyperlink r:id="rId9" w:history="1">
        <w:r w:rsidR="005D1E25" w:rsidRPr="0007595E">
          <w:rPr>
            <w:rStyle w:val="Hyperlink"/>
            <w:rFonts w:ascii="Tesco" w:hAnsi="Tesco"/>
            <w:snapToGrid/>
            <w:sz w:val="21"/>
            <w:szCs w:val="21"/>
          </w:rPr>
          <w:t>www.tescoplc.com/investors</w:t>
        </w:r>
      </w:hyperlink>
      <w:r w:rsidR="00D7029C">
        <w:rPr>
          <w:rFonts w:ascii="Tesco" w:hAnsi="Tesco"/>
          <w:snapToGrid/>
          <w:sz w:val="21"/>
          <w:szCs w:val="21"/>
        </w:rPr>
        <w:t>.</w:t>
      </w:r>
    </w:p>
    <w:p w:rsidR="00864EAE" w:rsidRPr="00915ACF" w:rsidRDefault="00864EAE" w:rsidP="00864EAE">
      <w:pPr>
        <w:autoSpaceDE w:val="0"/>
        <w:autoSpaceDN w:val="0"/>
        <w:adjustRightInd w:val="0"/>
        <w:ind w:left="2883"/>
        <w:rPr>
          <w:rFonts w:ascii="Tesco" w:hAnsi="Tesco" w:cs="Courier New"/>
          <w:sz w:val="16"/>
          <w:szCs w:val="16"/>
        </w:rPr>
      </w:pP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8931"/>
      </w:tblGrid>
      <w:tr w:rsidR="00864EAE" w:rsidRPr="00D9698D" w:rsidTr="0030666B">
        <w:trPr>
          <w:trHeight w:val="312"/>
        </w:trPr>
        <w:tc>
          <w:tcPr>
            <w:tcW w:w="8931" w:type="dxa"/>
            <w:shd w:val="clear" w:color="auto" w:fill="548DD4"/>
            <w:vAlign w:val="center"/>
          </w:tcPr>
          <w:p w:rsidR="00864EAE" w:rsidRPr="00D9698D" w:rsidRDefault="00864EAE" w:rsidP="00864EAE">
            <w:pPr>
              <w:pStyle w:val="NormalWeb"/>
              <w:jc w:val="center"/>
              <w:rPr>
                <w:rFonts w:ascii="Tesco" w:hAnsi="Tesco"/>
                <w:b/>
                <w:color w:val="FFFFFF"/>
                <w:sz w:val="21"/>
                <w:szCs w:val="21"/>
              </w:rPr>
            </w:pPr>
            <w:r>
              <w:rPr>
                <w:rFonts w:ascii="Tesco" w:hAnsi="Tesco"/>
                <w:b/>
                <w:color w:val="FFFFFF"/>
                <w:sz w:val="21"/>
                <w:szCs w:val="21"/>
              </w:rPr>
              <w:t>Trading Update</w:t>
            </w:r>
          </w:p>
        </w:tc>
      </w:tr>
    </w:tbl>
    <w:p w:rsidR="00864EAE" w:rsidRDefault="00864EAE" w:rsidP="000835E2">
      <w:pPr>
        <w:rPr>
          <w:rFonts w:ascii="Tesco" w:hAnsi="Tesco"/>
          <w:b/>
          <w:sz w:val="21"/>
          <w:szCs w:val="21"/>
          <w:u w:val="single"/>
        </w:rPr>
      </w:pPr>
    </w:p>
    <w:p w:rsidR="00641559" w:rsidRPr="00A539F8" w:rsidRDefault="000835E2" w:rsidP="000835E2">
      <w:pPr>
        <w:rPr>
          <w:rFonts w:ascii="Tesco" w:hAnsi="Tesco"/>
          <w:b/>
          <w:sz w:val="21"/>
          <w:szCs w:val="21"/>
          <w:u w:val="single"/>
        </w:rPr>
      </w:pPr>
      <w:r w:rsidRPr="00A539F8">
        <w:rPr>
          <w:rFonts w:ascii="Tesco" w:hAnsi="Tesco"/>
          <w:b/>
          <w:sz w:val="21"/>
          <w:szCs w:val="21"/>
          <w:u w:val="single"/>
        </w:rPr>
        <w:t>Group sales</w:t>
      </w:r>
    </w:p>
    <w:p w:rsidR="000835E2" w:rsidRPr="00A539F8" w:rsidRDefault="000835E2" w:rsidP="000835E2">
      <w:pPr>
        <w:rPr>
          <w:rFonts w:ascii="Tesco" w:hAnsi="Tesco"/>
          <w:sz w:val="21"/>
          <w:szCs w:val="21"/>
        </w:rPr>
      </w:pPr>
    </w:p>
    <w:p w:rsidR="000C3033" w:rsidRPr="00163A0B" w:rsidRDefault="000C3033" w:rsidP="000C3033">
      <w:pPr>
        <w:rPr>
          <w:rFonts w:ascii="Tesco" w:hAnsi="Tesco"/>
          <w:sz w:val="21"/>
          <w:szCs w:val="21"/>
        </w:rPr>
      </w:pPr>
      <w:r w:rsidRPr="00A539F8">
        <w:rPr>
          <w:rFonts w:ascii="Tesco" w:hAnsi="Tesco"/>
          <w:sz w:val="21"/>
          <w:szCs w:val="21"/>
        </w:rPr>
        <w:t>Group</w:t>
      </w:r>
      <w:r w:rsidRPr="00163A0B">
        <w:rPr>
          <w:rFonts w:ascii="Tesco" w:hAnsi="Tesco"/>
          <w:sz w:val="21"/>
          <w:szCs w:val="21"/>
        </w:rPr>
        <w:t xml:space="preserve"> sales for the 19 weeks to 3 January 2015 declined by (</w:t>
      </w:r>
      <w:r w:rsidR="00390CD4">
        <w:rPr>
          <w:rFonts w:ascii="Tesco" w:hAnsi="Tesco"/>
          <w:sz w:val="21"/>
          <w:szCs w:val="21"/>
        </w:rPr>
        <w:t>0.6</w:t>
      </w:r>
      <w:r w:rsidRPr="00163A0B">
        <w:rPr>
          <w:rFonts w:ascii="Tesco" w:hAnsi="Tesco"/>
          <w:sz w:val="21"/>
          <w:szCs w:val="21"/>
        </w:rPr>
        <w:t xml:space="preserve">)% at constant rates, including </w:t>
      </w:r>
      <w:r w:rsidR="00535872">
        <w:rPr>
          <w:rFonts w:ascii="Tesco" w:hAnsi="Tesco"/>
          <w:sz w:val="21"/>
          <w:szCs w:val="21"/>
        </w:rPr>
        <w:t>fuel</w:t>
      </w:r>
      <w:r w:rsidRPr="00163A0B">
        <w:rPr>
          <w:rFonts w:ascii="Tesco" w:hAnsi="Tesco"/>
          <w:sz w:val="21"/>
          <w:szCs w:val="21"/>
        </w:rPr>
        <w:t xml:space="preserve"> and (</w:t>
      </w:r>
      <w:r w:rsidR="00945736" w:rsidRPr="00E1007F">
        <w:rPr>
          <w:rFonts w:ascii="Tesco" w:hAnsi="Tesco"/>
          <w:sz w:val="21"/>
          <w:szCs w:val="21"/>
        </w:rPr>
        <w:t>1.0</w:t>
      </w:r>
      <w:r w:rsidRPr="00163A0B">
        <w:rPr>
          <w:rFonts w:ascii="Tesco" w:hAnsi="Tesco"/>
          <w:sz w:val="21"/>
          <w:szCs w:val="21"/>
        </w:rPr>
        <w:t xml:space="preserve">)% excluding </w:t>
      </w:r>
      <w:r w:rsidR="00535872">
        <w:rPr>
          <w:rFonts w:ascii="Tesco" w:hAnsi="Tesco"/>
          <w:sz w:val="21"/>
          <w:szCs w:val="21"/>
        </w:rPr>
        <w:t>fuel</w:t>
      </w:r>
      <w:r w:rsidRPr="00163A0B">
        <w:rPr>
          <w:rFonts w:ascii="Tesco" w:hAnsi="Tesco"/>
          <w:sz w:val="21"/>
          <w:szCs w:val="21"/>
        </w:rPr>
        <w:t>.  At actual rates</w:t>
      </w:r>
      <w:r>
        <w:rPr>
          <w:rFonts w:ascii="Tesco" w:hAnsi="Tesco"/>
          <w:sz w:val="21"/>
          <w:szCs w:val="21"/>
        </w:rPr>
        <w:t>,</w:t>
      </w:r>
      <w:r w:rsidRPr="00163A0B">
        <w:rPr>
          <w:rFonts w:ascii="Tesco" w:hAnsi="Tesco"/>
          <w:sz w:val="21"/>
          <w:szCs w:val="21"/>
        </w:rPr>
        <w:t xml:space="preserve"> sales declined by (</w:t>
      </w:r>
      <w:r w:rsidR="00390CD4">
        <w:rPr>
          <w:rFonts w:ascii="Tesco" w:hAnsi="Tesco"/>
          <w:sz w:val="21"/>
          <w:szCs w:val="21"/>
        </w:rPr>
        <w:t>1.9</w:t>
      </w:r>
      <w:r>
        <w:rPr>
          <w:rFonts w:ascii="Tesco" w:hAnsi="Tesco"/>
          <w:sz w:val="21"/>
          <w:szCs w:val="21"/>
        </w:rPr>
        <w:t>)%</w:t>
      </w:r>
      <w:r w:rsidRPr="00163A0B">
        <w:rPr>
          <w:rFonts w:ascii="Tesco" w:hAnsi="Tesco"/>
          <w:sz w:val="21"/>
          <w:szCs w:val="21"/>
        </w:rPr>
        <w:t xml:space="preserve"> including </w:t>
      </w:r>
      <w:r w:rsidR="00535872">
        <w:rPr>
          <w:rFonts w:ascii="Tesco" w:hAnsi="Tesco"/>
          <w:sz w:val="21"/>
          <w:szCs w:val="21"/>
        </w:rPr>
        <w:t>fuel</w:t>
      </w:r>
      <w:r w:rsidRPr="00163A0B">
        <w:rPr>
          <w:rFonts w:ascii="Tesco" w:hAnsi="Tesco"/>
          <w:sz w:val="21"/>
          <w:szCs w:val="21"/>
        </w:rPr>
        <w:t xml:space="preserve"> and by (</w:t>
      </w:r>
      <w:r w:rsidR="00390CD4">
        <w:rPr>
          <w:rFonts w:ascii="Tesco" w:hAnsi="Tesco"/>
          <w:sz w:val="21"/>
          <w:szCs w:val="21"/>
        </w:rPr>
        <w:t>2.3</w:t>
      </w:r>
      <w:r w:rsidRPr="00163A0B">
        <w:rPr>
          <w:rFonts w:ascii="Tesco" w:hAnsi="Tesco"/>
          <w:sz w:val="21"/>
          <w:szCs w:val="21"/>
        </w:rPr>
        <w:t xml:space="preserve">)% excluding </w:t>
      </w:r>
      <w:r w:rsidR="00535872">
        <w:rPr>
          <w:rFonts w:ascii="Tesco" w:hAnsi="Tesco"/>
          <w:sz w:val="21"/>
          <w:szCs w:val="21"/>
        </w:rPr>
        <w:t>fuel</w:t>
      </w:r>
      <w:r w:rsidRPr="00163A0B">
        <w:rPr>
          <w:rFonts w:ascii="Tesco" w:hAnsi="Tesco"/>
          <w:sz w:val="21"/>
          <w:szCs w:val="21"/>
        </w:rPr>
        <w:t>.</w:t>
      </w:r>
    </w:p>
    <w:p w:rsidR="000835E2" w:rsidRDefault="000835E2" w:rsidP="00641559">
      <w:pPr>
        <w:pStyle w:val="Heading1"/>
        <w:spacing w:line="240" w:lineRule="auto"/>
        <w:jc w:val="left"/>
        <w:rPr>
          <w:sz w:val="21"/>
          <w:szCs w:val="21"/>
        </w:rPr>
      </w:pPr>
    </w:p>
    <w:p w:rsidR="000835E2" w:rsidRPr="00A539F8" w:rsidRDefault="000835E2" w:rsidP="000835E2">
      <w:pPr>
        <w:rPr>
          <w:rFonts w:ascii="Tesco" w:hAnsi="Tesco"/>
          <w:b/>
          <w:sz w:val="21"/>
          <w:szCs w:val="21"/>
          <w:u w:val="single"/>
        </w:rPr>
      </w:pPr>
      <w:r w:rsidRPr="00A539F8">
        <w:rPr>
          <w:rFonts w:ascii="Tesco" w:hAnsi="Tesco"/>
          <w:b/>
          <w:sz w:val="21"/>
          <w:szCs w:val="21"/>
          <w:u w:val="single"/>
        </w:rPr>
        <w:t xml:space="preserve">UK performance </w:t>
      </w:r>
    </w:p>
    <w:p w:rsidR="003D4B6C" w:rsidRPr="00A539F8" w:rsidRDefault="002132C6" w:rsidP="000835E2">
      <w:pPr>
        <w:pStyle w:val="Heading1"/>
        <w:spacing w:line="240" w:lineRule="auto"/>
        <w:jc w:val="left"/>
        <w:rPr>
          <w:rFonts w:ascii="Tesco" w:hAnsi="Tesco"/>
          <w:snapToGrid/>
          <w:color w:val="auto"/>
          <w:sz w:val="21"/>
          <w:szCs w:val="21"/>
        </w:rPr>
      </w:pPr>
      <w:r w:rsidRPr="00A539F8">
        <w:rPr>
          <w:sz w:val="21"/>
          <w:szCs w:val="21"/>
        </w:rPr>
        <w:tab/>
      </w:r>
    </w:p>
    <w:p w:rsidR="00D31005" w:rsidRDefault="00C64F50" w:rsidP="000C3033">
      <w:pPr>
        <w:pStyle w:val="BodyTextIndent"/>
        <w:rPr>
          <w:rFonts w:ascii="Tesco" w:hAnsi="Tesco"/>
          <w:snapToGrid/>
          <w:sz w:val="21"/>
          <w:szCs w:val="21"/>
        </w:rPr>
      </w:pPr>
      <w:r w:rsidRPr="00FD128C">
        <w:rPr>
          <w:rFonts w:ascii="Tesco" w:hAnsi="Tesco"/>
          <w:sz w:val="21"/>
          <w:szCs w:val="21"/>
        </w:rPr>
        <w:t xml:space="preserve">We </w:t>
      </w:r>
      <w:r w:rsidR="003D64A5">
        <w:rPr>
          <w:rFonts w:ascii="Tesco" w:hAnsi="Tesco"/>
          <w:sz w:val="21"/>
          <w:szCs w:val="21"/>
        </w:rPr>
        <w:t xml:space="preserve">delivered a marked </w:t>
      </w:r>
      <w:r w:rsidRPr="00FD128C">
        <w:rPr>
          <w:rFonts w:ascii="Tesco" w:hAnsi="Tesco"/>
          <w:sz w:val="21"/>
          <w:szCs w:val="21"/>
        </w:rPr>
        <w:t>improvement in our performance across the period</w:t>
      </w:r>
      <w:r w:rsidR="00D60D06">
        <w:rPr>
          <w:rFonts w:ascii="Tesco" w:hAnsi="Tesco"/>
          <w:sz w:val="21"/>
          <w:szCs w:val="21"/>
        </w:rPr>
        <w:t xml:space="preserve">.  </w:t>
      </w:r>
      <w:r w:rsidR="00D31005">
        <w:rPr>
          <w:rFonts w:ascii="Tesco" w:hAnsi="Tesco"/>
          <w:snapToGrid/>
          <w:sz w:val="21"/>
          <w:szCs w:val="21"/>
        </w:rPr>
        <w:t>T</w:t>
      </w:r>
      <w:r w:rsidR="000C3033" w:rsidRPr="00FD128C">
        <w:rPr>
          <w:rFonts w:ascii="Tesco" w:hAnsi="Tesco"/>
          <w:snapToGrid/>
          <w:sz w:val="21"/>
          <w:szCs w:val="21"/>
        </w:rPr>
        <w:t xml:space="preserve">otal </w:t>
      </w:r>
      <w:r w:rsidR="00D31005">
        <w:rPr>
          <w:rFonts w:ascii="Tesco" w:hAnsi="Tesco"/>
          <w:snapToGrid/>
          <w:sz w:val="21"/>
          <w:szCs w:val="21"/>
        </w:rPr>
        <w:t xml:space="preserve">UK </w:t>
      </w:r>
      <w:r w:rsidR="000C3033" w:rsidRPr="00FD128C">
        <w:rPr>
          <w:rFonts w:ascii="Tesco" w:hAnsi="Tesco"/>
          <w:snapToGrid/>
          <w:sz w:val="21"/>
          <w:szCs w:val="21"/>
        </w:rPr>
        <w:t xml:space="preserve">sales including VAT and </w:t>
      </w:r>
      <w:r w:rsidR="00535872">
        <w:rPr>
          <w:rFonts w:ascii="Tesco" w:hAnsi="Tesco"/>
          <w:snapToGrid/>
          <w:sz w:val="21"/>
          <w:szCs w:val="21"/>
        </w:rPr>
        <w:t>fuel</w:t>
      </w:r>
      <w:r w:rsidR="000C3033" w:rsidRPr="00FD128C">
        <w:rPr>
          <w:rFonts w:ascii="Tesco" w:hAnsi="Tesco"/>
          <w:snapToGrid/>
          <w:sz w:val="21"/>
          <w:szCs w:val="21"/>
        </w:rPr>
        <w:t xml:space="preserve"> </w:t>
      </w:r>
      <w:r w:rsidR="003D64A5">
        <w:rPr>
          <w:rFonts w:ascii="Tesco" w:hAnsi="Tesco"/>
          <w:snapToGrid/>
          <w:sz w:val="21"/>
          <w:szCs w:val="21"/>
        </w:rPr>
        <w:t xml:space="preserve">for the full 19 weeks to </w:t>
      </w:r>
      <w:r w:rsidR="00C741F6">
        <w:rPr>
          <w:rFonts w:ascii="Tesco" w:hAnsi="Tesco"/>
          <w:snapToGrid/>
          <w:sz w:val="21"/>
          <w:szCs w:val="21"/>
        </w:rPr>
        <w:t xml:space="preserve">3 </w:t>
      </w:r>
      <w:r w:rsidR="003D64A5">
        <w:rPr>
          <w:rFonts w:ascii="Tesco" w:hAnsi="Tesco"/>
          <w:snapToGrid/>
          <w:sz w:val="21"/>
          <w:szCs w:val="21"/>
        </w:rPr>
        <w:t xml:space="preserve">January </w:t>
      </w:r>
      <w:r w:rsidR="000C3033" w:rsidRPr="00FD128C">
        <w:rPr>
          <w:rFonts w:ascii="Tesco" w:hAnsi="Tesco"/>
          <w:snapToGrid/>
          <w:sz w:val="21"/>
          <w:szCs w:val="21"/>
        </w:rPr>
        <w:t>declined by (</w:t>
      </w:r>
      <w:r w:rsidR="00390CD4">
        <w:rPr>
          <w:rFonts w:ascii="Tesco" w:hAnsi="Tesco"/>
          <w:snapToGrid/>
          <w:sz w:val="21"/>
          <w:szCs w:val="21"/>
        </w:rPr>
        <w:t>0.7</w:t>
      </w:r>
      <w:r w:rsidR="000C3033" w:rsidRPr="00FD128C">
        <w:rPr>
          <w:rFonts w:ascii="Tesco" w:hAnsi="Tesco"/>
          <w:snapToGrid/>
          <w:sz w:val="21"/>
          <w:szCs w:val="21"/>
        </w:rPr>
        <w:t>)%</w:t>
      </w:r>
      <w:r w:rsidR="00D60D06">
        <w:rPr>
          <w:rFonts w:ascii="Tesco" w:hAnsi="Tesco"/>
          <w:snapToGrid/>
          <w:sz w:val="21"/>
          <w:szCs w:val="21"/>
        </w:rPr>
        <w:t xml:space="preserve"> </w:t>
      </w:r>
      <w:r w:rsidR="00D31005">
        <w:rPr>
          <w:rFonts w:ascii="Tesco" w:hAnsi="Tesco"/>
          <w:snapToGrid/>
          <w:sz w:val="21"/>
          <w:szCs w:val="21"/>
        </w:rPr>
        <w:t xml:space="preserve">compared to a </w:t>
      </w:r>
      <w:r w:rsidR="00D31005" w:rsidRPr="00E2593A">
        <w:rPr>
          <w:rFonts w:ascii="Tesco" w:hAnsi="Tesco"/>
          <w:snapToGrid/>
          <w:sz w:val="21"/>
          <w:szCs w:val="21"/>
        </w:rPr>
        <w:t>decline of (</w:t>
      </w:r>
      <w:r w:rsidR="00D31005" w:rsidRPr="005C4947">
        <w:rPr>
          <w:rFonts w:ascii="Tesco" w:hAnsi="Tesco"/>
          <w:snapToGrid/>
          <w:sz w:val="21"/>
          <w:szCs w:val="21"/>
        </w:rPr>
        <w:t>3.</w:t>
      </w:r>
      <w:r w:rsidR="00C741F6" w:rsidRPr="00E2593A">
        <w:rPr>
          <w:rFonts w:ascii="Tesco" w:hAnsi="Tesco"/>
          <w:snapToGrid/>
          <w:sz w:val="21"/>
          <w:szCs w:val="21"/>
        </w:rPr>
        <w:t>2</w:t>
      </w:r>
      <w:r w:rsidR="00D31005" w:rsidRPr="005C4947">
        <w:rPr>
          <w:rFonts w:ascii="Tesco" w:hAnsi="Tesco"/>
          <w:snapToGrid/>
          <w:sz w:val="21"/>
          <w:szCs w:val="21"/>
        </w:rPr>
        <w:t>)% in</w:t>
      </w:r>
      <w:r w:rsidR="00D31005">
        <w:rPr>
          <w:rFonts w:ascii="Tesco" w:hAnsi="Tesco"/>
          <w:snapToGrid/>
          <w:sz w:val="21"/>
          <w:szCs w:val="21"/>
        </w:rPr>
        <w:t xml:space="preserve"> the second quarter</w:t>
      </w:r>
      <w:r w:rsidR="000C3033" w:rsidRPr="00FD128C">
        <w:rPr>
          <w:rFonts w:ascii="Tesco" w:hAnsi="Tesco"/>
          <w:snapToGrid/>
          <w:sz w:val="21"/>
          <w:szCs w:val="21"/>
        </w:rPr>
        <w:t xml:space="preserve">, and decreased by </w:t>
      </w:r>
      <w:r w:rsidR="004A7092" w:rsidRPr="00FD128C">
        <w:rPr>
          <w:rFonts w:ascii="Tesco" w:hAnsi="Tesco"/>
          <w:snapToGrid/>
          <w:sz w:val="21"/>
          <w:szCs w:val="21"/>
        </w:rPr>
        <w:t>(</w:t>
      </w:r>
      <w:r w:rsidR="00390CD4">
        <w:rPr>
          <w:rFonts w:ascii="Tesco" w:hAnsi="Tesco"/>
          <w:snapToGrid/>
          <w:sz w:val="21"/>
          <w:szCs w:val="21"/>
        </w:rPr>
        <w:t>1.3</w:t>
      </w:r>
      <w:r w:rsidR="004A7092" w:rsidRPr="00FD128C">
        <w:rPr>
          <w:rFonts w:ascii="Tesco" w:hAnsi="Tesco"/>
          <w:snapToGrid/>
          <w:sz w:val="21"/>
          <w:szCs w:val="21"/>
        </w:rPr>
        <w:t>)</w:t>
      </w:r>
      <w:r w:rsidR="000C3033" w:rsidRPr="00FD128C">
        <w:rPr>
          <w:rFonts w:ascii="Tesco" w:hAnsi="Tesco"/>
          <w:snapToGrid/>
          <w:sz w:val="21"/>
          <w:szCs w:val="21"/>
        </w:rPr>
        <w:t xml:space="preserve">% excluding </w:t>
      </w:r>
      <w:r w:rsidR="00D60D06">
        <w:rPr>
          <w:rFonts w:ascii="Tesco" w:hAnsi="Tesco"/>
          <w:snapToGrid/>
          <w:sz w:val="21"/>
          <w:szCs w:val="21"/>
        </w:rPr>
        <w:t>fuel</w:t>
      </w:r>
      <w:r w:rsidR="000C3033" w:rsidRPr="00FD128C">
        <w:rPr>
          <w:rFonts w:ascii="Tesco" w:hAnsi="Tesco"/>
          <w:snapToGrid/>
          <w:sz w:val="21"/>
          <w:szCs w:val="21"/>
        </w:rPr>
        <w:t xml:space="preserve">.  Like-for-like sales </w:t>
      </w:r>
      <w:r w:rsidR="00D60D06">
        <w:rPr>
          <w:rFonts w:ascii="Tesco" w:hAnsi="Tesco"/>
          <w:snapToGrid/>
          <w:sz w:val="21"/>
          <w:szCs w:val="21"/>
        </w:rPr>
        <w:t>(</w:t>
      </w:r>
      <w:r w:rsidR="000C3033" w:rsidRPr="00FD128C">
        <w:rPr>
          <w:rFonts w:ascii="Tesco" w:hAnsi="Tesco"/>
          <w:snapToGrid/>
          <w:sz w:val="21"/>
          <w:szCs w:val="21"/>
        </w:rPr>
        <w:t xml:space="preserve">excluding </w:t>
      </w:r>
      <w:r w:rsidR="00C741F6" w:rsidRPr="004641C1">
        <w:rPr>
          <w:rFonts w:ascii="Tesco" w:hAnsi="Tesco"/>
          <w:snapToGrid/>
          <w:sz w:val="21"/>
          <w:szCs w:val="21"/>
        </w:rPr>
        <w:t>fuel</w:t>
      </w:r>
      <w:r w:rsidR="00D60D06" w:rsidRPr="00E1007F">
        <w:rPr>
          <w:rFonts w:ascii="Tesco" w:hAnsi="Tesco"/>
          <w:snapToGrid/>
          <w:sz w:val="21"/>
          <w:szCs w:val="21"/>
        </w:rPr>
        <w:t>)</w:t>
      </w:r>
      <w:r w:rsidR="000C3033" w:rsidRPr="00E1007F">
        <w:rPr>
          <w:rFonts w:ascii="Tesco" w:hAnsi="Tesco"/>
          <w:snapToGrid/>
          <w:sz w:val="21"/>
          <w:szCs w:val="21"/>
        </w:rPr>
        <w:t xml:space="preserve"> decreased by (</w:t>
      </w:r>
      <w:r w:rsidR="00390CD4" w:rsidRPr="004641C1">
        <w:rPr>
          <w:rFonts w:ascii="Tesco" w:hAnsi="Tesco"/>
          <w:snapToGrid/>
          <w:sz w:val="21"/>
          <w:szCs w:val="21"/>
        </w:rPr>
        <w:t>2.9</w:t>
      </w:r>
      <w:r w:rsidR="000C3033" w:rsidRPr="004641C1">
        <w:rPr>
          <w:rFonts w:ascii="Tesco" w:hAnsi="Tesco"/>
          <w:snapToGrid/>
          <w:sz w:val="21"/>
          <w:szCs w:val="21"/>
        </w:rPr>
        <w:t>)% for the 19 week period</w:t>
      </w:r>
      <w:r w:rsidR="00D31005" w:rsidRPr="00E1007F">
        <w:rPr>
          <w:rFonts w:ascii="Tesco" w:hAnsi="Tesco"/>
          <w:snapToGrid/>
          <w:sz w:val="21"/>
          <w:szCs w:val="21"/>
        </w:rPr>
        <w:t>, compared to a decline of (</w:t>
      </w:r>
      <w:r w:rsidR="00C741F6" w:rsidRPr="00E1007F">
        <w:rPr>
          <w:rFonts w:ascii="Tesco" w:hAnsi="Tesco"/>
          <w:snapToGrid/>
          <w:sz w:val="21"/>
          <w:szCs w:val="21"/>
        </w:rPr>
        <w:t>5.</w:t>
      </w:r>
      <w:r w:rsidR="00D60D06" w:rsidRPr="00E1007F">
        <w:rPr>
          <w:rFonts w:ascii="Tesco" w:hAnsi="Tesco"/>
          <w:snapToGrid/>
          <w:sz w:val="21"/>
          <w:szCs w:val="21"/>
        </w:rPr>
        <w:t>4</w:t>
      </w:r>
      <w:r w:rsidR="00D31005" w:rsidRPr="004641C1">
        <w:rPr>
          <w:rFonts w:ascii="Tesco" w:hAnsi="Tesco"/>
          <w:snapToGrid/>
          <w:sz w:val="21"/>
          <w:szCs w:val="21"/>
        </w:rPr>
        <w:t>)% in the second quarter</w:t>
      </w:r>
      <w:r w:rsidR="000C3033" w:rsidRPr="00E1007F">
        <w:rPr>
          <w:rFonts w:ascii="Tesco" w:hAnsi="Tesco"/>
          <w:snapToGrid/>
          <w:sz w:val="21"/>
          <w:szCs w:val="21"/>
        </w:rPr>
        <w:t xml:space="preserve">.  </w:t>
      </w:r>
      <w:r w:rsidR="00D60D06" w:rsidRPr="00E1007F">
        <w:rPr>
          <w:rFonts w:ascii="Tesco" w:hAnsi="Tesco"/>
          <w:snapToGrid/>
          <w:sz w:val="21"/>
          <w:szCs w:val="21"/>
        </w:rPr>
        <w:t xml:space="preserve">This included a gradual improvement through the third quarter and resulted in </w:t>
      </w:r>
      <w:r w:rsidR="00DE5EE9">
        <w:rPr>
          <w:rFonts w:ascii="Tesco" w:hAnsi="Tesco"/>
          <w:snapToGrid/>
          <w:sz w:val="21"/>
          <w:szCs w:val="21"/>
        </w:rPr>
        <w:t xml:space="preserve">a </w:t>
      </w:r>
      <w:r w:rsidR="00D60D06" w:rsidRPr="00E1007F">
        <w:rPr>
          <w:rFonts w:ascii="Tesco" w:hAnsi="Tesco"/>
          <w:snapToGrid/>
          <w:sz w:val="21"/>
          <w:szCs w:val="21"/>
        </w:rPr>
        <w:t>like-for-like sales performance of (</w:t>
      </w:r>
      <w:r w:rsidR="00390CD4" w:rsidRPr="00E1007F">
        <w:rPr>
          <w:rFonts w:ascii="Tesco" w:hAnsi="Tesco"/>
          <w:snapToGrid/>
          <w:sz w:val="21"/>
          <w:szCs w:val="21"/>
        </w:rPr>
        <w:t>0.3</w:t>
      </w:r>
      <w:r w:rsidR="00D60D06" w:rsidRPr="00E1007F">
        <w:rPr>
          <w:rFonts w:ascii="Tesco" w:hAnsi="Tesco"/>
          <w:snapToGrid/>
          <w:sz w:val="21"/>
          <w:szCs w:val="21"/>
        </w:rPr>
        <w:t>)</w:t>
      </w:r>
      <w:r w:rsidR="00D60D06" w:rsidRPr="004641C1">
        <w:rPr>
          <w:rFonts w:ascii="Tesco" w:hAnsi="Tesco"/>
          <w:snapToGrid/>
          <w:sz w:val="21"/>
          <w:szCs w:val="21"/>
        </w:rPr>
        <w:t>%</w:t>
      </w:r>
      <w:r w:rsidR="00D60D06" w:rsidRPr="00E1007F">
        <w:rPr>
          <w:rFonts w:ascii="Tesco" w:hAnsi="Tesco"/>
          <w:snapToGrid/>
          <w:sz w:val="21"/>
          <w:szCs w:val="21"/>
        </w:rPr>
        <w:t xml:space="preserve"> for the six-week Christmas trading period.</w:t>
      </w:r>
    </w:p>
    <w:p w:rsidR="00D31005" w:rsidRDefault="00D31005" w:rsidP="000C3033">
      <w:pPr>
        <w:pStyle w:val="BodyTextIndent"/>
        <w:rPr>
          <w:rFonts w:ascii="Tesco" w:hAnsi="Tesco"/>
          <w:snapToGrid/>
          <w:sz w:val="21"/>
          <w:szCs w:val="21"/>
        </w:rPr>
      </w:pPr>
    </w:p>
    <w:p w:rsidR="00CD6976" w:rsidRPr="00FD128C" w:rsidRDefault="00FB1191" w:rsidP="000C3033">
      <w:pPr>
        <w:pStyle w:val="BodyTextIndent"/>
        <w:rPr>
          <w:rFonts w:ascii="Tesco" w:hAnsi="Tesco"/>
          <w:snapToGrid/>
          <w:sz w:val="21"/>
          <w:szCs w:val="21"/>
        </w:rPr>
      </w:pPr>
      <w:r w:rsidRPr="00FD128C">
        <w:rPr>
          <w:rFonts w:ascii="Tesco" w:hAnsi="Tesco"/>
          <w:snapToGrid/>
          <w:sz w:val="21"/>
          <w:szCs w:val="21"/>
        </w:rPr>
        <w:t>Th</w:t>
      </w:r>
      <w:r w:rsidR="003D64A5">
        <w:rPr>
          <w:rFonts w:ascii="Tesco" w:hAnsi="Tesco"/>
          <w:snapToGrid/>
          <w:sz w:val="21"/>
          <w:szCs w:val="21"/>
        </w:rPr>
        <w:t>e</w:t>
      </w:r>
      <w:r w:rsidRPr="00FD128C">
        <w:rPr>
          <w:rFonts w:ascii="Tesco" w:hAnsi="Tesco"/>
          <w:snapToGrid/>
          <w:sz w:val="21"/>
          <w:szCs w:val="21"/>
        </w:rPr>
        <w:t xml:space="preserve"> encouraging response from customers f</w:t>
      </w:r>
      <w:r w:rsidR="00D31005">
        <w:rPr>
          <w:rFonts w:ascii="Tesco" w:hAnsi="Tesco"/>
          <w:snapToGrid/>
          <w:sz w:val="21"/>
          <w:szCs w:val="21"/>
        </w:rPr>
        <w:t>ollows</w:t>
      </w:r>
      <w:r w:rsidR="000C3033" w:rsidRPr="00FD128C">
        <w:rPr>
          <w:rFonts w:ascii="Tesco" w:hAnsi="Tesco"/>
          <w:snapToGrid/>
          <w:sz w:val="21"/>
          <w:szCs w:val="21"/>
        </w:rPr>
        <w:t xml:space="preserve"> </w:t>
      </w:r>
      <w:r w:rsidRPr="00FD128C">
        <w:rPr>
          <w:rFonts w:ascii="Tesco" w:hAnsi="Tesco"/>
          <w:snapToGrid/>
          <w:sz w:val="21"/>
          <w:szCs w:val="21"/>
        </w:rPr>
        <w:t xml:space="preserve">the investments we have made across </w:t>
      </w:r>
      <w:r w:rsidR="0004720E" w:rsidRPr="00FD128C">
        <w:rPr>
          <w:rFonts w:ascii="Tesco" w:hAnsi="Tesco"/>
          <w:snapToGrid/>
          <w:sz w:val="21"/>
          <w:szCs w:val="21"/>
        </w:rPr>
        <w:t xml:space="preserve">the </w:t>
      </w:r>
      <w:r w:rsidRPr="00FD128C">
        <w:rPr>
          <w:rFonts w:ascii="Tesco" w:hAnsi="Tesco"/>
          <w:snapToGrid/>
          <w:sz w:val="21"/>
          <w:szCs w:val="21"/>
        </w:rPr>
        <w:t>sto</w:t>
      </w:r>
      <w:r w:rsidR="0004720E" w:rsidRPr="00FD128C">
        <w:rPr>
          <w:rFonts w:ascii="Tesco" w:hAnsi="Tesco"/>
          <w:snapToGrid/>
          <w:sz w:val="21"/>
          <w:szCs w:val="21"/>
        </w:rPr>
        <w:t>r</w:t>
      </w:r>
      <w:r w:rsidRPr="00FD128C">
        <w:rPr>
          <w:rFonts w:ascii="Tesco" w:hAnsi="Tesco"/>
          <w:snapToGrid/>
          <w:sz w:val="21"/>
          <w:szCs w:val="21"/>
        </w:rPr>
        <w:t>e</w:t>
      </w:r>
      <w:r w:rsidR="0004720E" w:rsidRPr="00FD128C">
        <w:rPr>
          <w:rFonts w:ascii="Tesco" w:hAnsi="Tesco"/>
          <w:snapToGrid/>
          <w:sz w:val="21"/>
          <w:szCs w:val="21"/>
        </w:rPr>
        <w:t xml:space="preserve"> offer</w:t>
      </w:r>
      <w:r w:rsidRPr="00FD128C">
        <w:rPr>
          <w:rFonts w:ascii="Tesco" w:hAnsi="Tesco"/>
          <w:snapToGrid/>
          <w:sz w:val="21"/>
          <w:szCs w:val="21"/>
        </w:rPr>
        <w:t>.  W</w:t>
      </w:r>
      <w:r w:rsidR="002D67F0" w:rsidRPr="00FD128C">
        <w:rPr>
          <w:rFonts w:ascii="Tesco" w:hAnsi="Tesco"/>
          <w:snapToGrid/>
          <w:sz w:val="21"/>
          <w:szCs w:val="21"/>
        </w:rPr>
        <w:t>e have seen</w:t>
      </w:r>
      <w:r w:rsidR="00636F22" w:rsidRPr="00FD128C">
        <w:rPr>
          <w:rFonts w:ascii="Tesco" w:hAnsi="Tesco"/>
          <w:snapToGrid/>
          <w:sz w:val="21"/>
          <w:szCs w:val="21"/>
        </w:rPr>
        <w:t xml:space="preserve"> </w:t>
      </w:r>
      <w:r w:rsidR="007605E1">
        <w:rPr>
          <w:rFonts w:ascii="Tesco" w:hAnsi="Tesco"/>
          <w:snapToGrid/>
          <w:sz w:val="21"/>
          <w:szCs w:val="21"/>
        </w:rPr>
        <w:t>strong</w:t>
      </w:r>
      <w:r w:rsidR="00CD6976" w:rsidRPr="00FD128C">
        <w:rPr>
          <w:rFonts w:ascii="Tesco" w:hAnsi="Tesco"/>
          <w:snapToGrid/>
          <w:sz w:val="21"/>
          <w:szCs w:val="21"/>
        </w:rPr>
        <w:t xml:space="preserve"> improvements in satisfaction </w:t>
      </w:r>
      <w:r w:rsidR="005D0913">
        <w:rPr>
          <w:rFonts w:ascii="Tesco" w:hAnsi="Tesco"/>
          <w:snapToGrid/>
          <w:sz w:val="21"/>
          <w:szCs w:val="21"/>
        </w:rPr>
        <w:t>with</w:t>
      </w:r>
      <w:r w:rsidR="007605E1">
        <w:rPr>
          <w:rFonts w:ascii="Tesco" w:hAnsi="Tesco"/>
          <w:snapToGrid/>
          <w:sz w:val="21"/>
          <w:szCs w:val="21"/>
        </w:rPr>
        <w:t xml:space="preserve"> </w:t>
      </w:r>
      <w:r w:rsidR="006551F7">
        <w:rPr>
          <w:rFonts w:ascii="Tesco" w:hAnsi="Tesco"/>
          <w:snapToGrid/>
          <w:sz w:val="21"/>
          <w:szCs w:val="21"/>
        </w:rPr>
        <w:t xml:space="preserve">prices, availability, queues and store </w:t>
      </w:r>
      <w:r w:rsidR="00E2593A">
        <w:rPr>
          <w:rFonts w:ascii="Tesco" w:hAnsi="Tesco"/>
          <w:snapToGrid/>
          <w:sz w:val="21"/>
          <w:szCs w:val="21"/>
        </w:rPr>
        <w:t>standards</w:t>
      </w:r>
      <w:r w:rsidR="00CD6976" w:rsidRPr="00FD128C">
        <w:rPr>
          <w:rFonts w:ascii="Tesco" w:hAnsi="Tesco"/>
          <w:snapToGrid/>
          <w:sz w:val="21"/>
          <w:szCs w:val="21"/>
        </w:rPr>
        <w:t xml:space="preserve"> following the introduction of </w:t>
      </w:r>
      <w:r w:rsidRPr="00FD128C">
        <w:rPr>
          <w:rFonts w:ascii="Tesco" w:hAnsi="Tesco"/>
          <w:snapToGrid/>
          <w:sz w:val="21"/>
          <w:szCs w:val="21"/>
        </w:rPr>
        <w:t>more than 6,000 new colleagues in customer-facing roles in store</w:t>
      </w:r>
      <w:r w:rsidR="000C3033" w:rsidRPr="00FD128C">
        <w:rPr>
          <w:rFonts w:ascii="Tesco" w:hAnsi="Tesco"/>
          <w:snapToGrid/>
          <w:sz w:val="21"/>
          <w:szCs w:val="21"/>
        </w:rPr>
        <w:t xml:space="preserve">. </w:t>
      </w:r>
      <w:r w:rsidR="00FF37BF" w:rsidRPr="00FD128C">
        <w:rPr>
          <w:rFonts w:ascii="Tesco" w:hAnsi="Tesco"/>
          <w:snapToGrid/>
          <w:sz w:val="21"/>
          <w:szCs w:val="21"/>
        </w:rPr>
        <w:t xml:space="preserve"> </w:t>
      </w:r>
    </w:p>
    <w:p w:rsidR="00CD6976" w:rsidRPr="00FD128C" w:rsidRDefault="00CD6976" w:rsidP="000C3033">
      <w:pPr>
        <w:pStyle w:val="BodyTextIndent"/>
        <w:rPr>
          <w:rFonts w:ascii="Tesco" w:hAnsi="Tesco"/>
          <w:snapToGrid/>
          <w:sz w:val="21"/>
          <w:szCs w:val="21"/>
        </w:rPr>
      </w:pPr>
    </w:p>
    <w:p w:rsidR="00FB1191" w:rsidRPr="00FD128C" w:rsidRDefault="003D64A5" w:rsidP="000C3033">
      <w:pPr>
        <w:pStyle w:val="BodyTextIndent"/>
        <w:rPr>
          <w:rFonts w:ascii="Tesco" w:hAnsi="Tesco"/>
          <w:snapToGrid/>
          <w:sz w:val="21"/>
          <w:szCs w:val="21"/>
        </w:rPr>
      </w:pPr>
      <w:r>
        <w:rPr>
          <w:rFonts w:ascii="Tesco" w:hAnsi="Tesco"/>
          <w:snapToGrid/>
          <w:sz w:val="21"/>
          <w:szCs w:val="21"/>
        </w:rPr>
        <w:t>Our new commercial approach includes a comprehensive</w:t>
      </w:r>
      <w:r w:rsidR="00304DD1" w:rsidRPr="00FD128C">
        <w:rPr>
          <w:rFonts w:ascii="Tesco" w:hAnsi="Tesco"/>
          <w:snapToGrid/>
          <w:sz w:val="21"/>
          <w:szCs w:val="21"/>
        </w:rPr>
        <w:t xml:space="preserve"> review of</w:t>
      </w:r>
      <w:r w:rsidR="00FB1191" w:rsidRPr="00FD128C">
        <w:rPr>
          <w:rFonts w:ascii="Tesco" w:hAnsi="Tesco"/>
          <w:snapToGrid/>
          <w:sz w:val="21"/>
          <w:szCs w:val="21"/>
        </w:rPr>
        <w:t xml:space="preserve"> </w:t>
      </w:r>
      <w:r w:rsidR="00313ABB" w:rsidRPr="00FD128C">
        <w:rPr>
          <w:rFonts w:ascii="Tesco" w:hAnsi="Tesco"/>
          <w:snapToGrid/>
          <w:sz w:val="21"/>
          <w:szCs w:val="21"/>
        </w:rPr>
        <w:t>product range</w:t>
      </w:r>
      <w:r w:rsidR="00FB1191" w:rsidRPr="00FD128C">
        <w:rPr>
          <w:rFonts w:ascii="Tesco" w:hAnsi="Tesco"/>
          <w:snapToGrid/>
          <w:sz w:val="21"/>
          <w:szCs w:val="21"/>
        </w:rPr>
        <w:t xml:space="preserve">s to simplify them, reset </w:t>
      </w:r>
      <w:r w:rsidR="00313ABB" w:rsidRPr="00FD128C">
        <w:rPr>
          <w:rFonts w:ascii="Tesco" w:hAnsi="Tesco"/>
          <w:snapToGrid/>
          <w:sz w:val="21"/>
          <w:szCs w:val="21"/>
        </w:rPr>
        <w:t xml:space="preserve">prices and improve availability. </w:t>
      </w:r>
      <w:r w:rsidR="00304DD1" w:rsidRPr="00FD128C">
        <w:rPr>
          <w:rFonts w:ascii="Tesco" w:hAnsi="Tesco"/>
          <w:snapToGrid/>
          <w:sz w:val="21"/>
          <w:szCs w:val="21"/>
        </w:rPr>
        <w:t xml:space="preserve"> </w:t>
      </w:r>
      <w:r w:rsidR="00FF37BF" w:rsidRPr="00FD128C">
        <w:rPr>
          <w:rFonts w:ascii="Tesco" w:hAnsi="Tesco"/>
          <w:snapToGrid/>
          <w:sz w:val="21"/>
          <w:szCs w:val="21"/>
        </w:rPr>
        <w:t xml:space="preserve">We </w:t>
      </w:r>
      <w:r w:rsidR="000F6D76">
        <w:rPr>
          <w:rFonts w:ascii="Tesco" w:hAnsi="Tesco"/>
          <w:snapToGrid/>
          <w:sz w:val="21"/>
          <w:szCs w:val="21"/>
        </w:rPr>
        <w:t xml:space="preserve">are increasing </w:t>
      </w:r>
      <w:r w:rsidR="00CD6976" w:rsidRPr="00FD128C">
        <w:rPr>
          <w:rFonts w:ascii="Tesco" w:hAnsi="Tesco"/>
          <w:snapToGrid/>
          <w:sz w:val="21"/>
          <w:szCs w:val="21"/>
        </w:rPr>
        <w:t>shelf capacity for</w:t>
      </w:r>
      <w:r w:rsidR="00FF37BF" w:rsidRPr="00FD128C">
        <w:rPr>
          <w:rFonts w:ascii="Tesco" w:hAnsi="Tesco"/>
          <w:snapToGrid/>
          <w:sz w:val="21"/>
          <w:szCs w:val="21"/>
        </w:rPr>
        <w:t xml:space="preserve"> our 1,000 bestselling lines resulting in significant improvements in product availability, particularly in the evenings.</w:t>
      </w:r>
    </w:p>
    <w:p w:rsidR="00FB1191" w:rsidRPr="00FD128C" w:rsidRDefault="00FB1191" w:rsidP="000C3033">
      <w:pPr>
        <w:pStyle w:val="BodyTextIndent"/>
        <w:rPr>
          <w:rFonts w:ascii="Tesco" w:hAnsi="Tesco"/>
          <w:snapToGrid/>
          <w:sz w:val="21"/>
          <w:szCs w:val="21"/>
        </w:rPr>
      </w:pPr>
    </w:p>
    <w:p w:rsidR="000C3033" w:rsidRDefault="002A1297" w:rsidP="000C3033">
      <w:pPr>
        <w:pStyle w:val="BodyTextIndent"/>
        <w:rPr>
          <w:rFonts w:ascii="Tesco" w:hAnsi="Tesco"/>
          <w:snapToGrid/>
          <w:sz w:val="21"/>
          <w:szCs w:val="21"/>
        </w:rPr>
      </w:pPr>
      <w:r>
        <w:rPr>
          <w:rFonts w:ascii="Tesco" w:hAnsi="Tesco"/>
          <w:snapToGrid/>
          <w:sz w:val="21"/>
          <w:szCs w:val="21"/>
        </w:rPr>
        <w:t>Like</w:t>
      </w:r>
      <w:r w:rsidR="00837F28">
        <w:rPr>
          <w:rFonts w:ascii="Tesco" w:hAnsi="Tesco"/>
          <w:snapToGrid/>
          <w:sz w:val="21"/>
          <w:szCs w:val="21"/>
        </w:rPr>
        <w:t>-</w:t>
      </w:r>
      <w:r>
        <w:rPr>
          <w:rFonts w:ascii="Tesco" w:hAnsi="Tesco"/>
          <w:snapToGrid/>
          <w:sz w:val="21"/>
          <w:szCs w:val="21"/>
        </w:rPr>
        <w:t>for</w:t>
      </w:r>
      <w:r w:rsidR="00837F28">
        <w:rPr>
          <w:rFonts w:ascii="Tesco" w:hAnsi="Tesco"/>
          <w:snapToGrid/>
          <w:sz w:val="21"/>
          <w:szCs w:val="21"/>
        </w:rPr>
        <w:t>-</w:t>
      </w:r>
      <w:r>
        <w:rPr>
          <w:rFonts w:ascii="Tesco" w:hAnsi="Tesco"/>
          <w:snapToGrid/>
          <w:sz w:val="21"/>
          <w:szCs w:val="21"/>
        </w:rPr>
        <w:t xml:space="preserve">like volume </w:t>
      </w:r>
      <w:r w:rsidR="00C74494">
        <w:rPr>
          <w:rFonts w:ascii="Tesco" w:hAnsi="Tesco"/>
          <w:snapToGrid/>
          <w:sz w:val="21"/>
          <w:szCs w:val="21"/>
        </w:rPr>
        <w:t xml:space="preserve">growth in fresh food was positive </w:t>
      </w:r>
      <w:r w:rsidR="006551F7">
        <w:rPr>
          <w:rFonts w:ascii="Tesco" w:hAnsi="Tesco"/>
          <w:snapToGrid/>
          <w:sz w:val="21"/>
          <w:szCs w:val="21"/>
        </w:rPr>
        <w:t xml:space="preserve">over the Christmas period, </w:t>
      </w:r>
      <w:r w:rsidR="00E2593A">
        <w:rPr>
          <w:rFonts w:ascii="Tesco" w:hAnsi="Tesco"/>
          <w:snapToGrid/>
          <w:sz w:val="21"/>
          <w:szCs w:val="21"/>
        </w:rPr>
        <w:t xml:space="preserve">for the first time in </w:t>
      </w:r>
      <w:r w:rsidR="00DE5EE9">
        <w:rPr>
          <w:rFonts w:ascii="Tesco" w:hAnsi="Tesco"/>
          <w:snapToGrid/>
          <w:sz w:val="21"/>
          <w:szCs w:val="21"/>
        </w:rPr>
        <w:t>five</w:t>
      </w:r>
      <w:r w:rsidR="00E2593A">
        <w:rPr>
          <w:rFonts w:ascii="Tesco" w:hAnsi="Tesco"/>
          <w:snapToGrid/>
          <w:sz w:val="21"/>
          <w:szCs w:val="21"/>
        </w:rPr>
        <w:t xml:space="preserve"> years</w:t>
      </w:r>
      <w:r w:rsidR="009076C5">
        <w:rPr>
          <w:rFonts w:ascii="Tesco" w:hAnsi="Tesco"/>
          <w:snapToGrid/>
          <w:sz w:val="21"/>
          <w:szCs w:val="21"/>
        </w:rPr>
        <w:t>.</w:t>
      </w:r>
      <w:r w:rsidR="007605E1">
        <w:rPr>
          <w:rFonts w:ascii="Tesco" w:hAnsi="Tesco"/>
          <w:snapToGrid/>
          <w:sz w:val="21"/>
          <w:szCs w:val="21"/>
        </w:rPr>
        <w:t xml:space="preserve">  </w:t>
      </w:r>
      <w:r w:rsidR="006B76F1">
        <w:rPr>
          <w:rFonts w:ascii="Tesco" w:hAnsi="Tesco"/>
          <w:snapToGrid/>
          <w:sz w:val="21"/>
          <w:szCs w:val="21"/>
        </w:rPr>
        <w:t>Within this, p</w:t>
      </w:r>
      <w:r w:rsidR="006551F7">
        <w:rPr>
          <w:rFonts w:ascii="Tesco" w:hAnsi="Tesco"/>
          <w:snapToGrid/>
          <w:sz w:val="21"/>
          <w:szCs w:val="21"/>
        </w:rPr>
        <w:t xml:space="preserve">erformance </w:t>
      </w:r>
      <w:r w:rsidR="007605E1">
        <w:rPr>
          <w:rFonts w:ascii="Tesco" w:hAnsi="Tesco"/>
          <w:snapToGrid/>
          <w:sz w:val="21"/>
          <w:szCs w:val="21"/>
        </w:rPr>
        <w:t xml:space="preserve">was </w:t>
      </w:r>
      <w:r w:rsidR="006551F7">
        <w:rPr>
          <w:rFonts w:ascii="Tesco" w:hAnsi="Tesco"/>
          <w:snapToGrid/>
          <w:sz w:val="21"/>
          <w:szCs w:val="21"/>
        </w:rPr>
        <w:t>particularly pleasing</w:t>
      </w:r>
      <w:r w:rsidR="007605E1">
        <w:rPr>
          <w:rFonts w:ascii="Tesco" w:hAnsi="Tesco"/>
          <w:snapToGrid/>
          <w:sz w:val="21"/>
          <w:szCs w:val="21"/>
        </w:rPr>
        <w:t xml:space="preserve"> in produce where we have</w:t>
      </w:r>
      <w:r w:rsidR="003D64A5">
        <w:rPr>
          <w:rFonts w:ascii="Tesco" w:hAnsi="Tesco"/>
          <w:snapToGrid/>
          <w:sz w:val="21"/>
          <w:szCs w:val="21"/>
        </w:rPr>
        <w:t xml:space="preserve"> already </w:t>
      </w:r>
      <w:r w:rsidR="006A493F" w:rsidRPr="00FD128C">
        <w:rPr>
          <w:rFonts w:ascii="Tesco" w:hAnsi="Tesco"/>
          <w:snapToGrid/>
          <w:sz w:val="21"/>
          <w:szCs w:val="21"/>
        </w:rPr>
        <w:t>made</w:t>
      </w:r>
      <w:r w:rsidR="000C3033" w:rsidRPr="00FD128C">
        <w:rPr>
          <w:rFonts w:ascii="Tesco" w:hAnsi="Tesco"/>
          <w:snapToGrid/>
          <w:sz w:val="21"/>
          <w:szCs w:val="21"/>
        </w:rPr>
        <w:t xml:space="preserve"> significant </w:t>
      </w:r>
      <w:r w:rsidR="003D64A5">
        <w:rPr>
          <w:rFonts w:ascii="Tesco" w:hAnsi="Tesco"/>
          <w:snapToGrid/>
          <w:sz w:val="21"/>
          <w:szCs w:val="21"/>
        </w:rPr>
        <w:t xml:space="preserve">progress in the quality, </w:t>
      </w:r>
      <w:r w:rsidR="000C3033" w:rsidRPr="00FD128C">
        <w:rPr>
          <w:rFonts w:ascii="Tesco" w:hAnsi="Tesco"/>
          <w:snapToGrid/>
          <w:sz w:val="21"/>
          <w:szCs w:val="21"/>
        </w:rPr>
        <w:t xml:space="preserve">freshness </w:t>
      </w:r>
      <w:r w:rsidR="003D64A5">
        <w:rPr>
          <w:rFonts w:ascii="Tesco" w:hAnsi="Tesco"/>
          <w:snapToGrid/>
          <w:sz w:val="21"/>
          <w:szCs w:val="21"/>
        </w:rPr>
        <w:t xml:space="preserve">and competitiveness </w:t>
      </w:r>
      <w:r w:rsidR="000C3033" w:rsidRPr="00FD128C">
        <w:rPr>
          <w:rFonts w:ascii="Tesco" w:hAnsi="Tesco"/>
          <w:snapToGrid/>
          <w:sz w:val="21"/>
          <w:szCs w:val="21"/>
        </w:rPr>
        <w:t>of our</w:t>
      </w:r>
      <w:r w:rsidR="007605E1">
        <w:rPr>
          <w:rFonts w:ascii="Tesco" w:hAnsi="Tesco"/>
          <w:snapToGrid/>
          <w:sz w:val="21"/>
          <w:szCs w:val="21"/>
        </w:rPr>
        <w:t xml:space="preserve"> </w:t>
      </w:r>
      <w:r w:rsidR="000C3033" w:rsidRPr="00FD128C">
        <w:rPr>
          <w:rFonts w:ascii="Tesco" w:hAnsi="Tesco"/>
          <w:snapToGrid/>
          <w:sz w:val="21"/>
          <w:szCs w:val="21"/>
        </w:rPr>
        <w:t xml:space="preserve">offer.  </w:t>
      </w:r>
      <w:r w:rsidR="00E2593A">
        <w:rPr>
          <w:rFonts w:ascii="Tesco" w:hAnsi="Tesco"/>
          <w:snapToGrid/>
          <w:sz w:val="21"/>
          <w:szCs w:val="21"/>
        </w:rPr>
        <w:t>O</w:t>
      </w:r>
      <w:r w:rsidR="006737EF">
        <w:rPr>
          <w:rFonts w:ascii="Tesco" w:hAnsi="Tesco"/>
          <w:snapToGrid/>
          <w:sz w:val="21"/>
          <w:szCs w:val="21"/>
        </w:rPr>
        <w:t>ur</w:t>
      </w:r>
      <w:r w:rsidR="006A493F" w:rsidRPr="00FD128C">
        <w:rPr>
          <w:rFonts w:ascii="Tesco" w:hAnsi="Tesco"/>
          <w:snapToGrid/>
          <w:sz w:val="21"/>
          <w:szCs w:val="21"/>
        </w:rPr>
        <w:t xml:space="preserve"> market-leading</w:t>
      </w:r>
      <w:r w:rsidR="00ED76D3">
        <w:rPr>
          <w:rFonts w:ascii="Tesco" w:hAnsi="Tesco"/>
          <w:snapToGrid/>
          <w:sz w:val="21"/>
          <w:szCs w:val="21"/>
        </w:rPr>
        <w:t xml:space="preserve"> ‘Festive F</w:t>
      </w:r>
      <w:r w:rsidR="00FB1191" w:rsidRPr="00FD128C">
        <w:rPr>
          <w:rFonts w:ascii="Tesco" w:hAnsi="Tesco"/>
          <w:snapToGrid/>
          <w:sz w:val="21"/>
          <w:szCs w:val="21"/>
        </w:rPr>
        <w:t>ive’</w:t>
      </w:r>
      <w:r w:rsidR="006A493F" w:rsidRPr="00FD128C">
        <w:rPr>
          <w:rFonts w:ascii="Tesco" w:hAnsi="Tesco"/>
          <w:snapToGrid/>
          <w:sz w:val="21"/>
          <w:szCs w:val="21"/>
        </w:rPr>
        <w:t xml:space="preserve"> deal where five key produce items were reduced to 49p</w:t>
      </w:r>
      <w:r w:rsidR="00E2593A">
        <w:rPr>
          <w:rFonts w:ascii="Tesco" w:hAnsi="Tesco"/>
          <w:snapToGrid/>
          <w:sz w:val="21"/>
          <w:szCs w:val="21"/>
        </w:rPr>
        <w:t>, helped million</w:t>
      </w:r>
      <w:r w:rsidR="00AD50F3">
        <w:rPr>
          <w:rFonts w:ascii="Tesco" w:hAnsi="Tesco"/>
          <w:snapToGrid/>
          <w:sz w:val="21"/>
          <w:szCs w:val="21"/>
        </w:rPr>
        <w:t>s of</w:t>
      </w:r>
      <w:r w:rsidR="00E2593A">
        <w:rPr>
          <w:rFonts w:ascii="Tesco" w:hAnsi="Tesco"/>
          <w:snapToGrid/>
          <w:sz w:val="21"/>
          <w:szCs w:val="21"/>
        </w:rPr>
        <w:t xml:space="preserve"> customers enjoy feeding their families and friends for less. </w:t>
      </w:r>
    </w:p>
    <w:p w:rsidR="001D22A2" w:rsidRDefault="001D22A2" w:rsidP="000C3033">
      <w:pPr>
        <w:pStyle w:val="BodyTextIndent"/>
        <w:rPr>
          <w:rFonts w:ascii="Tesco" w:hAnsi="Tesco"/>
          <w:snapToGrid/>
          <w:sz w:val="21"/>
          <w:szCs w:val="21"/>
        </w:rPr>
      </w:pPr>
    </w:p>
    <w:p w:rsidR="006737EF" w:rsidRDefault="00F15D7D" w:rsidP="000C3033">
      <w:pPr>
        <w:pStyle w:val="BodyTextIndent"/>
        <w:rPr>
          <w:rFonts w:ascii="Tesco" w:hAnsi="Tesco"/>
          <w:snapToGrid/>
          <w:sz w:val="21"/>
          <w:szCs w:val="21"/>
        </w:rPr>
      </w:pPr>
      <w:r>
        <w:rPr>
          <w:rFonts w:ascii="Tesco" w:hAnsi="Tesco"/>
          <w:snapToGrid/>
          <w:sz w:val="21"/>
          <w:szCs w:val="21"/>
        </w:rPr>
        <w:t xml:space="preserve">Our </w:t>
      </w:r>
      <w:r w:rsidR="003D2E77">
        <w:rPr>
          <w:rFonts w:ascii="Tesco" w:hAnsi="Tesco"/>
          <w:snapToGrid/>
          <w:sz w:val="21"/>
          <w:szCs w:val="21"/>
        </w:rPr>
        <w:t xml:space="preserve">overall </w:t>
      </w:r>
      <w:r>
        <w:rPr>
          <w:rFonts w:ascii="Tesco" w:hAnsi="Tesco"/>
          <w:snapToGrid/>
          <w:sz w:val="21"/>
          <w:szCs w:val="21"/>
        </w:rPr>
        <w:t>general merchandise performance stepped up to positive like-for-like sales growth over Christmas helped by t</w:t>
      </w:r>
      <w:r w:rsidR="00C741F6">
        <w:rPr>
          <w:rFonts w:ascii="Tesco" w:hAnsi="Tesco"/>
          <w:snapToGrid/>
          <w:sz w:val="21"/>
          <w:szCs w:val="21"/>
        </w:rPr>
        <w:t xml:space="preserve">he success of our seasonal </w:t>
      </w:r>
      <w:r w:rsidR="00B51832">
        <w:rPr>
          <w:rFonts w:ascii="Tesco" w:hAnsi="Tesco"/>
          <w:snapToGrid/>
          <w:sz w:val="21"/>
          <w:szCs w:val="21"/>
        </w:rPr>
        <w:t>and gifting</w:t>
      </w:r>
      <w:r w:rsidR="00C741F6">
        <w:rPr>
          <w:rFonts w:ascii="Tesco" w:hAnsi="Tesco"/>
          <w:snapToGrid/>
          <w:sz w:val="21"/>
          <w:szCs w:val="21"/>
        </w:rPr>
        <w:t xml:space="preserve"> ranges</w:t>
      </w:r>
      <w:r>
        <w:rPr>
          <w:rFonts w:ascii="Tesco" w:hAnsi="Tesco"/>
          <w:snapToGrid/>
          <w:sz w:val="21"/>
          <w:szCs w:val="21"/>
        </w:rPr>
        <w:t>.</w:t>
      </w:r>
      <w:r w:rsidR="00B51832">
        <w:rPr>
          <w:rFonts w:ascii="Tesco" w:hAnsi="Tesco"/>
          <w:snapToGrid/>
          <w:sz w:val="21"/>
          <w:szCs w:val="21"/>
        </w:rPr>
        <w:t xml:space="preserve"> </w:t>
      </w:r>
      <w:r w:rsidR="006B76F1" w:rsidRPr="006B76F1">
        <w:rPr>
          <w:rFonts w:ascii="Tesco" w:hAnsi="Tesco"/>
          <w:snapToGrid/>
          <w:sz w:val="21"/>
          <w:szCs w:val="21"/>
        </w:rPr>
        <w:t xml:space="preserve">Black Friday </w:t>
      </w:r>
      <w:r w:rsidR="006B76F1">
        <w:rPr>
          <w:rFonts w:ascii="Tesco" w:hAnsi="Tesco"/>
          <w:snapToGrid/>
          <w:sz w:val="21"/>
          <w:szCs w:val="21"/>
        </w:rPr>
        <w:t xml:space="preserve">promotions </w:t>
      </w:r>
      <w:r w:rsidR="006B76F1" w:rsidRPr="006B76F1">
        <w:rPr>
          <w:rFonts w:ascii="Tesco" w:hAnsi="Tesco"/>
          <w:snapToGrid/>
          <w:sz w:val="21"/>
          <w:szCs w:val="21"/>
        </w:rPr>
        <w:t xml:space="preserve">resulted in the </w:t>
      </w:r>
      <w:r w:rsidR="006B76F1">
        <w:rPr>
          <w:rFonts w:ascii="Tesco" w:hAnsi="Tesco"/>
          <w:snapToGrid/>
          <w:sz w:val="21"/>
          <w:szCs w:val="21"/>
        </w:rPr>
        <w:t>highes</w:t>
      </w:r>
      <w:r w:rsidR="006B76F1" w:rsidRPr="006B76F1">
        <w:rPr>
          <w:rFonts w:ascii="Tesco" w:hAnsi="Tesco"/>
          <w:snapToGrid/>
          <w:sz w:val="21"/>
          <w:szCs w:val="21"/>
        </w:rPr>
        <w:t>t week of sales on record for Tesco Direct</w:t>
      </w:r>
      <w:r w:rsidR="003D2E77">
        <w:rPr>
          <w:rFonts w:ascii="Tesco" w:hAnsi="Tesco"/>
          <w:snapToGrid/>
          <w:sz w:val="21"/>
          <w:szCs w:val="21"/>
        </w:rPr>
        <w:t xml:space="preserve">, contributing to </w:t>
      </w:r>
      <w:r w:rsidR="00837F28">
        <w:rPr>
          <w:rFonts w:ascii="Tesco" w:hAnsi="Tesco"/>
          <w:snapToGrid/>
          <w:sz w:val="21"/>
          <w:szCs w:val="21"/>
        </w:rPr>
        <w:t>22.2</w:t>
      </w:r>
      <w:r w:rsidR="003D2E77">
        <w:rPr>
          <w:rFonts w:ascii="Tesco" w:hAnsi="Tesco"/>
          <w:snapToGrid/>
          <w:sz w:val="21"/>
          <w:szCs w:val="21"/>
        </w:rPr>
        <w:t>% like-for-like sales growth in online merchandise for the Christmas period.</w:t>
      </w:r>
    </w:p>
    <w:p w:rsidR="006737EF" w:rsidRDefault="006737EF" w:rsidP="000C3033">
      <w:pPr>
        <w:pStyle w:val="BodyTextIndent"/>
        <w:rPr>
          <w:rFonts w:ascii="Tesco" w:hAnsi="Tesco"/>
          <w:snapToGrid/>
          <w:sz w:val="21"/>
          <w:szCs w:val="21"/>
        </w:rPr>
      </w:pPr>
    </w:p>
    <w:p w:rsidR="001D22A2" w:rsidRDefault="001D22A2" w:rsidP="000C3033">
      <w:pPr>
        <w:pStyle w:val="BodyTextIndent"/>
        <w:rPr>
          <w:rFonts w:ascii="Tesco" w:hAnsi="Tesco"/>
          <w:snapToGrid/>
          <w:sz w:val="21"/>
          <w:szCs w:val="21"/>
        </w:rPr>
      </w:pPr>
      <w:r>
        <w:rPr>
          <w:rFonts w:ascii="Tesco" w:hAnsi="Tesco"/>
          <w:snapToGrid/>
          <w:sz w:val="21"/>
          <w:szCs w:val="21"/>
        </w:rPr>
        <w:t xml:space="preserve">Customers also benefited from a strong offer in our convenience and online grocery businesses over the seasonal period, resulting in like-for-like sales growth of </w:t>
      </w:r>
      <w:r w:rsidR="00F74141">
        <w:rPr>
          <w:rFonts w:ascii="Tesco" w:hAnsi="Tesco"/>
          <w:snapToGrid/>
          <w:sz w:val="21"/>
          <w:szCs w:val="21"/>
        </w:rPr>
        <w:t>4.9</w:t>
      </w:r>
      <w:r>
        <w:rPr>
          <w:rFonts w:ascii="Tesco" w:hAnsi="Tesco"/>
          <w:snapToGrid/>
          <w:sz w:val="21"/>
          <w:szCs w:val="21"/>
        </w:rPr>
        <w:t xml:space="preserve">% </w:t>
      </w:r>
      <w:r w:rsidRPr="004641C1">
        <w:rPr>
          <w:rFonts w:ascii="Tesco" w:hAnsi="Tesco"/>
          <w:snapToGrid/>
          <w:sz w:val="21"/>
          <w:szCs w:val="21"/>
        </w:rPr>
        <w:t xml:space="preserve">and </w:t>
      </w:r>
      <w:r w:rsidR="00837F28">
        <w:rPr>
          <w:rFonts w:ascii="Tesco" w:hAnsi="Tesco"/>
          <w:snapToGrid/>
          <w:sz w:val="21"/>
          <w:szCs w:val="21"/>
        </w:rPr>
        <w:t>12.9</w:t>
      </w:r>
      <w:r w:rsidRPr="00E1007F">
        <w:rPr>
          <w:rFonts w:ascii="Tesco" w:hAnsi="Tesco"/>
          <w:snapToGrid/>
          <w:sz w:val="21"/>
          <w:szCs w:val="21"/>
        </w:rPr>
        <w:t>%</w:t>
      </w:r>
      <w:r>
        <w:rPr>
          <w:rFonts w:ascii="Tesco" w:hAnsi="Tesco"/>
          <w:snapToGrid/>
          <w:sz w:val="21"/>
          <w:szCs w:val="21"/>
        </w:rPr>
        <w:t xml:space="preserve"> respectively</w:t>
      </w:r>
      <w:r w:rsidR="00D64D78">
        <w:rPr>
          <w:rFonts w:ascii="Tesco" w:hAnsi="Tesco"/>
          <w:snapToGrid/>
          <w:sz w:val="21"/>
          <w:szCs w:val="21"/>
        </w:rPr>
        <w:t xml:space="preserve">.  Our share of the online grocery market improved as customer numbers rose strongly including </w:t>
      </w:r>
      <w:r w:rsidR="00870168">
        <w:rPr>
          <w:rFonts w:ascii="Tesco" w:hAnsi="Tesco"/>
          <w:snapToGrid/>
          <w:sz w:val="21"/>
          <w:szCs w:val="21"/>
        </w:rPr>
        <w:t xml:space="preserve">a </w:t>
      </w:r>
      <w:r w:rsidR="00D64D78">
        <w:rPr>
          <w:rFonts w:ascii="Tesco" w:hAnsi="Tesco"/>
          <w:snapToGrid/>
          <w:sz w:val="21"/>
          <w:szCs w:val="21"/>
        </w:rPr>
        <w:t>signi</w:t>
      </w:r>
      <w:r w:rsidR="009076C5">
        <w:rPr>
          <w:rFonts w:ascii="Tesco" w:hAnsi="Tesco"/>
          <w:snapToGrid/>
          <w:sz w:val="21"/>
          <w:szCs w:val="21"/>
        </w:rPr>
        <w:t>ficant</w:t>
      </w:r>
      <w:r w:rsidR="00870168">
        <w:rPr>
          <w:rFonts w:ascii="Tesco" w:hAnsi="Tesco"/>
          <w:snapToGrid/>
          <w:sz w:val="21"/>
          <w:szCs w:val="21"/>
        </w:rPr>
        <w:t xml:space="preserve"> increase</w:t>
      </w:r>
      <w:r w:rsidR="009076C5">
        <w:rPr>
          <w:rFonts w:ascii="Tesco" w:hAnsi="Tesco"/>
          <w:snapToGrid/>
          <w:sz w:val="21"/>
          <w:szCs w:val="21"/>
        </w:rPr>
        <w:t xml:space="preserve"> in</w:t>
      </w:r>
      <w:r w:rsidR="00D64D78">
        <w:rPr>
          <w:rFonts w:ascii="Tesco" w:hAnsi="Tesco"/>
          <w:snapToGrid/>
          <w:sz w:val="21"/>
          <w:szCs w:val="21"/>
        </w:rPr>
        <w:t xml:space="preserve"> </w:t>
      </w:r>
      <w:r w:rsidR="00B51832">
        <w:rPr>
          <w:rFonts w:ascii="Tesco" w:hAnsi="Tesco"/>
          <w:snapToGrid/>
          <w:sz w:val="21"/>
          <w:szCs w:val="21"/>
        </w:rPr>
        <w:t xml:space="preserve">the proportion of </w:t>
      </w:r>
      <w:r w:rsidR="00D64D78">
        <w:rPr>
          <w:rFonts w:ascii="Tesco" w:hAnsi="Tesco"/>
          <w:snapToGrid/>
          <w:sz w:val="21"/>
          <w:szCs w:val="21"/>
        </w:rPr>
        <w:t xml:space="preserve">customers taking advantage of our Click &amp; Collect locations.    </w:t>
      </w:r>
    </w:p>
    <w:p w:rsidR="00F9295B" w:rsidRDefault="00F9295B" w:rsidP="00F9295B">
      <w:pPr>
        <w:rPr>
          <w:rFonts w:ascii="Tesco" w:hAnsi="Tesco"/>
          <w:sz w:val="21"/>
          <w:szCs w:val="21"/>
        </w:rPr>
      </w:pPr>
    </w:p>
    <w:p w:rsidR="000835E2" w:rsidRPr="00A539F8" w:rsidRDefault="000835E2" w:rsidP="000835E2">
      <w:pPr>
        <w:rPr>
          <w:rFonts w:ascii="Tesco" w:hAnsi="Tesco"/>
          <w:b/>
          <w:sz w:val="21"/>
          <w:szCs w:val="21"/>
          <w:u w:val="single"/>
        </w:rPr>
      </w:pPr>
      <w:r w:rsidRPr="00A539F8">
        <w:rPr>
          <w:rFonts w:ascii="Tesco" w:hAnsi="Tesco"/>
          <w:b/>
          <w:sz w:val="21"/>
          <w:szCs w:val="21"/>
          <w:u w:val="single"/>
        </w:rPr>
        <w:t>International performance</w:t>
      </w:r>
    </w:p>
    <w:p w:rsidR="00641559" w:rsidRPr="00A539F8" w:rsidRDefault="00641559" w:rsidP="00641559">
      <w:pPr>
        <w:autoSpaceDE w:val="0"/>
        <w:autoSpaceDN w:val="0"/>
        <w:adjustRightInd w:val="0"/>
        <w:rPr>
          <w:rFonts w:ascii="Tesco" w:hAnsi="Tesco" w:cs="Courier New"/>
          <w:sz w:val="21"/>
          <w:szCs w:val="21"/>
        </w:rPr>
      </w:pPr>
    </w:p>
    <w:p w:rsidR="000C3033" w:rsidRDefault="000C3033" w:rsidP="000C3033">
      <w:pPr>
        <w:rPr>
          <w:rFonts w:ascii="Tesco" w:hAnsi="Tesco"/>
          <w:sz w:val="21"/>
          <w:szCs w:val="21"/>
        </w:rPr>
      </w:pPr>
      <w:r w:rsidRPr="00A539F8">
        <w:rPr>
          <w:rFonts w:ascii="Tesco" w:hAnsi="Tesco"/>
          <w:sz w:val="21"/>
          <w:szCs w:val="21"/>
        </w:rPr>
        <w:t>In Asia, total sales</w:t>
      </w:r>
      <w:r w:rsidR="00542CDE">
        <w:rPr>
          <w:rFonts w:ascii="Tesco" w:hAnsi="Tesco"/>
          <w:sz w:val="21"/>
          <w:szCs w:val="21"/>
        </w:rPr>
        <w:t xml:space="preserve"> for the 19 week period</w:t>
      </w:r>
      <w:r w:rsidRPr="00A539F8">
        <w:rPr>
          <w:rFonts w:ascii="Tesco" w:hAnsi="Tesco"/>
          <w:sz w:val="21"/>
          <w:szCs w:val="21"/>
        </w:rPr>
        <w:t xml:space="preserve"> </w:t>
      </w:r>
      <w:r w:rsidR="00050819">
        <w:rPr>
          <w:rFonts w:ascii="Tesco" w:hAnsi="Tesco"/>
          <w:sz w:val="21"/>
          <w:szCs w:val="21"/>
        </w:rPr>
        <w:t>declined by (</w:t>
      </w:r>
      <w:r w:rsidR="00390CD4">
        <w:rPr>
          <w:rFonts w:ascii="Tesco" w:hAnsi="Tesco"/>
          <w:sz w:val="21"/>
          <w:szCs w:val="21"/>
        </w:rPr>
        <w:t>1.5</w:t>
      </w:r>
      <w:r w:rsidR="00050819">
        <w:rPr>
          <w:rFonts w:ascii="Tesco" w:hAnsi="Tesco"/>
          <w:sz w:val="21"/>
          <w:szCs w:val="21"/>
        </w:rPr>
        <w:t xml:space="preserve">)% </w:t>
      </w:r>
      <w:r w:rsidRPr="00A539F8">
        <w:rPr>
          <w:rFonts w:ascii="Tesco" w:hAnsi="Tesco"/>
          <w:sz w:val="21"/>
          <w:szCs w:val="21"/>
        </w:rPr>
        <w:t>at constant rates, with like-for-like sales declining by (</w:t>
      </w:r>
      <w:r w:rsidR="00390CD4">
        <w:rPr>
          <w:rFonts w:ascii="Tesco" w:hAnsi="Tesco"/>
          <w:sz w:val="21"/>
          <w:szCs w:val="21"/>
        </w:rPr>
        <w:t>4.6</w:t>
      </w:r>
      <w:r w:rsidRPr="00A539F8">
        <w:rPr>
          <w:rFonts w:ascii="Tesco" w:hAnsi="Tesco"/>
          <w:sz w:val="21"/>
          <w:szCs w:val="21"/>
        </w:rPr>
        <w:t>)%.</w:t>
      </w:r>
      <w:r w:rsidR="00A539F8" w:rsidRPr="00A539F8">
        <w:rPr>
          <w:rFonts w:ascii="Tesco" w:hAnsi="Tesco"/>
          <w:sz w:val="21"/>
          <w:szCs w:val="21"/>
        </w:rPr>
        <w:t xml:space="preserve"> </w:t>
      </w:r>
      <w:r w:rsidR="0036194A">
        <w:rPr>
          <w:rFonts w:ascii="Tesco" w:hAnsi="Tesco"/>
          <w:sz w:val="21"/>
          <w:szCs w:val="21"/>
        </w:rPr>
        <w:t xml:space="preserve"> </w:t>
      </w:r>
      <w:r>
        <w:rPr>
          <w:rFonts w:ascii="Tesco" w:hAnsi="Tesco"/>
          <w:sz w:val="21"/>
          <w:szCs w:val="21"/>
        </w:rPr>
        <w:t>Market conditions across the region remain challenging.  In Thailand, sales trends improved over the period as we annualised the impact of the external pressures linked to political disruption last year.  In Korea, a higher number of enforced Sunday closures under the DIDA opening regulations affected the performance of all large retailers.</w:t>
      </w:r>
    </w:p>
    <w:p w:rsidR="000C3033" w:rsidRDefault="000C3033" w:rsidP="000C3033">
      <w:pPr>
        <w:rPr>
          <w:rFonts w:ascii="Tesco" w:hAnsi="Tesco"/>
          <w:sz w:val="21"/>
          <w:szCs w:val="21"/>
        </w:rPr>
      </w:pPr>
    </w:p>
    <w:p w:rsidR="00A539F8" w:rsidRDefault="000C3033" w:rsidP="000C3033">
      <w:pPr>
        <w:rPr>
          <w:rFonts w:ascii="Tesco" w:hAnsi="Tesco"/>
          <w:sz w:val="21"/>
          <w:szCs w:val="21"/>
        </w:rPr>
      </w:pPr>
      <w:r w:rsidRPr="00163A0B">
        <w:rPr>
          <w:rFonts w:ascii="Tesco" w:hAnsi="Tesco"/>
          <w:sz w:val="21"/>
          <w:szCs w:val="21"/>
        </w:rPr>
        <w:t>In Eur</w:t>
      </w:r>
      <w:r w:rsidR="004A7092">
        <w:rPr>
          <w:rFonts w:ascii="Tesco" w:hAnsi="Tesco"/>
          <w:sz w:val="21"/>
          <w:szCs w:val="21"/>
        </w:rPr>
        <w:t xml:space="preserve">ope, total sales </w:t>
      </w:r>
      <w:r w:rsidR="00D773EC">
        <w:rPr>
          <w:rFonts w:ascii="Tesco" w:hAnsi="Tesco"/>
          <w:sz w:val="21"/>
          <w:szCs w:val="21"/>
        </w:rPr>
        <w:t>increased by</w:t>
      </w:r>
      <w:r w:rsidR="00542CDE">
        <w:rPr>
          <w:rFonts w:ascii="Tesco" w:hAnsi="Tesco"/>
          <w:sz w:val="21"/>
          <w:szCs w:val="21"/>
        </w:rPr>
        <w:t xml:space="preserve"> </w:t>
      </w:r>
      <w:r w:rsidR="00390CD4">
        <w:rPr>
          <w:rFonts w:ascii="Tesco" w:hAnsi="Tesco"/>
          <w:sz w:val="21"/>
          <w:szCs w:val="21"/>
        </w:rPr>
        <w:t>0.4</w:t>
      </w:r>
      <w:r w:rsidR="00D773EC">
        <w:rPr>
          <w:rFonts w:ascii="Tesco" w:hAnsi="Tesco"/>
          <w:sz w:val="21"/>
          <w:szCs w:val="21"/>
        </w:rPr>
        <w:t>%</w:t>
      </w:r>
      <w:r w:rsidR="004A7092">
        <w:rPr>
          <w:rFonts w:ascii="Tesco" w:hAnsi="Tesco"/>
          <w:sz w:val="21"/>
          <w:szCs w:val="21"/>
        </w:rPr>
        <w:t xml:space="preserve"> </w:t>
      </w:r>
      <w:r w:rsidRPr="00163A0B">
        <w:rPr>
          <w:rFonts w:ascii="Tesco" w:hAnsi="Tesco"/>
          <w:sz w:val="21"/>
          <w:szCs w:val="21"/>
        </w:rPr>
        <w:t>at c</w:t>
      </w:r>
      <w:r w:rsidR="0088301E">
        <w:rPr>
          <w:rFonts w:ascii="Tesco" w:hAnsi="Tesco"/>
          <w:sz w:val="21"/>
          <w:szCs w:val="21"/>
        </w:rPr>
        <w:t>onstant rates</w:t>
      </w:r>
      <w:r w:rsidR="00542CDE">
        <w:rPr>
          <w:rFonts w:ascii="Tesco" w:hAnsi="Tesco"/>
          <w:sz w:val="21"/>
          <w:szCs w:val="21"/>
        </w:rPr>
        <w:t xml:space="preserve"> for the 19 week period</w:t>
      </w:r>
      <w:r w:rsidR="0088301E">
        <w:rPr>
          <w:rFonts w:ascii="Tesco" w:hAnsi="Tesco"/>
          <w:sz w:val="21"/>
          <w:szCs w:val="21"/>
        </w:rPr>
        <w:t xml:space="preserve">, excluding </w:t>
      </w:r>
      <w:r w:rsidR="00535872">
        <w:rPr>
          <w:rFonts w:ascii="Tesco" w:hAnsi="Tesco"/>
          <w:sz w:val="21"/>
          <w:szCs w:val="21"/>
        </w:rPr>
        <w:t>fuel</w:t>
      </w:r>
      <w:r w:rsidR="0088301E">
        <w:rPr>
          <w:rFonts w:ascii="Tesco" w:hAnsi="Tesco"/>
          <w:sz w:val="21"/>
          <w:szCs w:val="21"/>
        </w:rPr>
        <w:t>.</w:t>
      </w:r>
      <w:r w:rsidRPr="00163A0B">
        <w:rPr>
          <w:rFonts w:ascii="Tesco" w:hAnsi="Tesco"/>
          <w:sz w:val="21"/>
          <w:szCs w:val="21"/>
        </w:rPr>
        <w:t xml:space="preserve">  </w:t>
      </w:r>
      <w:r w:rsidR="00542CDE">
        <w:rPr>
          <w:rFonts w:ascii="Tesco" w:hAnsi="Tesco"/>
          <w:sz w:val="21"/>
          <w:szCs w:val="21"/>
        </w:rPr>
        <w:t>The l</w:t>
      </w:r>
      <w:r w:rsidRPr="00163A0B">
        <w:rPr>
          <w:rFonts w:ascii="Tesco" w:hAnsi="Tesco"/>
          <w:sz w:val="21"/>
          <w:szCs w:val="21"/>
        </w:rPr>
        <w:t xml:space="preserve">ike-for-like sales </w:t>
      </w:r>
      <w:r w:rsidR="00542CDE">
        <w:rPr>
          <w:rFonts w:ascii="Tesco" w:hAnsi="Tesco"/>
          <w:sz w:val="21"/>
          <w:szCs w:val="21"/>
        </w:rPr>
        <w:t xml:space="preserve">performance </w:t>
      </w:r>
      <w:r w:rsidRPr="00163A0B">
        <w:rPr>
          <w:rFonts w:ascii="Tesco" w:hAnsi="Tesco"/>
          <w:sz w:val="21"/>
          <w:szCs w:val="21"/>
        </w:rPr>
        <w:t>for the region</w:t>
      </w:r>
      <w:r w:rsidR="00542CDE">
        <w:rPr>
          <w:rFonts w:ascii="Tesco" w:hAnsi="Tesco"/>
          <w:sz w:val="21"/>
          <w:szCs w:val="21"/>
        </w:rPr>
        <w:t>, though</w:t>
      </w:r>
      <w:r w:rsidR="00542CDE" w:rsidRPr="00163A0B">
        <w:rPr>
          <w:rFonts w:ascii="Tesco" w:hAnsi="Tesco"/>
          <w:sz w:val="21"/>
          <w:szCs w:val="21"/>
        </w:rPr>
        <w:t xml:space="preserve"> </w:t>
      </w:r>
      <w:r w:rsidR="00542CDE">
        <w:rPr>
          <w:rFonts w:ascii="Tesco" w:hAnsi="Tesco"/>
          <w:sz w:val="21"/>
          <w:szCs w:val="21"/>
        </w:rPr>
        <w:t xml:space="preserve">still </w:t>
      </w:r>
      <w:r w:rsidRPr="00163A0B">
        <w:rPr>
          <w:rFonts w:ascii="Tesco" w:hAnsi="Tesco"/>
          <w:sz w:val="21"/>
          <w:szCs w:val="21"/>
        </w:rPr>
        <w:t xml:space="preserve">held back by </w:t>
      </w:r>
      <w:r w:rsidR="00542CDE">
        <w:rPr>
          <w:rFonts w:ascii="Tesco" w:hAnsi="Tesco"/>
          <w:sz w:val="21"/>
          <w:szCs w:val="21"/>
        </w:rPr>
        <w:t xml:space="preserve">our </w:t>
      </w:r>
      <w:r w:rsidRPr="00163A0B">
        <w:rPr>
          <w:rFonts w:ascii="Tesco" w:hAnsi="Tesco"/>
          <w:sz w:val="21"/>
          <w:szCs w:val="21"/>
        </w:rPr>
        <w:t xml:space="preserve">performance in Ireland, </w:t>
      </w:r>
      <w:r w:rsidR="00542CDE">
        <w:rPr>
          <w:rFonts w:ascii="Tesco" w:hAnsi="Tesco"/>
          <w:sz w:val="21"/>
          <w:szCs w:val="21"/>
        </w:rPr>
        <w:t>improved from (2.5)% in the second quarter to (1.2)% in the third quarter.  Further improvement in all markets resulted in positive like-for-like sales growth of 1.0% for the Christmas period</w:t>
      </w:r>
      <w:r w:rsidR="00AD55F8">
        <w:rPr>
          <w:rFonts w:ascii="Tesco" w:hAnsi="Tesco"/>
          <w:sz w:val="21"/>
          <w:szCs w:val="21"/>
        </w:rPr>
        <w:t>.</w:t>
      </w:r>
    </w:p>
    <w:p w:rsidR="00AD55F8" w:rsidRDefault="00AD55F8" w:rsidP="000C3033">
      <w:pPr>
        <w:rPr>
          <w:rFonts w:ascii="Tesco" w:hAnsi="Tesco"/>
          <w:sz w:val="21"/>
          <w:szCs w:val="21"/>
        </w:rPr>
      </w:pPr>
    </w:p>
    <w:p w:rsidR="000835E2" w:rsidRPr="000835E2" w:rsidRDefault="000835E2" w:rsidP="007C41AA">
      <w:pPr>
        <w:autoSpaceDE w:val="0"/>
        <w:autoSpaceDN w:val="0"/>
        <w:adjustRightInd w:val="0"/>
        <w:rPr>
          <w:rFonts w:ascii="Tesco" w:eastAsia="MS Mincho" w:hAnsi="Tesco" w:cs="Courier New"/>
          <w:b/>
          <w:sz w:val="21"/>
          <w:szCs w:val="21"/>
          <w:u w:val="single"/>
          <w:lang w:eastAsia="ja-JP"/>
        </w:rPr>
      </w:pPr>
      <w:r w:rsidRPr="000835E2">
        <w:rPr>
          <w:rFonts w:ascii="Tesco" w:eastAsia="MS Mincho" w:hAnsi="Tesco" w:cs="Courier New"/>
          <w:b/>
          <w:sz w:val="21"/>
          <w:szCs w:val="21"/>
          <w:u w:val="single"/>
          <w:lang w:eastAsia="ja-JP"/>
        </w:rPr>
        <w:t>Tesco Bank</w:t>
      </w:r>
    </w:p>
    <w:p w:rsidR="007C41AA" w:rsidRPr="00A539F8" w:rsidRDefault="007C41AA" w:rsidP="007C41AA">
      <w:pPr>
        <w:autoSpaceDE w:val="0"/>
        <w:autoSpaceDN w:val="0"/>
        <w:adjustRightInd w:val="0"/>
        <w:rPr>
          <w:rFonts w:ascii="Tesco" w:hAnsi="Tesco" w:cs="Courier New"/>
          <w:sz w:val="21"/>
          <w:szCs w:val="21"/>
        </w:rPr>
      </w:pPr>
    </w:p>
    <w:p w:rsidR="000C3033" w:rsidRPr="000900AC" w:rsidRDefault="000C3033" w:rsidP="000C3033">
      <w:pPr>
        <w:rPr>
          <w:rFonts w:ascii="Tesco" w:hAnsi="Tesco"/>
          <w:sz w:val="21"/>
          <w:szCs w:val="21"/>
        </w:rPr>
      </w:pPr>
      <w:r w:rsidRPr="00A539F8">
        <w:rPr>
          <w:rFonts w:ascii="Tesco" w:hAnsi="Tesco"/>
          <w:sz w:val="21"/>
          <w:szCs w:val="21"/>
        </w:rPr>
        <w:t xml:space="preserve">Sales at Tesco </w:t>
      </w:r>
      <w:r w:rsidRPr="00163A0B">
        <w:rPr>
          <w:rFonts w:ascii="Tesco" w:hAnsi="Tesco"/>
          <w:sz w:val="21"/>
          <w:szCs w:val="21"/>
        </w:rPr>
        <w:t xml:space="preserve">Bank increased by </w:t>
      </w:r>
      <w:r w:rsidR="00390CD4">
        <w:rPr>
          <w:rFonts w:ascii="Tesco" w:hAnsi="Tesco"/>
          <w:sz w:val="21"/>
          <w:szCs w:val="21"/>
        </w:rPr>
        <w:t>3.0</w:t>
      </w:r>
      <w:r>
        <w:rPr>
          <w:rFonts w:ascii="Tesco" w:hAnsi="Tesco"/>
          <w:sz w:val="21"/>
          <w:szCs w:val="21"/>
        </w:rPr>
        <w:t>%, due to a broader product range in mortgages and loans, although this was partly offset by a more competitive insurance market.</w:t>
      </w:r>
    </w:p>
    <w:p w:rsidR="00123AA3" w:rsidRDefault="00123AA3" w:rsidP="007C41AA">
      <w:pPr>
        <w:autoSpaceDE w:val="0"/>
        <w:autoSpaceDN w:val="0"/>
        <w:adjustRightInd w:val="0"/>
        <w:rPr>
          <w:rFonts w:ascii="Tesco" w:eastAsia="MS Mincho" w:hAnsi="Tesco" w:cs="Courier New"/>
          <w:sz w:val="21"/>
          <w:szCs w:val="21"/>
          <w:lang w:eastAsia="ja-JP"/>
        </w:rPr>
      </w:pPr>
    </w:p>
    <w:p w:rsidR="00A57756" w:rsidRPr="000835E2" w:rsidRDefault="00A57756" w:rsidP="00A57756">
      <w:pPr>
        <w:autoSpaceDE w:val="0"/>
        <w:autoSpaceDN w:val="0"/>
        <w:adjustRightInd w:val="0"/>
        <w:rPr>
          <w:rFonts w:ascii="Tesco" w:eastAsia="MS Mincho" w:hAnsi="Tesco" w:cs="Courier New"/>
          <w:b/>
          <w:sz w:val="21"/>
          <w:szCs w:val="21"/>
          <w:u w:val="single"/>
          <w:lang w:eastAsia="ja-JP"/>
        </w:rPr>
      </w:pPr>
      <w:r>
        <w:rPr>
          <w:rFonts w:ascii="Tesco" w:eastAsia="MS Mincho" w:hAnsi="Tesco" w:cs="Courier New"/>
          <w:b/>
          <w:sz w:val="21"/>
          <w:szCs w:val="21"/>
          <w:u w:val="single"/>
          <w:lang w:eastAsia="ja-JP"/>
        </w:rPr>
        <w:t>Contacts</w:t>
      </w:r>
    </w:p>
    <w:p w:rsidR="00A57756" w:rsidRDefault="00A57756">
      <w:pPr>
        <w:rPr>
          <w:rFonts w:ascii="Tesco" w:hAnsi="Tesco"/>
        </w:rPr>
      </w:pPr>
    </w:p>
    <w:bookmarkEnd w:id="0"/>
    <w:bookmarkEnd w:id="1"/>
    <w:p w:rsidR="000C3033" w:rsidRDefault="00AD63C5" w:rsidP="000C3033">
      <w:pPr>
        <w:rPr>
          <w:rFonts w:ascii="Tesco" w:hAnsi="Tesco"/>
          <w:sz w:val="21"/>
          <w:szCs w:val="21"/>
        </w:rPr>
      </w:pPr>
      <w:r>
        <w:rPr>
          <w:rFonts w:ascii="Tesco" w:hAnsi="Tesco"/>
          <w:sz w:val="21"/>
          <w:szCs w:val="21"/>
        </w:rPr>
        <w:t>Investor Relations:</w:t>
      </w:r>
      <w:r>
        <w:rPr>
          <w:rFonts w:ascii="Tesco" w:hAnsi="Tesco"/>
          <w:sz w:val="21"/>
          <w:szCs w:val="21"/>
        </w:rPr>
        <w:tab/>
      </w:r>
      <w:r w:rsidR="004C4973">
        <w:rPr>
          <w:rFonts w:ascii="Tesco" w:hAnsi="Tesco"/>
          <w:sz w:val="21"/>
          <w:szCs w:val="21"/>
        </w:rPr>
        <w:tab/>
      </w:r>
      <w:r w:rsidR="004C4973">
        <w:rPr>
          <w:rFonts w:ascii="Tesco" w:hAnsi="Tesco"/>
          <w:sz w:val="21"/>
          <w:szCs w:val="21"/>
        </w:rPr>
        <w:tab/>
      </w:r>
      <w:r w:rsidR="000C3033" w:rsidRPr="00163A0B">
        <w:rPr>
          <w:rFonts w:ascii="Tesco" w:hAnsi="Tesco"/>
          <w:sz w:val="21"/>
          <w:szCs w:val="21"/>
        </w:rPr>
        <w:t>Chris Griffith</w:t>
      </w:r>
      <w:r>
        <w:rPr>
          <w:rFonts w:ascii="Tesco" w:hAnsi="Tesco"/>
          <w:sz w:val="21"/>
          <w:szCs w:val="21"/>
        </w:rPr>
        <w:t xml:space="preserve"> </w:t>
      </w:r>
      <w:r>
        <w:rPr>
          <w:rFonts w:ascii="Tesco" w:hAnsi="Tesco"/>
          <w:sz w:val="21"/>
          <w:szCs w:val="21"/>
        </w:rPr>
        <w:tab/>
        <w:t xml:space="preserve">   </w:t>
      </w:r>
      <w:r w:rsidR="004C4973">
        <w:rPr>
          <w:rFonts w:ascii="Tesco" w:hAnsi="Tesco"/>
          <w:sz w:val="21"/>
          <w:szCs w:val="21"/>
        </w:rPr>
        <w:tab/>
      </w:r>
      <w:r w:rsidR="004C4973">
        <w:rPr>
          <w:rFonts w:ascii="Tesco" w:hAnsi="Tesco"/>
          <w:sz w:val="21"/>
          <w:szCs w:val="21"/>
        </w:rPr>
        <w:tab/>
      </w:r>
      <w:r w:rsidR="000C3033" w:rsidRPr="00163A0B">
        <w:rPr>
          <w:rFonts w:ascii="Tesco" w:hAnsi="Tesco"/>
          <w:sz w:val="21"/>
          <w:szCs w:val="21"/>
        </w:rPr>
        <w:t>01992 644 800</w:t>
      </w:r>
    </w:p>
    <w:p w:rsidR="005C309D" w:rsidRDefault="005C309D" w:rsidP="00AD63C5">
      <w:pPr>
        <w:rPr>
          <w:rFonts w:ascii="Tesco" w:hAnsi="Tesco"/>
          <w:sz w:val="21"/>
          <w:szCs w:val="21"/>
        </w:rPr>
      </w:pPr>
    </w:p>
    <w:p w:rsidR="004C4973" w:rsidRDefault="000C3033" w:rsidP="00AD63C5">
      <w:pPr>
        <w:rPr>
          <w:rFonts w:ascii="Tesco" w:hAnsi="Tesco"/>
          <w:sz w:val="21"/>
          <w:szCs w:val="21"/>
        </w:rPr>
      </w:pPr>
      <w:r>
        <w:rPr>
          <w:rFonts w:ascii="Tesco" w:hAnsi="Tesco"/>
          <w:sz w:val="21"/>
          <w:szCs w:val="21"/>
        </w:rPr>
        <w:t>Media</w:t>
      </w:r>
      <w:r w:rsidRPr="00163A0B">
        <w:rPr>
          <w:rFonts w:ascii="Tesco" w:hAnsi="Tesco"/>
          <w:sz w:val="21"/>
          <w:szCs w:val="21"/>
        </w:rPr>
        <w:t>:</w:t>
      </w:r>
      <w:r w:rsidRPr="00163A0B">
        <w:rPr>
          <w:rFonts w:ascii="Tesco" w:hAnsi="Tesco"/>
          <w:sz w:val="21"/>
          <w:szCs w:val="21"/>
        </w:rPr>
        <w:tab/>
      </w:r>
      <w:r w:rsidRPr="00163A0B">
        <w:rPr>
          <w:rFonts w:ascii="Tesco" w:hAnsi="Tesco"/>
          <w:sz w:val="21"/>
          <w:szCs w:val="21"/>
        </w:rPr>
        <w:tab/>
      </w:r>
      <w:r w:rsidRPr="00163A0B">
        <w:rPr>
          <w:rFonts w:ascii="Tesco" w:hAnsi="Tesco"/>
          <w:sz w:val="21"/>
          <w:szCs w:val="21"/>
        </w:rPr>
        <w:tab/>
      </w:r>
      <w:r w:rsidR="004C4973">
        <w:rPr>
          <w:rFonts w:ascii="Tesco" w:hAnsi="Tesco"/>
          <w:sz w:val="21"/>
          <w:szCs w:val="21"/>
        </w:rPr>
        <w:tab/>
      </w:r>
      <w:r w:rsidR="004C4973">
        <w:rPr>
          <w:rFonts w:ascii="Tesco" w:hAnsi="Tesco"/>
          <w:sz w:val="21"/>
          <w:szCs w:val="21"/>
        </w:rPr>
        <w:tab/>
      </w:r>
      <w:r w:rsidRPr="00163A0B">
        <w:rPr>
          <w:rFonts w:ascii="Tesco" w:hAnsi="Tesco"/>
          <w:sz w:val="21"/>
          <w:szCs w:val="21"/>
        </w:rPr>
        <w:t>Tom Hoskin</w:t>
      </w:r>
      <w:r w:rsidR="004C4973">
        <w:rPr>
          <w:rFonts w:ascii="Tesco" w:hAnsi="Tesco"/>
          <w:sz w:val="21"/>
          <w:szCs w:val="21"/>
        </w:rPr>
        <w:tab/>
      </w:r>
      <w:r w:rsidR="004C4973">
        <w:rPr>
          <w:rFonts w:ascii="Tesco" w:hAnsi="Tesco"/>
          <w:sz w:val="21"/>
          <w:szCs w:val="21"/>
        </w:rPr>
        <w:tab/>
      </w:r>
      <w:r w:rsidR="004C4973">
        <w:rPr>
          <w:rFonts w:ascii="Tesco" w:hAnsi="Tesco"/>
          <w:sz w:val="21"/>
          <w:szCs w:val="21"/>
        </w:rPr>
        <w:tab/>
      </w:r>
      <w:r w:rsidR="004C4973" w:rsidRPr="00163A0B">
        <w:rPr>
          <w:rFonts w:ascii="Tesco" w:hAnsi="Tesco"/>
          <w:sz w:val="21"/>
          <w:szCs w:val="21"/>
        </w:rPr>
        <w:t>01992 644 645</w:t>
      </w:r>
    </w:p>
    <w:p w:rsidR="000C3033" w:rsidRDefault="004C4973" w:rsidP="004C4973">
      <w:pPr>
        <w:ind w:left="2880" w:firstLine="720"/>
        <w:rPr>
          <w:rFonts w:ascii="Tesco" w:hAnsi="Tesco"/>
          <w:sz w:val="21"/>
          <w:szCs w:val="21"/>
        </w:rPr>
      </w:pPr>
      <w:r>
        <w:rPr>
          <w:rFonts w:ascii="Tesco" w:hAnsi="Tesco"/>
          <w:sz w:val="21"/>
          <w:szCs w:val="21"/>
        </w:rPr>
        <w:t>Brunswick</w:t>
      </w:r>
      <w:r w:rsidR="00AD63C5">
        <w:rPr>
          <w:rFonts w:ascii="Tesco" w:hAnsi="Tesco"/>
          <w:sz w:val="21"/>
          <w:szCs w:val="21"/>
        </w:rPr>
        <w:tab/>
        <w:t xml:space="preserve">   </w:t>
      </w:r>
      <w:r>
        <w:rPr>
          <w:rFonts w:ascii="Tesco" w:hAnsi="Tesco"/>
          <w:sz w:val="21"/>
          <w:szCs w:val="21"/>
        </w:rPr>
        <w:tab/>
      </w:r>
      <w:r w:rsidR="00AD63C5">
        <w:rPr>
          <w:rFonts w:ascii="Tesco" w:hAnsi="Tesco"/>
          <w:sz w:val="21"/>
          <w:szCs w:val="21"/>
        </w:rPr>
        <w:tab/>
      </w:r>
      <w:r w:rsidR="000C3033" w:rsidRPr="00163A0B">
        <w:rPr>
          <w:rFonts w:ascii="Tesco" w:hAnsi="Tesco"/>
          <w:sz w:val="21"/>
          <w:szCs w:val="21"/>
        </w:rPr>
        <w:t>0207 404 5959</w:t>
      </w:r>
    </w:p>
    <w:p w:rsidR="00A57756" w:rsidRPr="00163A0B" w:rsidRDefault="00A57756" w:rsidP="00AD63C5">
      <w:pPr>
        <w:rPr>
          <w:rFonts w:ascii="Tesco" w:hAnsi="Tesco"/>
          <w:sz w:val="21"/>
          <w:szCs w:val="21"/>
        </w:rPr>
      </w:pPr>
    </w:p>
    <w:p w:rsidR="00054979" w:rsidRDefault="00054979" w:rsidP="00054979">
      <w:pPr>
        <w:pStyle w:val="Default"/>
        <w:rPr>
          <w:rFonts w:ascii="Tesco" w:hAnsi="Tesco"/>
          <w:sz w:val="16"/>
          <w:szCs w:val="16"/>
        </w:rPr>
      </w:pPr>
    </w:p>
    <w:p w:rsidR="00054979" w:rsidRDefault="00054979" w:rsidP="00054979">
      <w:pPr>
        <w:pStyle w:val="Default"/>
        <w:rPr>
          <w:rFonts w:ascii="Tesco" w:hAnsi="Tesco"/>
          <w:sz w:val="16"/>
          <w:szCs w:val="16"/>
        </w:rPr>
      </w:pPr>
    </w:p>
    <w:p w:rsidR="00054979" w:rsidRDefault="00054979" w:rsidP="00054979">
      <w:pPr>
        <w:pStyle w:val="Default"/>
        <w:rPr>
          <w:rFonts w:ascii="Tesco" w:hAnsi="Tesco"/>
          <w:sz w:val="16"/>
          <w:szCs w:val="16"/>
        </w:rPr>
      </w:pPr>
    </w:p>
    <w:p w:rsidR="008D4D4B" w:rsidRDefault="008D4D4B" w:rsidP="005C4947">
      <w:pPr>
        <w:rPr>
          <w:rFonts w:ascii="Tesco" w:hAnsi="Tesco"/>
          <w:sz w:val="16"/>
          <w:szCs w:val="16"/>
        </w:rPr>
      </w:pPr>
    </w:p>
    <w:p w:rsidR="008D4D4B" w:rsidRDefault="00BA67BF" w:rsidP="005C4947">
      <w:pPr>
        <w:rPr>
          <w:rFonts w:ascii="Tesco" w:hAnsi="Tesco"/>
          <w:sz w:val="16"/>
          <w:szCs w:val="16"/>
        </w:rPr>
      </w:pPr>
      <w:r>
        <w:rPr>
          <w:rFonts w:ascii="Tesco" w:hAnsi="Tesco"/>
          <w:sz w:val="16"/>
          <w:szCs w:val="16"/>
        </w:rPr>
        <w:br w:type="page"/>
      </w: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10"/>
        <w:gridCol w:w="1813"/>
        <w:gridCol w:w="1164"/>
        <w:gridCol w:w="222"/>
        <w:gridCol w:w="1164"/>
        <w:gridCol w:w="236"/>
        <w:gridCol w:w="1160"/>
        <w:gridCol w:w="323"/>
        <w:gridCol w:w="1211"/>
        <w:gridCol w:w="464"/>
        <w:gridCol w:w="1164"/>
      </w:tblGrid>
      <w:tr w:rsidR="008D4D4B" w:rsidTr="008D4D4B">
        <w:trPr>
          <w:trHeight w:val="312"/>
        </w:trPr>
        <w:tc>
          <w:tcPr>
            <w:tcW w:w="8931" w:type="dxa"/>
            <w:gridSpan w:val="11"/>
            <w:tcBorders>
              <w:top w:val="single" w:sz="4" w:space="0" w:color="00539F"/>
              <w:left w:val="single" w:sz="4" w:space="0" w:color="00539F"/>
              <w:bottom w:val="single" w:sz="4" w:space="0" w:color="00539F"/>
              <w:right w:val="single" w:sz="4" w:space="0" w:color="00539F"/>
            </w:tcBorders>
            <w:shd w:val="clear" w:color="auto" w:fill="548DD4"/>
            <w:vAlign w:val="center"/>
            <w:hideMark/>
          </w:tcPr>
          <w:p w:rsidR="008D4D4B" w:rsidRDefault="00054979">
            <w:pPr>
              <w:pStyle w:val="NormalWeb"/>
              <w:jc w:val="center"/>
              <w:rPr>
                <w:rFonts w:ascii="Tesco" w:hAnsi="Tesco"/>
                <w:b/>
                <w:color w:val="FFFFFF"/>
                <w:sz w:val="21"/>
                <w:szCs w:val="21"/>
              </w:rPr>
            </w:pPr>
            <w:r>
              <w:rPr>
                <w:rFonts w:ascii="Tesco" w:hAnsi="Tesco"/>
                <w:sz w:val="16"/>
                <w:szCs w:val="16"/>
              </w:rPr>
              <w:br w:type="page"/>
            </w:r>
            <w:r w:rsidR="008D4D4B">
              <w:rPr>
                <w:rFonts w:ascii="Tesco" w:hAnsi="Tesco"/>
                <w:b/>
                <w:color w:val="FFFFFF"/>
                <w:sz w:val="21"/>
                <w:szCs w:val="21"/>
              </w:rPr>
              <w:t>Appendix 1 – Like-for-Like Sales Growth (Inc. VAT, Exc. Fuel)</w:t>
            </w:r>
          </w:p>
        </w:tc>
      </w:tr>
      <w:tr w:rsidR="008D4D4B" w:rsidTr="008D4D4B">
        <w:trPr>
          <w:gridBefore w:val="1"/>
          <w:wBefore w:w="10" w:type="dxa"/>
          <w:trHeight w:val="276"/>
        </w:trPr>
        <w:tc>
          <w:tcPr>
            <w:tcW w:w="8921" w:type="dxa"/>
            <w:gridSpan w:val="10"/>
            <w:tcBorders>
              <w:top w:val="nil"/>
              <w:left w:val="nil"/>
              <w:bottom w:val="nil"/>
              <w:right w:val="nil"/>
            </w:tcBorders>
            <w:shd w:val="clear" w:color="auto" w:fill="auto"/>
            <w:hideMark/>
          </w:tcPr>
          <w:p w:rsidR="008D4D4B" w:rsidRDefault="000F6D76">
            <w:pPr>
              <w:rPr>
                <w:rFonts w:ascii="Calibri" w:eastAsia="Calibri" w:hAnsi="Calibri"/>
                <w:i/>
                <w:color w:val="FFFFFF"/>
                <w:sz w:val="21"/>
                <w:szCs w:val="21"/>
              </w:rPr>
            </w:pPr>
            <w:r>
              <w:rPr>
                <w:noProof/>
              </w:rPr>
              <mc:AlternateContent>
                <mc:Choice Requires="wps">
                  <w:drawing>
                    <wp:anchor distT="0" distB="0" distL="114300" distR="114300" simplePos="0" relativeHeight="251657728" behindDoc="0" locked="0" layoutInCell="1" allowOverlap="1" wp14:anchorId="7D2C7CC4" wp14:editId="2EBB7838">
                      <wp:simplePos x="0" y="0"/>
                      <wp:positionH relativeFrom="column">
                        <wp:posOffset>2792095</wp:posOffset>
                      </wp:positionH>
                      <wp:positionV relativeFrom="paragraph">
                        <wp:posOffset>141605</wp:posOffset>
                      </wp:positionV>
                      <wp:extent cx="1828800" cy="3714750"/>
                      <wp:effectExtent l="19050" t="19050" r="19050" b="1905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714750"/>
                              </a:xfrm>
                              <a:prstGeom prst="rect">
                                <a:avLst/>
                              </a:prstGeom>
                              <a:noFill/>
                              <a:ln w="28575">
                                <a:solidFill>
                                  <a:srgbClr val="548D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BDD3C" id="Rectangle 8" o:spid="_x0000_s1026" style="position:absolute;margin-left:219.85pt;margin-top:11.15pt;width:2in;height:2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" filled="f" strokecolor="#548dd4" strokeweight="2.25pt"/>
                  </w:pict>
                </mc:Fallback>
              </mc:AlternateContent>
            </w:r>
          </w:p>
        </w:tc>
      </w:tr>
      <w:tr w:rsidR="008D4D4B" w:rsidTr="008D4D4B">
        <w:trPr>
          <w:trHeight w:val="170"/>
        </w:trPr>
        <w:tc>
          <w:tcPr>
            <w:tcW w:w="1823" w:type="dxa"/>
            <w:gridSpan w:val="2"/>
            <w:tcBorders>
              <w:top w:val="nil"/>
              <w:left w:val="nil"/>
              <w:bottom w:val="nil"/>
              <w:right w:val="single" w:sz="4" w:space="0" w:color="auto"/>
            </w:tcBorders>
            <w:shd w:val="clear" w:color="auto" w:fill="auto"/>
            <w:vAlign w:val="center"/>
          </w:tcPr>
          <w:p w:rsidR="008D4D4B" w:rsidRDefault="008D4D4B">
            <w:pPr>
              <w:jc w:val="center"/>
              <w:rPr>
                <w:rFonts w:ascii="Calibri" w:eastAsia="Calibri" w:hAnsi="Calibri"/>
                <w:i/>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Q1 2014/15</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eastAsia="Calibri" w:hAnsi="Tesco" w:cs="Arial"/>
                <w:b/>
                <w:color w:val="FFFFFF"/>
              </w:rPr>
              <w:t>Q2 2014/15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0"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hAnsi="Tesco"/>
                <w:b/>
                <w:color w:val="FFFFFF"/>
              </w:rPr>
            </w:pPr>
            <w:r>
              <w:rPr>
                <w:rFonts w:ascii="Tesco" w:hAnsi="Tesco"/>
                <w:b/>
                <w:color w:val="FFFFFF"/>
              </w:rPr>
              <w:t>Q3 2014/15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211"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Christmas Period 2014/15</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Arial"/>
                <w:i/>
              </w:rPr>
            </w:pPr>
            <w:r>
              <w:rPr>
                <w:rFonts w:ascii="Tesco" w:hAnsi="Tesco"/>
                <w:i/>
              </w:rPr>
              <w:t>19 Week Period 2014/15</w:t>
            </w:r>
          </w:p>
        </w:tc>
      </w:tr>
      <w:tr w:rsidR="008D4D4B" w:rsidTr="008D4D4B">
        <w:trPr>
          <w:trHeight w:val="272"/>
        </w:trPr>
        <w:tc>
          <w:tcPr>
            <w:tcW w:w="1823" w:type="dxa"/>
            <w:gridSpan w:val="2"/>
            <w:tcBorders>
              <w:top w:val="nil"/>
              <w:left w:val="nil"/>
              <w:bottom w:val="single" w:sz="4" w:space="0" w:color="auto"/>
              <w:right w:val="nil"/>
            </w:tcBorders>
            <w:shd w:val="clear" w:color="auto" w:fill="auto"/>
            <w:vAlign w:val="center"/>
          </w:tcPr>
          <w:p w:rsidR="008D4D4B" w:rsidRDefault="008D4D4B">
            <w:pPr>
              <w:jc w:val="center"/>
              <w:rPr>
                <w:rFonts w:ascii="Tesco" w:hAnsi="Tesco" w:cs="Tahoma"/>
                <w:b/>
                <w:sz w:val="18"/>
              </w:rPr>
            </w:pPr>
          </w:p>
        </w:tc>
        <w:tc>
          <w:tcPr>
            <w:tcW w:w="1164" w:type="dxa"/>
            <w:tcBorders>
              <w:top w:val="single" w:sz="4" w:space="0" w:color="auto"/>
              <w:left w:val="nil"/>
              <w:bottom w:val="single" w:sz="4" w:space="0" w:color="auto"/>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222"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1164" w:type="dxa"/>
            <w:tcBorders>
              <w:top w:val="single" w:sz="4" w:space="0" w:color="auto"/>
              <w:left w:val="nil"/>
              <w:bottom w:val="single" w:sz="4" w:space="0" w:color="auto"/>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236"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sz w:val="18"/>
              </w:rPr>
            </w:pPr>
          </w:p>
        </w:tc>
        <w:tc>
          <w:tcPr>
            <w:tcW w:w="1160"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(A)</w:t>
            </w:r>
          </w:p>
        </w:tc>
        <w:tc>
          <w:tcPr>
            <w:tcW w:w="323"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211"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(B)</w:t>
            </w:r>
          </w:p>
        </w:tc>
        <w:tc>
          <w:tcPr>
            <w:tcW w:w="464"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164" w:type="dxa"/>
            <w:tcBorders>
              <w:top w:val="single" w:sz="4" w:space="0" w:color="auto"/>
              <w:left w:val="nil"/>
              <w:bottom w:val="single" w:sz="4" w:space="0" w:color="auto"/>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(C)</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cs="Tahoma"/>
                <w:b/>
              </w:rPr>
            </w:pPr>
            <w:r>
              <w:rPr>
                <w:rFonts w:ascii="Tesco" w:hAnsi="Tesco" w:cs="Tahoma"/>
                <w:b/>
              </w:rPr>
              <w:t>UK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(3.7)%</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(5.4)%</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0.3</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2.9</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cs="Tahoma"/>
                <w:i/>
                <w:sz w:val="18"/>
              </w:rPr>
            </w:pPr>
            <w:r>
              <w:rPr>
                <w:rFonts w:ascii="Tesco" w:hAnsi="Tesco" w:cs="Tahoma"/>
                <w:i/>
                <w:sz w:val="18"/>
              </w:rPr>
              <w:t xml:space="preserve"> inc. VAT, inc. fuel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(3.8)%</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(5.0)%</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(3.2)%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sz w:val="18"/>
              </w:rPr>
            </w:pPr>
            <w:r>
              <w:rPr>
                <w:rFonts w:ascii="Tesco" w:eastAsia="Calibri" w:hAnsi="Tesco" w:cs="Calibri"/>
                <w:bCs/>
                <w:i/>
                <w:color w:val="000000"/>
                <w:sz w:val="18"/>
              </w:rPr>
              <w:t>0.1</w:t>
            </w:r>
            <w:r w:rsidR="008D4D4B">
              <w:rPr>
                <w:rFonts w:ascii="Tesco" w:eastAsia="Calibri" w:hAnsi="Tesco" w:cs="Calibri"/>
                <w:bCs/>
                <w:i/>
                <w:color w:val="000000"/>
                <w:sz w:val="18"/>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sz w:val="18"/>
              </w:rPr>
            </w:pPr>
            <w:r>
              <w:rPr>
                <w:rFonts w:ascii="Tesco" w:eastAsia="Calibri" w:hAnsi="Tesco" w:cs="Calibri"/>
                <w:bCs/>
                <w:i/>
                <w:color w:val="000000"/>
                <w:sz w:val="18"/>
              </w:rPr>
              <w:t>(2.1)</w:t>
            </w:r>
            <w:r w:rsidR="008D4D4B">
              <w:rPr>
                <w:rFonts w:ascii="Tesco" w:eastAsia="Calibri" w:hAnsi="Tesco" w:cs="Calibri"/>
                <w:bCs/>
                <w:i/>
                <w:color w:val="000000"/>
                <w:sz w:val="18"/>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i/>
                <w:sz w:val="18"/>
              </w:rPr>
            </w:pPr>
            <w:r>
              <w:rPr>
                <w:rFonts w:ascii="Tesco" w:hAnsi="Tesco"/>
                <w:i/>
                <w:sz w:val="18"/>
              </w:rPr>
              <w:t xml:space="preserve"> exc. VAT, exc. fuel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(3.8)%</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(5.5)%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(4.4)%</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9A63FE" w:rsidP="009A63FE">
            <w:pPr>
              <w:jc w:val="center"/>
              <w:rPr>
                <w:rFonts w:ascii="Tesco" w:eastAsia="Calibri" w:hAnsi="Tesco" w:cs="Calibri"/>
                <w:bCs/>
                <w:i/>
                <w:color w:val="000000"/>
                <w:sz w:val="18"/>
              </w:rPr>
            </w:pPr>
            <w:r>
              <w:rPr>
                <w:rFonts w:ascii="Tesco" w:eastAsia="Calibri" w:hAnsi="Tesco" w:cs="Calibri"/>
                <w:bCs/>
                <w:i/>
                <w:color w:val="000000"/>
                <w:sz w:val="18"/>
              </w:rPr>
              <w:t>(0.5)</w:t>
            </w:r>
            <w:r w:rsidR="008D4D4B">
              <w:rPr>
                <w:rFonts w:ascii="Tesco" w:eastAsia="Calibri" w:hAnsi="Tesco" w:cs="Calibri"/>
                <w:bCs/>
                <w:i/>
                <w:color w:val="000000"/>
                <w:sz w:val="18"/>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9A63FE" w:rsidP="009A63FE">
            <w:pPr>
              <w:jc w:val="center"/>
              <w:rPr>
                <w:rFonts w:ascii="Tesco" w:eastAsia="Calibri" w:hAnsi="Tesco" w:cs="Calibri"/>
                <w:bCs/>
                <w:i/>
                <w:color w:val="000000"/>
                <w:sz w:val="18"/>
              </w:rPr>
            </w:pPr>
            <w:r>
              <w:rPr>
                <w:rFonts w:ascii="Tesco" w:eastAsia="Calibri" w:hAnsi="Tesco" w:cs="Calibri"/>
                <w:bCs/>
                <w:i/>
                <w:color w:val="000000"/>
                <w:sz w:val="18"/>
              </w:rPr>
              <w:t>(3.1)</w:t>
            </w:r>
            <w:r w:rsidR="008D4D4B">
              <w:rPr>
                <w:rFonts w:ascii="Tesco" w:eastAsia="Calibri" w:hAnsi="Tesco" w:cs="Calibri"/>
                <w:bCs/>
                <w:i/>
                <w:color w:val="000000"/>
                <w:sz w:val="18"/>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i/>
                <w:sz w:val="18"/>
              </w:rPr>
            </w:pPr>
            <w:r>
              <w:rPr>
                <w:rFonts w:ascii="Tesco" w:hAnsi="Tesco"/>
                <w:i/>
                <w:sz w:val="18"/>
              </w:rPr>
              <w:t xml:space="preserve"> exc. VAT, exc. fuel,</w:t>
            </w:r>
          </w:p>
          <w:p w:rsidR="008D4D4B" w:rsidRDefault="008D4D4B">
            <w:pPr>
              <w:rPr>
                <w:rFonts w:ascii="Tesco" w:hAnsi="Tesco"/>
                <w:i/>
                <w:sz w:val="18"/>
              </w:rPr>
            </w:pPr>
            <w:r>
              <w:rPr>
                <w:rFonts w:ascii="Tesco" w:hAnsi="Tesco"/>
                <w:i/>
                <w:sz w:val="18"/>
              </w:rPr>
              <w:t xml:space="preserve"> IFRIC 13 compliant</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(4.0)%</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(5.5)%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(5.1)%</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i/>
                <w:color w:val="000000"/>
                <w:sz w:val="18"/>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9A63FE" w:rsidP="009A63FE">
            <w:pPr>
              <w:jc w:val="center"/>
              <w:rPr>
                <w:rFonts w:ascii="Tesco" w:eastAsia="Calibri" w:hAnsi="Tesco" w:cs="Calibri"/>
                <w:bCs/>
                <w:i/>
                <w:color w:val="000000"/>
                <w:sz w:val="18"/>
              </w:rPr>
            </w:pPr>
            <w:r>
              <w:rPr>
                <w:rFonts w:ascii="Tesco" w:eastAsia="Calibri" w:hAnsi="Tesco" w:cs="Calibri"/>
                <w:bCs/>
                <w:i/>
                <w:color w:val="000000"/>
                <w:sz w:val="18"/>
              </w:rPr>
              <w:t>(1.2)</w:t>
            </w:r>
            <w:r w:rsidR="008D4D4B">
              <w:rPr>
                <w:rFonts w:ascii="Tesco" w:eastAsia="Calibri" w:hAnsi="Tesco" w:cs="Calibri"/>
                <w:bCs/>
                <w:i/>
                <w:color w:val="000000"/>
                <w:sz w:val="18"/>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i/>
                <w:color w:val="000000"/>
                <w:sz w:val="18"/>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9A63FE" w:rsidP="009A63FE">
            <w:pPr>
              <w:jc w:val="center"/>
              <w:rPr>
                <w:rFonts w:ascii="Tesco" w:eastAsia="Calibri" w:hAnsi="Tesco" w:cs="Calibri"/>
                <w:bCs/>
                <w:i/>
                <w:color w:val="000000"/>
                <w:sz w:val="18"/>
              </w:rPr>
            </w:pPr>
            <w:r>
              <w:rPr>
                <w:rFonts w:ascii="Tesco" w:eastAsia="Calibri" w:hAnsi="Tesco" w:cs="Calibri"/>
                <w:bCs/>
                <w:i/>
                <w:color w:val="000000"/>
                <w:sz w:val="18"/>
              </w:rPr>
              <w:t>(3.7)</w:t>
            </w:r>
            <w:r w:rsidR="008D4D4B">
              <w:rPr>
                <w:rFonts w:ascii="Tesco" w:eastAsia="Calibri" w:hAnsi="Tesco" w:cs="Calibri"/>
                <w:bCs/>
                <w:i/>
                <w:color w:val="000000"/>
                <w:sz w:val="18"/>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 xml:space="preserve">Asia </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(4.9)%</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(5.0)%</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3.9</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4.6</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Malaysia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(2.3)%</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(6.8)%</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(8.7)%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6.0</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7.8</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South Korea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(2.8)%</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(4.7)%</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(4.0)%</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(4.0)%</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(4.0)%</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Thailand</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(5.3)%</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(4.7)%</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1.8</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3.5</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Europe</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(1.0)%</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(2.5)%</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1.0</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(0.4)%</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Czech Republic</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1.6%</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1.3%</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2.9%</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5.7</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3.9</w:t>
            </w:r>
            <w:r w:rsidR="008D4D4B">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Hungary^</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2.7%</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(0.6)%</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1.4%</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4.2</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2.5</w:t>
            </w:r>
            <w:r w:rsidR="008D4D4B">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Poland</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0.5%</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(2.4)%</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1.2</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2.0</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Slovakia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(5.8)%</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(4.6)%</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(2.1)%</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0.8</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1.0</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Turkey</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3.4%</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3.6%</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13.7</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8.9</w:t>
            </w:r>
            <w:r w:rsidR="008D4D4B">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rPr>
            </w:pPr>
            <w:r>
              <w:rPr>
                <w:rFonts w:ascii="Tesco" w:hAnsi="Tesco"/>
              </w:rPr>
              <w:t xml:space="preserve"> Republic of Ireland</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(5.5)%</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(7.3)%</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(6.2)%</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5.5</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6.0</w:t>
            </w:r>
            <w:r>
              <w:rPr>
                <w:rFonts w:ascii="Tesco" w:eastAsia="Calibri" w:hAnsi="Tesco" w:cs="Calibri"/>
                <w:bCs/>
                <w:i/>
                <w:color w:val="000000"/>
              </w:rPr>
              <w:t>)%</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International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(3.7)%</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(3.1)%</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1.3</w:t>
            </w:r>
            <w:r>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(2.5)%</w:t>
            </w:r>
          </w:p>
        </w:tc>
      </w:tr>
      <w:tr w:rsidR="008D4D4B" w:rsidTr="008D4D4B">
        <w:trPr>
          <w:trHeight w:val="256"/>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hideMark/>
          </w:tcPr>
          <w:p w:rsidR="008D4D4B" w:rsidRDefault="008D4D4B">
            <w:pPr>
              <w:rPr>
                <w:rFonts w:ascii="Tesco" w:hAnsi="Tesco"/>
                <w:b/>
              </w:rPr>
            </w:pPr>
            <w:r>
              <w:rPr>
                <w:rFonts w:ascii="Tesco" w:hAnsi="Tesco"/>
                <w:b/>
              </w:rPr>
              <w:t>Group</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2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(4.8)%</w:t>
            </w:r>
          </w:p>
        </w:tc>
        <w:tc>
          <w:tcPr>
            <w:tcW w:w="236"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(3.8)%</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(0.6)%</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(2.7)%</w:t>
            </w:r>
          </w:p>
        </w:tc>
      </w:tr>
    </w:tbl>
    <w:p w:rsidR="008D4D4B" w:rsidRDefault="008D4D4B" w:rsidP="008D4D4B">
      <w:pPr>
        <w:rPr>
          <w:rFonts w:ascii="Tesco" w:hAnsi="Tesco"/>
          <w:sz w:val="16"/>
          <w:szCs w:val="21"/>
        </w:rPr>
      </w:pPr>
    </w:p>
    <w:p w:rsidR="008D4D4B" w:rsidRDefault="008D4D4B" w:rsidP="008D4D4B">
      <w:pPr>
        <w:rPr>
          <w:rFonts w:ascii="Tesco" w:hAnsi="Tesco"/>
          <w:sz w:val="16"/>
          <w:szCs w:val="21"/>
        </w:rPr>
      </w:pPr>
      <w:r>
        <w:rPr>
          <w:rFonts w:ascii="Tesco" w:hAnsi="Tesco"/>
          <w:sz w:val="16"/>
          <w:szCs w:val="21"/>
          <w:vertAlign w:val="superscript"/>
        </w:rPr>
        <w:t>^</w:t>
      </w:r>
      <w:r>
        <w:rPr>
          <w:rFonts w:ascii="Tesco" w:hAnsi="Tesco"/>
          <w:sz w:val="16"/>
          <w:szCs w:val="21"/>
        </w:rPr>
        <w:t>Following the introduction of legislation preventing large retailers from selling tobacco in mid-July 2013, Hungary like-for-like growth is shown on an exc. tobacco basis. Including tobacco sales, in 2014/15, Q1 was 0.0%, Q2 was (2.0)%.</w:t>
      </w:r>
    </w:p>
    <w:p w:rsidR="008D4D4B" w:rsidRDefault="008D4D4B" w:rsidP="008D4D4B">
      <w:pPr>
        <w:rPr>
          <w:rFonts w:ascii="Tesco" w:hAnsi="Tesco"/>
          <w:sz w:val="16"/>
          <w:szCs w:val="21"/>
        </w:rPr>
      </w:pPr>
    </w:p>
    <w:p w:rsidR="008D4D4B" w:rsidRDefault="008D4D4B" w:rsidP="008D4D4B">
      <w:pPr>
        <w:rPr>
          <w:rFonts w:ascii="Tesco" w:hAnsi="Tesco"/>
          <w:sz w:val="16"/>
          <w:szCs w:val="21"/>
        </w:rPr>
      </w:pP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10"/>
        <w:gridCol w:w="1813"/>
        <w:gridCol w:w="1164"/>
        <w:gridCol w:w="235"/>
        <w:gridCol w:w="1151"/>
        <w:gridCol w:w="232"/>
        <w:gridCol w:w="1164"/>
        <w:gridCol w:w="323"/>
        <w:gridCol w:w="1211"/>
        <w:gridCol w:w="464"/>
        <w:gridCol w:w="1164"/>
      </w:tblGrid>
      <w:tr w:rsidR="008D4D4B" w:rsidTr="008D4D4B">
        <w:trPr>
          <w:trHeight w:val="312"/>
        </w:trPr>
        <w:tc>
          <w:tcPr>
            <w:tcW w:w="8931" w:type="dxa"/>
            <w:gridSpan w:val="11"/>
            <w:tcBorders>
              <w:top w:val="single" w:sz="4" w:space="0" w:color="00539F"/>
              <w:left w:val="single" w:sz="4" w:space="0" w:color="00539F"/>
              <w:bottom w:val="single" w:sz="4" w:space="0" w:color="00539F"/>
              <w:right w:val="single" w:sz="4" w:space="0" w:color="00539F"/>
            </w:tcBorders>
            <w:shd w:val="clear" w:color="auto" w:fill="548DD4"/>
            <w:vAlign w:val="center"/>
            <w:hideMark/>
          </w:tcPr>
          <w:p w:rsidR="008D4D4B" w:rsidRDefault="008D4D4B">
            <w:pPr>
              <w:pStyle w:val="NormalWeb"/>
              <w:jc w:val="center"/>
              <w:rPr>
                <w:rFonts w:ascii="Tesco" w:hAnsi="Tesco"/>
                <w:b/>
                <w:color w:val="FFFFFF"/>
                <w:sz w:val="21"/>
                <w:szCs w:val="21"/>
              </w:rPr>
            </w:pPr>
            <w:r>
              <w:rPr>
                <w:rFonts w:ascii="Tesco" w:hAnsi="Tesco"/>
                <w:b/>
                <w:color w:val="FFFFFF"/>
                <w:sz w:val="21"/>
                <w:szCs w:val="21"/>
              </w:rPr>
              <w:t>Appendix 2 – Total Sales Growth at Constant Rates</w:t>
            </w:r>
          </w:p>
        </w:tc>
      </w:tr>
      <w:tr w:rsidR="008D4D4B" w:rsidTr="008D4D4B">
        <w:trPr>
          <w:gridBefore w:val="1"/>
          <w:wBefore w:w="10" w:type="dxa"/>
          <w:trHeight w:val="276"/>
        </w:trPr>
        <w:tc>
          <w:tcPr>
            <w:tcW w:w="8921" w:type="dxa"/>
            <w:gridSpan w:val="10"/>
            <w:tcBorders>
              <w:top w:val="nil"/>
              <w:left w:val="nil"/>
              <w:bottom w:val="nil"/>
              <w:right w:val="nil"/>
            </w:tcBorders>
            <w:shd w:val="clear" w:color="auto" w:fill="auto"/>
            <w:hideMark/>
          </w:tcPr>
          <w:p w:rsidR="008D4D4B" w:rsidRDefault="000F6D76">
            <w:pPr>
              <w:rPr>
                <w:rFonts w:ascii="Calibri" w:eastAsia="Calibri" w:hAnsi="Calibri"/>
                <w:i/>
                <w:color w:val="FFFFFF"/>
                <w:sz w:val="21"/>
                <w:szCs w:val="21"/>
              </w:rPr>
            </w:pPr>
            <w:r>
              <w:rPr>
                <w:noProof/>
              </w:rPr>
              <mc:AlternateContent>
                <mc:Choice Requires="wps">
                  <w:drawing>
                    <wp:anchor distT="0" distB="0" distL="114300" distR="114300" simplePos="0" relativeHeight="251658752" behindDoc="0" locked="0" layoutInCell="1" allowOverlap="1" wp14:anchorId="68FFD056" wp14:editId="38E864D6">
                      <wp:simplePos x="0" y="0"/>
                      <wp:positionH relativeFrom="column">
                        <wp:posOffset>2792095</wp:posOffset>
                      </wp:positionH>
                      <wp:positionV relativeFrom="paragraph">
                        <wp:posOffset>132080</wp:posOffset>
                      </wp:positionV>
                      <wp:extent cx="1828800" cy="3409950"/>
                      <wp:effectExtent l="19050" t="19050" r="19050" b="190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09950"/>
                              </a:xfrm>
                              <a:prstGeom prst="rect">
                                <a:avLst/>
                              </a:prstGeom>
                              <a:noFill/>
                              <a:ln w="28575">
                                <a:solidFill>
                                  <a:srgbClr val="548D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30D4F" id="Rectangle 9" o:spid="_x0000_s1026" style="position:absolute;margin-left:219.85pt;margin-top:10.4pt;width:2in;height:26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" filled="f" strokecolor="#548dd4" strokeweight="2.25pt"/>
                  </w:pict>
                </mc:Fallback>
              </mc:AlternateContent>
            </w:r>
          </w:p>
        </w:tc>
      </w:tr>
      <w:tr w:rsidR="008D4D4B" w:rsidTr="008D4D4B">
        <w:trPr>
          <w:trHeight w:val="170"/>
        </w:trPr>
        <w:tc>
          <w:tcPr>
            <w:tcW w:w="1823" w:type="dxa"/>
            <w:gridSpan w:val="2"/>
            <w:tcBorders>
              <w:top w:val="nil"/>
              <w:left w:val="nil"/>
              <w:bottom w:val="nil"/>
              <w:right w:val="single" w:sz="4" w:space="0" w:color="auto"/>
            </w:tcBorders>
            <w:shd w:val="clear" w:color="auto" w:fill="auto"/>
            <w:vAlign w:val="center"/>
          </w:tcPr>
          <w:p w:rsidR="008D4D4B" w:rsidRDefault="008D4D4B">
            <w:pPr>
              <w:jc w:val="center"/>
              <w:rPr>
                <w:rFonts w:ascii="Calibri" w:eastAsia="Calibri" w:hAnsi="Calibri"/>
                <w:i/>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Q1 2014/15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51"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eastAsia="Calibri" w:hAnsi="Tesco" w:cs="Arial"/>
                <w:b/>
                <w:color w:val="FFFFFF"/>
              </w:rPr>
              <w:t>Q2 2014/15</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hAnsi="Tesco"/>
                <w:b/>
                <w:color w:val="FFFFFF"/>
              </w:rPr>
            </w:pPr>
            <w:r>
              <w:rPr>
                <w:rFonts w:ascii="Tesco" w:hAnsi="Tesco"/>
                <w:b/>
                <w:color w:val="FFFFFF"/>
              </w:rPr>
              <w:t>Q3 2014/15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211"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Christmas Period 2014/15</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Arial"/>
                <w:i/>
              </w:rPr>
            </w:pPr>
            <w:r>
              <w:rPr>
                <w:rFonts w:ascii="Tesco" w:hAnsi="Tesco"/>
                <w:i/>
              </w:rPr>
              <w:t>19 Week Period 2014/15</w:t>
            </w:r>
          </w:p>
        </w:tc>
      </w:tr>
      <w:tr w:rsidR="008D4D4B" w:rsidTr="008D4D4B">
        <w:trPr>
          <w:trHeight w:val="272"/>
        </w:trPr>
        <w:tc>
          <w:tcPr>
            <w:tcW w:w="1823" w:type="dxa"/>
            <w:gridSpan w:val="2"/>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Arial"/>
                <w:bCs/>
                <w:i/>
                <w:sz w:val="18"/>
              </w:rPr>
            </w:pPr>
          </w:p>
        </w:tc>
        <w:tc>
          <w:tcPr>
            <w:tcW w:w="1164"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i/>
                <w:color w:val="000000"/>
                <w:sz w:val="18"/>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i/>
                <w:color w:val="000000"/>
                <w:sz w:val="18"/>
              </w:rPr>
            </w:pPr>
          </w:p>
        </w:tc>
        <w:tc>
          <w:tcPr>
            <w:tcW w:w="1151"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i/>
                <w:color w:val="000000"/>
                <w:sz w:val="18"/>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i/>
                <w:color w:val="000000"/>
                <w:sz w:val="18"/>
              </w:rPr>
            </w:pPr>
          </w:p>
        </w:tc>
        <w:tc>
          <w:tcPr>
            <w:tcW w:w="1164"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(A)</w:t>
            </w:r>
          </w:p>
        </w:tc>
        <w:tc>
          <w:tcPr>
            <w:tcW w:w="323"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211"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(B)</w:t>
            </w:r>
          </w:p>
        </w:tc>
        <w:tc>
          <w:tcPr>
            <w:tcW w:w="464"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
                <w:bCs/>
                <w:i/>
                <w:color w:val="000000"/>
                <w:sz w:val="18"/>
              </w:rPr>
            </w:pPr>
            <w:r>
              <w:rPr>
                <w:rFonts w:ascii="Tesco" w:eastAsia="Calibri" w:hAnsi="Tesco" w:cs="Calibri"/>
                <w:b/>
                <w:bCs/>
                <w:i/>
                <w:color w:val="000000"/>
                <w:sz w:val="18"/>
              </w:rPr>
              <w:t>=</w:t>
            </w:r>
          </w:p>
        </w:tc>
        <w:tc>
          <w:tcPr>
            <w:tcW w:w="1164"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(C)</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Cs/>
                <w:i/>
              </w:rPr>
            </w:pPr>
            <w:r>
              <w:rPr>
                <w:rFonts w:ascii="Tesco" w:eastAsia="Calibri" w:hAnsi="Tesco" w:cs="Arial"/>
                <w:bCs/>
                <w:i/>
              </w:rPr>
              <w:t>Including Fuel:</w:t>
            </w:r>
          </w:p>
        </w:tc>
        <w:tc>
          <w:tcPr>
            <w:tcW w:w="1164" w:type="dxa"/>
            <w:tcBorders>
              <w:top w:val="nil"/>
              <w:left w:val="single" w:sz="4" w:space="0" w:color="auto"/>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32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464"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UK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(2.0)%</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1.5</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(0.7)</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Asia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(0.9)%</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1.0</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1.5</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Europe</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(0.7)%</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(1.9)%</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(0.6)%</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0.8</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(0.1)</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International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(1.4)%</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(1.1)%</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(0.1)</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(0.7)</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b/>
              </w:rPr>
            </w:pPr>
            <w:r>
              <w:rPr>
                <w:rFonts w:ascii="Tesco" w:eastAsia="Calibri" w:hAnsi="Tesco" w:cs="Arial"/>
                <w:b/>
                <w:bCs/>
              </w:rPr>
              <w:t>Tesco Bank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3.6%</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5.8%</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3.8</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3.0</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Group</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(1.2)%</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(2.5)%</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(1.5)%</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1.0</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(0.6)</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nil"/>
              <w:bottom w:val="single" w:sz="4" w:space="0" w:color="auto"/>
              <w:right w:val="nil"/>
            </w:tcBorders>
            <w:shd w:val="clear" w:color="auto" w:fill="auto"/>
            <w:vAlign w:val="center"/>
          </w:tcPr>
          <w:p w:rsidR="008D4D4B" w:rsidRDefault="008D4D4B">
            <w:pPr>
              <w:rPr>
                <w:rFonts w:ascii="Tesco" w:eastAsia="Calibri" w:hAnsi="Tesco" w:cs="Arial"/>
                <w:bCs/>
                <w:i/>
              </w:rPr>
            </w:pPr>
          </w:p>
        </w:tc>
        <w:tc>
          <w:tcPr>
            <w:tcW w:w="1164"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32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464"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Cs/>
                <w:i/>
              </w:rPr>
            </w:pPr>
            <w:r>
              <w:rPr>
                <w:rFonts w:ascii="Tesco" w:eastAsia="Calibri" w:hAnsi="Tesco" w:cs="Arial"/>
                <w:bCs/>
                <w:i/>
              </w:rPr>
              <w:t>Excluding Fuel:</w:t>
            </w:r>
          </w:p>
        </w:tc>
        <w:tc>
          <w:tcPr>
            <w:tcW w:w="1164" w:type="dxa"/>
            <w:tcBorders>
              <w:top w:val="nil"/>
              <w:left w:val="single" w:sz="4" w:space="0" w:color="auto"/>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32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464"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UK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(1.7)%</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(3.3)%</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(2.6)%</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1.2</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1.3</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Asia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(0.9)%</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1.0</w:t>
            </w:r>
            <w:r>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1.5</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Europe</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(0.6)%</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(1.6)%</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(0.3)%</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1.6</w:t>
            </w:r>
            <w:r w:rsidR="008D4D4B">
              <w:rPr>
                <w:rFonts w:ascii="Tesco" w:eastAsia="Calibri" w:hAnsi="Tesco" w:cs="Calibri"/>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0.4</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International</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(1.2)%</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(1.0)%</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0.3%</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0.5</w:t>
            </w:r>
            <w:r>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b/>
              </w:rPr>
            </w:pPr>
            <w:r>
              <w:rPr>
                <w:rFonts w:ascii="Tesco" w:eastAsia="Calibri" w:hAnsi="Tesco" w:cs="Arial"/>
                <w:b/>
                <w:bCs/>
              </w:rPr>
              <w:t>Tesco Bank</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3.6%</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5.8%</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2.7%</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3.8</w:t>
            </w:r>
            <w:r w:rsidR="008D4D4B">
              <w:rPr>
                <w:rFonts w:ascii="Tesco" w:eastAsia="Calibri" w:hAnsi="Tesco" w:cs="Calibri"/>
                <w:b/>
                <w:bCs/>
                <w:color w:val="000000"/>
              </w:rPr>
              <w:t>%</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3.0</w:t>
            </w:r>
            <w:r w:rsidR="008D4D4B">
              <w:rPr>
                <w:rFonts w:ascii="Tesco" w:eastAsia="Calibri" w:hAnsi="Tesco" w:cs="Calibri"/>
                <w:bCs/>
                <w:i/>
                <w:color w:val="000000"/>
              </w:rPr>
              <w:t>%</w:t>
            </w:r>
          </w:p>
        </w:tc>
      </w:tr>
      <w:tr w:rsidR="008D4D4B" w:rsidTr="008D4D4B">
        <w:trPr>
          <w:trHeight w:val="272"/>
        </w:trPr>
        <w:tc>
          <w:tcPr>
            <w:tcW w:w="1823"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Group</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(0.9)%</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(2.5)%</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(2.0)%</w:t>
            </w:r>
          </w:p>
        </w:tc>
        <w:tc>
          <w:tcPr>
            <w:tcW w:w="32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0.9%</w:t>
            </w:r>
          </w:p>
        </w:tc>
        <w:tc>
          <w:tcPr>
            <w:tcW w:w="464"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i/>
                <w:color w:val="000000"/>
              </w:rPr>
            </w:pPr>
            <w:r>
              <w:rPr>
                <w:rFonts w:ascii="Tesco" w:eastAsia="Calibri" w:hAnsi="Tesco" w:cs="Calibri"/>
                <w:bCs/>
                <w:i/>
                <w:color w:val="000000"/>
              </w:rPr>
              <w:t>(1.0)%</w:t>
            </w:r>
          </w:p>
        </w:tc>
      </w:tr>
    </w:tbl>
    <w:p w:rsidR="008D4D4B" w:rsidRDefault="008D4D4B" w:rsidP="008D4D4B">
      <w:pPr>
        <w:rPr>
          <w:rFonts w:ascii="Tesco" w:hAnsi="Tesco"/>
          <w:sz w:val="16"/>
          <w:szCs w:val="21"/>
        </w:rPr>
      </w:pPr>
    </w:p>
    <w:p w:rsidR="008D4D4B" w:rsidRDefault="008D4D4B" w:rsidP="008D4D4B">
      <w:pPr>
        <w:rPr>
          <w:rFonts w:ascii="Tesco" w:hAnsi="Tesco"/>
          <w:sz w:val="16"/>
          <w:szCs w:val="21"/>
        </w:rPr>
      </w:pPr>
    </w:p>
    <w:p w:rsidR="008D4D4B" w:rsidRDefault="008D4D4B" w:rsidP="008D4D4B">
      <w:pPr>
        <w:rPr>
          <w:rFonts w:ascii="Tesco" w:hAnsi="Tesco"/>
          <w:sz w:val="16"/>
          <w:szCs w:val="21"/>
        </w:rPr>
      </w:pPr>
    </w:p>
    <w:p w:rsidR="008D4D4B" w:rsidRDefault="008D4D4B" w:rsidP="008D4D4B">
      <w:pPr>
        <w:rPr>
          <w:rFonts w:ascii="Tesco" w:hAnsi="Tesco"/>
          <w:sz w:val="16"/>
          <w:szCs w:val="21"/>
        </w:rPr>
      </w:pPr>
    </w:p>
    <w:p w:rsidR="008D4D4B" w:rsidRDefault="008D4D4B" w:rsidP="008D4D4B">
      <w:pPr>
        <w:rPr>
          <w:rFonts w:ascii="Tesco" w:hAnsi="Tesco"/>
          <w:sz w:val="16"/>
          <w:szCs w:val="21"/>
        </w:rPr>
      </w:pPr>
    </w:p>
    <w:p w:rsidR="007F0BE1" w:rsidRDefault="007F0BE1" w:rsidP="008D4D4B">
      <w:pPr>
        <w:rPr>
          <w:rFonts w:ascii="Tesco" w:hAnsi="Tesco"/>
          <w:sz w:val="16"/>
          <w:szCs w:val="21"/>
        </w:rPr>
      </w:pPr>
    </w:p>
    <w:p w:rsidR="00F74141" w:rsidRDefault="00F74141" w:rsidP="008D4D4B">
      <w:pPr>
        <w:rPr>
          <w:rFonts w:ascii="Tesco" w:hAnsi="Tesco"/>
          <w:sz w:val="16"/>
          <w:szCs w:val="21"/>
        </w:rPr>
      </w:pPr>
    </w:p>
    <w:p w:rsidR="00205BD4" w:rsidRDefault="00205BD4" w:rsidP="008D4D4B">
      <w:pPr>
        <w:rPr>
          <w:rFonts w:ascii="Tesco" w:hAnsi="Tesco"/>
          <w:sz w:val="16"/>
          <w:szCs w:val="21"/>
        </w:rPr>
      </w:pPr>
    </w:p>
    <w:p w:rsidR="008D4D4B" w:rsidRDefault="008D4D4B" w:rsidP="008D4D4B">
      <w:pPr>
        <w:rPr>
          <w:rFonts w:ascii="Tesco" w:hAnsi="Tesco"/>
          <w:sz w:val="16"/>
          <w:szCs w:val="21"/>
        </w:rPr>
      </w:pPr>
    </w:p>
    <w:tbl>
      <w:tblPr>
        <w:tblW w:w="8931" w:type="dxa"/>
        <w:tblInd w:w="108" w:type="dxa"/>
        <w:tblBorders>
          <w:top w:val="single" w:sz="4" w:space="0" w:color="00539F"/>
          <w:left w:val="single" w:sz="4" w:space="0" w:color="00539F"/>
          <w:bottom w:val="single" w:sz="4" w:space="0" w:color="00539F"/>
          <w:right w:val="single" w:sz="4" w:space="0" w:color="00539F"/>
          <w:insideH w:val="single" w:sz="4" w:space="0" w:color="00539F"/>
          <w:insideV w:val="single" w:sz="4" w:space="0" w:color="00539F"/>
        </w:tblBorders>
        <w:shd w:val="clear" w:color="auto" w:fill="548DD4"/>
        <w:tblLook w:val="01E0" w:firstRow="1" w:lastRow="1" w:firstColumn="1" w:lastColumn="1" w:noHBand="0" w:noVBand="0"/>
      </w:tblPr>
      <w:tblGrid>
        <w:gridCol w:w="9"/>
        <w:gridCol w:w="1815"/>
        <w:gridCol w:w="1166"/>
        <w:gridCol w:w="235"/>
        <w:gridCol w:w="1152"/>
        <w:gridCol w:w="232"/>
        <w:gridCol w:w="1166"/>
        <w:gridCol w:w="313"/>
        <w:gridCol w:w="1212"/>
        <w:gridCol w:w="465"/>
        <w:gridCol w:w="1166"/>
      </w:tblGrid>
      <w:tr w:rsidR="008D4D4B" w:rsidTr="008D4D4B">
        <w:trPr>
          <w:trHeight w:val="312"/>
        </w:trPr>
        <w:tc>
          <w:tcPr>
            <w:tcW w:w="8931" w:type="dxa"/>
            <w:gridSpan w:val="11"/>
            <w:tcBorders>
              <w:top w:val="single" w:sz="4" w:space="0" w:color="00539F"/>
              <w:left w:val="single" w:sz="4" w:space="0" w:color="00539F"/>
              <w:bottom w:val="single" w:sz="4" w:space="0" w:color="00539F"/>
              <w:right w:val="single" w:sz="4" w:space="0" w:color="00539F"/>
            </w:tcBorders>
            <w:shd w:val="clear" w:color="auto" w:fill="548DD4"/>
            <w:vAlign w:val="center"/>
            <w:hideMark/>
          </w:tcPr>
          <w:p w:rsidR="008D4D4B" w:rsidRDefault="008D4D4B">
            <w:pPr>
              <w:pStyle w:val="NormalWeb"/>
              <w:jc w:val="center"/>
              <w:rPr>
                <w:rFonts w:ascii="Tesco" w:hAnsi="Tesco"/>
                <w:b/>
                <w:color w:val="FFFFFF"/>
                <w:sz w:val="21"/>
                <w:szCs w:val="21"/>
              </w:rPr>
            </w:pPr>
            <w:r>
              <w:rPr>
                <w:rFonts w:ascii="Tesco" w:hAnsi="Tesco"/>
                <w:b/>
                <w:color w:val="FFFFFF"/>
                <w:sz w:val="21"/>
                <w:szCs w:val="21"/>
              </w:rPr>
              <w:t>Appendix 3 – Total Sales Growth at Actual Rates</w:t>
            </w:r>
          </w:p>
        </w:tc>
      </w:tr>
      <w:tr w:rsidR="008D4D4B" w:rsidTr="008D4D4B">
        <w:trPr>
          <w:gridBefore w:val="1"/>
          <w:wBefore w:w="9" w:type="dxa"/>
          <w:trHeight w:val="276"/>
        </w:trPr>
        <w:tc>
          <w:tcPr>
            <w:tcW w:w="8922" w:type="dxa"/>
            <w:gridSpan w:val="10"/>
            <w:tcBorders>
              <w:top w:val="nil"/>
              <w:left w:val="nil"/>
              <w:bottom w:val="nil"/>
              <w:right w:val="nil"/>
            </w:tcBorders>
            <w:shd w:val="clear" w:color="auto" w:fill="auto"/>
            <w:hideMark/>
          </w:tcPr>
          <w:p w:rsidR="008D4D4B" w:rsidRDefault="000F6D76">
            <w:pPr>
              <w:rPr>
                <w:rFonts w:ascii="Calibri" w:eastAsia="Calibri" w:hAnsi="Calibri"/>
                <w:i/>
                <w:color w:val="FFFFFF"/>
                <w:sz w:val="21"/>
                <w:szCs w:val="21"/>
              </w:rPr>
            </w:pPr>
            <w:r>
              <w:rPr>
                <w:noProof/>
              </w:rPr>
              <mc:AlternateContent>
                <mc:Choice Requires="wps">
                  <w:drawing>
                    <wp:anchor distT="0" distB="0" distL="114300" distR="114300" simplePos="0" relativeHeight="251659776" behindDoc="0" locked="0" layoutInCell="1" allowOverlap="1" wp14:anchorId="31E6547A" wp14:editId="6C43A6E8">
                      <wp:simplePos x="0" y="0"/>
                      <wp:positionH relativeFrom="column">
                        <wp:posOffset>2792730</wp:posOffset>
                      </wp:positionH>
                      <wp:positionV relativeFrom="paragraph">
                        <wp:posOffset>122555</wp:posOffset>
                      </wp:positionV>
                      <wp:extent cx="1819275" cy="3409950"/>
                      <wp:effectExtent l="19050" t="19050" r="28575" b="190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409950"/>
                              </a:xfrm>
                              <a:prstGeom prst="rect">
                                <a:avLst/>
                              </a:prstGeom>
                              <a:noFill/>
                              <a:ln w="28575">
                                <a:solidFill>
                                  <a:srgbClr val="548D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353AC" id="Rectangle 10" o:spid="_x0000_s1026" style="position:absolute;margin-left:219.9pt;margin-top:9.65pt;width:143.25pt;height:2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" filled="f" strokecolor="#548dd4" strokeweight="2.25pt"/>
                  </w:pict>
                </mc:Fallback>
              </mc:AlternateContent>
            </w:r>
          </w:p>
        </w:tc>
      </w:tr>
      <w:tr w:rsidR="008D4D4B" w:rsidTr="008D4D4B">
        <w:trPr>
          <w:trHeight w:val="170"/>
        </w:trPr>
        <w:tc>
          <w:tcPr>
            <w:tcW w:w="1824" w:type="dxa"/>
            <w:gridSpan w:val="2"/>
            <w:tcBorders>
              <w:top w:val="nil"/>
              <w:left w:val="nil"/>
              <w:bottom w:val="nil"/>
              <w:right w:val="single" w:sz="4" w:space="0" w:color="auto"/>
            </w:tcBorders>
            <w:shd w:val="clear" w:color="auto" w:fill="auto"/>
            <w:vAlign w:val="center"/>
          </w:tcPr>
          <w:p w:rsidR="008D4D4B" w:rsidRDefault="008D4D4B">
            <w:pPr>
              <w:jc w:val="center"/>
              <w:rPr>
                <w:rFonts w:ascii="Calibri" w:eastAsia="Calibri" w:hAnsi="Calibri"/>
                <w:i/>
              </w:rPr>
            </w:pPr>
          </w:p>
        </w:tc>
        <w:tc>
          <w:tcPr>
            <w:tcW w:w="1166"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Q1 2014/15</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52"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eastAsia="Calibri" w:hAnsi="Tesco" w:cs="Arial"/>
                <w:b/>
                <w:color w:val="FFFFFF"/>
              </w:rPr>
              <w:t>Q2 2014/15</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6"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hAnsi="Tesco"/>
                <w:b/>
                <w:color w:val="FFFFFF"/>
              </w:rPr>
            </w:pPr>
            <w:r>
              <w:rPr>
                <w:rFonts w:ascii="Tesco" w:hAnsi="Tesco"/>
                <w:b/>
                <w:color w:val="FFFFFF"/>
              </w:rPr>
              <w:t>Q3 2014/15</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212" w:type="dxa"/>
            <w:tcBorders>
              <w:top w:val="single" w:sz="4" w:space="0" w:color="auto"/>
              <w:left w:val="single" w:sz="4" w:space="0" w:color="auto"/>
              <w:bottom w:val="single" w:sz="4" w:space="0" w:color="auto"/>
              <w:right w:val="single" w:sz="4" w:space="0" w:color="auto"/>
            </w:tcBorders>
            <w:shd w:val="clear" w:color="auto" w:fill="91B6E3"/>
            <w:vAlign w:val="center"/>
            <w:hideMark/>
          </w:tcPr>
          <w:p w:rsidR="008D4D4B" w:rsidRDefault="008D4D4B">
            <w:pPr>
              <w:jc w:val="center"/>
              <w:rPr>
                <w:rFonts w:ascii="Tesco" w:eastAsia="Calibri" w:hAnsi="Tesco" w:cs="Arial"/>
                <w:b/>
                <w:color w:val="FFFFFF"/>
              </w:rPr>
            </w:pPr>
            <w:r>
              <w:rPr>
                <w:rFonts w:ascii="Tesco" w:hAnsi="Tesco"/>
                <w:b/>
                <w:color w:val="FFFFFF"/>
              </w:rPr>
              <w:t>Christmas Period 2014/15</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hAnsi="Tesco"/>
                <w:b/>
                <w:color w:val="FFFFFF"/>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Arial"/>
                <w:i/>
              </w:rPr>
            </w:pPr>
            <w:r>
              <w:rPr>
                <w:rFonts w:ascii="Tesco" w:hAnsi="Tesco"/>
                <w:i/>
              </w:rPr>
              <w:t>19 Week Period 2014/15</w:t>
            </w:r>
          </w:p>
        </w:tc>
      </w:tr>
      <w:tr w:rsidR="008D4D4B" w:rsidTr="008D4D4B">
        <w:trPr>
          <w:trHeight w:val="272"/>
        </w:trPr>
        <w:tc>
          <w:tcPr>
            <w:tcW w:w="1824" w:type="dxa"/>
            <w:gridSpan w:val="2"/>
            <w:tcBorders>
              <w:top w:val="nil"/>
              <w:left w:val="nil"/>
              <w:bottom w:val="single" w:sz="4" w:space="0" w:color="auto"/>
              <w:right w:val="nil"/>
            </w:tcBorders>
            <w:shd w:val="clear" w:color="auto" w:fill="auto"/>
            <w:vAlign w:val="center"/>
          </w:tcPr>
          <w:p w:rsidR="008D4D4B" w:rsidRDefault="008D4D4B">
            <w:pPr>
              <w:rPr>
                <w:rFonts w:ascii="Tesco" w:eastAsia="Calibri" w:hAnsi="Tesco" w:cs="Arial"/>
                <w:bCs/>
                <w:i/>
              </w:rPr>
            </w:pPr>
          </w:p>
        </w:tc>
        <w:tc>
          <w:tcPr>
            <w:tcW w:w="1166"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(A)</w:t>
            </w:r>
          </w:p>
        </w:tc>
        <w:tc>
          <w:tcPr>
            <w:tcW w:w="313"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w:t>
            </w:r>
          </w:p>
        </w:tc>
        <w:tc>
          <w:tcPr>
            <w:tcW w:w="1212"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(B)</w:t>
            </w:r>
          </w:p>
        </w:tc>
        <w:tc>
          <w:tcPr>
            <w:tcW w:w="465" w:type="dxa"/>
            <w:tcBorders>
              <w:top w:val="nil"/>
              <w:left w:val="nil"/>
              <w:bottom w:val="nil"/>
              <w:right w:val="nil"/>
            </w:tcBorders>
            <w:shd w:val="clear" w:color="auto" w:fill="auto"/>
            <w:vAlign w:val="center"/>
            <w:hideMark/>
          </w:tcPr>
          <w:p w:rsidR="008D4D4B" w:rsidRDefault="008D4D4B">
            <w:pPr>
              <w:jc w:val="center"/>
              <w:rPr>
                <w:rFonts w:ascii="Tesco" w:eastAsia="Calibri" w:hAnsi="Tesco" w:cs="Calibri"/>
                <w:b/>
                <w:bCs/>
                <w:i/>
                <w:color w:val="000000"/>
                <w:sz w:val="18"/>
              </w:rPr>
            </w:pPr>
            <w:r>
              <w:rPr>
                <w:rFonts w:ascii="Tesco" w:eastAsia="Calibri" w:hAnsi="Tesco" w:cs="Calibri"/>
                <w:b/>
                <w:bCs/>
                <w:i/>
                <w:color w:val="000000"/>
                <w:sz w:val="18"/>
              </w:rPr>
              <w:t>=</w:t>
            </w:r>
          </w:p>
        </w:tc>
        <w:tc>
          <w:tcPr>
            <w:tcW w:w="1166" w:type="dxa"/>
            <w:tcBorders>
              <w:top w:val="single" w:sz="4" w:space="0" w:color="auto"/>
              <w:left w:val="nil"/>
              <w:bottom w:val="nil"/>
              <w:right w:val="nil"/>
            </w:tcBorders>
            <w:shd w:val="clear" w:color="auto" w:fill="auto"/>
            <w:vAlign w:val="center"/>
            <w:hideMark/>
          </w:tcPr>
          <w:p w:rsidR="008D4D4B" w:rsidRDefault="008D4D4B">
            <w:pPr>
              <w:jc w:val="center"/>
              <w:rPr>
                <w:rFonts w:ascii="Tesco" w:eastAsia="Calibri" w:hAnsi="Tesco" w:cs="Calibri"/>
                <w:bCs/>
                <w:i/>
                <w:color w:val="000000"/>
                <w:sz w:val="18"/>
              </w:rPr>
            </w:pPr>
            <w:r>
              <w:rPr>
                <w:rFonts w:ascii="Tesco" w:eastAsia="Calibri" w:hAnsi="Tesco" w:cs="Calibri"/>
                <w:bCs/>
                <w:i/>
                <w:color w:val="000000"/>
                <w:sz w:val="18"/>
              </w:rPr>
              <w:t>(C)</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Cs/>
                <w:i/>
              </w:rPr>
            </w:pPr>
            <w:r>
              <w:rPr>
                <w:rFonts w:ascii="Tesco" w:eastAsia="Calibri" w:hAnsi="Tesco" w:cs="Arial"/>
                <w:bCs/>
                <w:i/>
              </w:rPr>
              <w:t>Including Fuel:</w:t>
            </w:r>
          </w:p>
        </w:tc>
        <w:tc>
          <w:tcPr>
            <w:tcW w:w="1166" w:type="dxa"/>
            <w:tcBorders>
              <w:top w:val="nil"/>
              <w:left w:val="single" w:sz="4" w:space="0" w:color="auto"/>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31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465"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UK</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(2.0)%</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(3.2)%</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(1.7)%</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1.5</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(0.7)</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Asia</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(8.9)%</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(6.4)%</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(2.5)%</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0.5</w:t>
            </w:r>
            <w:r>
              <w:rPr>
                <w:rFonts w:ascii="Tesco" w:eastAsia="Calibri" w:hAnsi="Tesco" w:cs="Calibri"/>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1.9</w:t>
            </w:r>
            <w:r>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Europe</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(7.1)%</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(10.5)%</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(8.7)%</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color w:val="000000"/>
              </w:rPr>
            </w:pPr>
            <w:r>
              <w:rPr>
                <w:rFonts w:ascii="Tesco" w:eastAsia="Calibri" w:hAnsi="Tesco" w:cs="Calibri"/>
                <w:bCs/>
                <w:color w:val="000000"/>
              </w:rPr>
              <w:t>(5.7)</w:t>
            </w:r>
            <w:r w:rsidR="008D4D4B">
              <w:rPr>
                <w:rFonts w:ascii="Tesco" w:eastAsia="Calibri" w:hAnsi="Tesco" w:cs="Calibri"/>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(7.6)</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International</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(8.0)%</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(8.4)%</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(5.6)%</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(3.3)</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(4.8)</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b/>
              </w:rPr>
            </w:pPr>
            <w:r>
              <w:rPr>
                <w:rFonts w:ascii="Tesco" w:eastAsia="Calibri" w:hAnsi="Tesco" w:cs="Arial"/>
                <w:b/>
                <w:bCs/>
              </w:rPr>
              <w:t>Tesco Bank</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3.6%</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5.8%</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2.7%</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3.8</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3.0</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Group</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(3.7)%</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(4.7)%</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(2.8)%</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0.0</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(1.9)</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nil"/>
              <w:bottom w:val="single" w:sz="4" w:space="0" w:color="auto"/>
              <w:right w:val="nil"/>
            </w:tcBorders>
            <w:shd w:val="clear" w:color="auto" w:fill="auto"/>
            <w:vAlign w:val="center"/>
          </w:tcPr>
          <w:p w:rsidR="008D4D4B" w:rsidRDefault="008D4D4B">
            <w:pPr>
              <w:rPr>
                <w:rFonts w:ascii="Tesco" w:eastAsia="Calibri" w:hAnsi="Tesco" w:cs="Arial"/>
                <w:bCs/>
                <w:i/>
              </w:rPr>
            </w:pPr>
          </w:p>
        </w:tc>
        <w:tc>
          <w:tcPr>
            <w:tcW w:w="1166"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31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465"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nil"/>
              <w:bottom w:val="nil"/>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Cs/>
                <w:i/>
              </w:rPr>
            </w:pPr>
            <w:r>
              <w:rPr>
                <w:rFonts w:ascii="Tesco" w:eastAsia="Calibri" w:hAnsi="Tesco" w:cs="Arial"/>
                <w:bCs/>
                <w:i/>
              </w:rPr>
              <w:t>Excluding Fuel:</w:t>
            </w:r>
          </w:p>
        </w:tc>
        <w:tc>
          <w:tcPr>
            <w:tcW w:w="1166" w:type="dxa"/>
            <w:tcBorders>
              <w:top w:val="nil"/>
              <w:left w:val="single" w:sz="4" w:space="0" w:color="auto"/>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5"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232"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313" w:type="dxa"/>
            <w:tcBorders>
              <w:top w:val="nil"/>
              <w:left w:val="nil"/>
              <w:bottom w:val="nil"/>
              <w:right w:val="nil"/>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color w:val="000000"/>
              </w:rPr>
            </w:pPr>
          </w:p>
        </w:tc>
        <w:tc>
          <w:tcPr>
            <w:tcW w:w="465" w:type="dxa"/>
            <w:tcBorders>
              <w:top w:val="nil"/>
              <w:left w:val="nil"/>
              <w:bottom w:val="nil"/>
              <w:right w:val="nil"/>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nil"/>
              <w:left w:val="nil"/>
              <w:bottom w:val="single" w:sz="4" w:space="0" w:color="auto"/>
              <w:right w:val="nil"/>
            </w:tcBorders>
            <w:shd w:val="clear" w:color="auto" w:fill="auto"/>
            <w:vAlign w:val="center"/>
          </w:tcPr>
          <w:p w:rsidR="008D4D4B" w:rsidRDefault="008D4D4B">
            <w:pPr>
              <w:jc w:val="center"/>
              <w:rPr>
                <w:rFonts w:ascii="Tesco" w:eastAsia="Calibri" w:hAnsi="Tesco" w:cs="Calibri"/>
                <w:bCs/>
                <w:i/>
                <w:color w:val="000000"/>
              </w:rPr>
            </w:pP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UK</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(1.7)%</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(3.3)%</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(2.6)%</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1.2</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1.3</w:t>
            </w:r>
            <w:r>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Asia</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(8.9)%</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(6.4)%</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(2.5)%</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0.5</w:t>
            </w:r>
            <w:r>
              <w:rPr>
                <w:rFonts w:ascii="Tesco" w:eastAsia="Calibri" w:hAnsi="Tesco" w:cs="Calibri"/>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1.9</w:t>
            </w:r>
            <w:r>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rPr>
            </w:pPr>
            <w:r>
              <w:rPr>
                <w:rFonts w:ascii="Tesco" w:eastAsia="Calibri" w:hAnsi="Tesco" w:cs="Arial"/>
              </w:rPr>
              <w:t>Europe</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(6.9)%</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(10.3)%</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Cs/>
                <w:color w:val="000000"/>
              </w:rPr>
            </w:pPr>
            <w:r>
              <w:rPr>
                <w:rFonts w:ascii="Tesco" w:eastAsia="Calibri" w:hAnsi="Tesco" w:cs="Calibri"/>
                <w:bCs/>
                <w:color w:val="000000"/>
              </w:rPr>
              <w:t>(8.6)%</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color w:val="000000"/>
              </w:rPr>
            </w:pPr>
            <w:r>
              <w:rPr>
                <w:rFonts w:ascii="Tesco" w:eastAsia="Calibri" w:hAnsi="Tesco" w:cs="Calibri"/>
                <w:bCs/>
                <w:color w:val="000000"/>
              </w:rPr>
              <w:t>(</w:t>
            </w:r>
            <w:r w:rsidR="00FF6916">
              <w:rPr>
                <w:rFonts w:ascii="Tesco" w:eastAsia="Calibri" w:hAnsi="Tesco" w:cs="Calibri"/>
                <w:bCs/>
                <w:color w:val="000000"/>
              </w:rPr>
              <w:t>5.0</w:t>
            </w:r>
            <w:r>
              <w:rPr>
                <w:rFonts w:ascii="Tesco" w:eastAsia="Calibri" w:hAnsi="Tesco" w:cs="Calibri"/>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7.2</w:t>
            </w:r>
            <w:r>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International</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(8.0)%</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(8.3)%</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(5.5)%</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
                <w:bCs/>
                <w:color w:val="000000"/>
              </w:rPr>
            </w:pPr>
            <w:r>
              <w:rPr>
                <w:rFonts w:ascii="Tesco" w:eastAsia="Calibri" w:hAnsi="Tesco" w:cs="Calibri"/>
                <w:b/>
                <w:bCs/>
                <w:color w:val="000000"/>
              </w:rPr>
              <w:t>(</w:t>
            </w:r>
            <w:r w:rsidR="00FF6916">
              <w:rPr>
                <w:rFonts w:ascii="Tesco" w:eastAsia="Calibri" w:hAnsi="Tesco" w:cs="Calibri"/>
                <w:b/>
                <w:bCs/>
                <w:color w:val="000000"/>
              </w:rPr>
              <w:t>2.9</w:t>
            </w:r>
            <w:r>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FF6916">
            <w:pPr>
              <w:jc w:val="center"/>
              <w:rPr>
                <w:rFonts w:ascii="Tesco" w:eastAsia="Calibri" w:hAnsi="Tesco" w:cs="Calibri"/>
                <w:bCs/>
                <w:i/>
                <w:color w:val="000000"/>
              </w:rPr>
            </w:pPr>
            <w:r>
              <w:rPr>
                <w:rFonts w:ascii="Tesco" w:eastAsia="Calibri" w:hAnsi="Tesco" w:cs="Calibri"/>
                <w:bCs/>
                <w:i/>
                <w:color w:val="000000"/>
              </w:rPr>
              <w:t>(</w:t>
            </w:r>
            <w:r w:rsidR="00FF6916">
              <w:rPr>
                <w:rFonts w:ascii="Tesco" w:eastAsia="Calibri" w:hAnsi="Tesco" w:cs="Calibri"/>
                <w:bCs/>
                <w:i/>
                <w:color w:val="000000"/>
              </w:rPr>
              <w:t>4.6</w:t>
            </w:r>
            <w:r>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b/>
              </w:rPr>
            </w:pPr>
            <w:r>
              <w:rPr>
                <w:rFonts w:ascii="Tesco" w:eastAsia="Calibri" w:hAnsi="Tesco" w:cs="Arial"/>
                <w:b/>
                <w:bCs/>
              </w:rPr>
              <w:t>Tesco Bank</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3.6%</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5.8%</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2.7%</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
                <w:bCs/>
                <w:color w:val="000000"/>
              </w:rPr>
            </w:pPr>
            <w:r>
              <w:rPr>
                <w:rFonts w:ascii="Tesco" w:eastAsia="Calibri" w:hAnsi="Tesco" w:cs="Calibri"/>
                <w:b/>
                <w:bCs/>
                <w:color w:val="000000"/>
              </w:rPr>
              <w:t>3.8</w:t>
            </w:r>
            <w:r w:rsidR="008D4D4B">
              <w:rPr>
                <w:rFonts w:ascii="Tesco" w:eastAsia="Calibri" w:hAnsi="Tesco" w:cs="Calibri"/>
                <w:b/>
                <w:bCs/>
                <w:color w:val="000000"/>
              </w:rPr>
              <w:t>%</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FF6916" w:rsidP="00FF6916">
            <w:pPr>
              <w:jc w:val="center"/>
              <w:rPr>
                <w:rFonts w:ascii="Tesco" w:eastAsia="Calibri" w:hAnsi="Tesco" w:cs="Calibri"/>
                <w:bCs/>
                <w:i/>
                <w:color w:val="000000"/>
              </w:rPr>
            </w:pPr>
            <w:r>
              <w:rPr>
                <w:rFonts w:ascii="Tesco" w:eastAsia="Calibri" w:hAnsi="Tesco" w:cs="Calibri"/>
                <w:bCs/>
                <w:i/>
                <w:color w:val="000000"/>
              </w:rPr>
              <w:t>3.0</w:t>
            </w:r>
            <w:r w:rsidR="008D4D4B">
              <w:rPr>
                <w:rFonts w:ascii="Tesco" w:eastAsia="Calibri" w:hAnsi="Tesco" w:cs="Calibri"/>
                <w:bCs/>
                <w:i/>
                <w:color w:val="000000"/>
              </w:rPr>
              <w:t>%</w:t>
            </w:r>
          </w:p>
        </w:tc>
      </w:tr>
      <w:tr w:rsidR="008D4D4B" w:rsidTr="008D4D4B">
        <w:trPr>
          <w:trHeight w:val="272"/>
        </w:trPr>
        <w:tc>
          <w:tcPr>
            <w:tcW w:w="1824" w:type="dxa"/>
            <w:gridSpan w:val="2"/>
            <w:tcBorders>
              <w:top w:val="single" w:sz="4" w:space="0" w:color="auto"/>
              <w:left w:val="single" w:sz="4" w:space="0" w:color="auto"/>
              <w:bottom w:val="single" w:sz="4" w:space="0" w:color="auto"/>
              <w:right w:val="single" w:sz="4" w:space="0" w:color="auto"/>
            </w:tcBorders>
            <w:shd w:val="clear" w:color="auto" w:fill="E7EFF9"/>
            <w:vAlign w:val="center"/>
            <w:hideMark/>
          </w:tcPr>
          <w:p w:rsidR="008D4D4B" w:rsidRDefault="008D4D4B">
            <w:pPr>
              <w:rPr>
                <w:rFonts w:ascii="Tesco" w:eastAsia="Calibri" w:hAnsi="Tesco" w:cs="Arial"/>
                <w:b/>
                <w:bCs/>
              </w:rPr>
            </w:pPr>
            <w:r>
              <w:rPr>
                <w:rFonts w:ascii="Tesco" w:eastAsia="Calibri" w:hAnsi="Tesco" w:cs="Arial"/>
                <w:b/>
                <w:bCs/>
              </w:rPr>
              <w:t>Group</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(3.8)%</w:t>
            </w:r>
          </w:p>
        </w:tc>
        <w:tc>
          <w:tcPr>
            <w:tcW w:w="23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(4.9)%</w:t>
            </w:r>
          </w:p>
        </w:tc>
        <w:tc>
          <w:tcPr>
            <w:tcW w:w="232"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(3.5)%</w:t>
            </w:r>
          </w:p>
        </w:tc>
        <w:tc>
          <w:tcPr>
            <w:tcW w:w="313"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pPr>
              <w:jc w:val="center"/>
              <w:rPr>
                <w:rFonts w:ascii="Tesco" w:eastAsia="Calibri" w:hAnsi="Tesco" w:cs="Calibri"/>
                <w:b/>
                <w:bCs/>
                <w:color w:val="000000"/>
              </w:rPr>
            </w:pPr>
            <w:r>
              <w:rPr>
                <w:rFonts w:ascii="Tesco" w:eastAsia="Calibri" w:hAnsi="Tesco" w:cs="Calibri"/>
                <w:b/>
                <w:bCs/>
                <w:color w:val="000000"/>
              </w:rPr>
              <w:t>(0.2)%</w:t>
            </w:r>
          </w:p>
        </w:tc>
        <w:tc>
          <w:tcPr>
            <w:tcW w:w="465" w:type="dxa"/>
            <w:tcBorders>
              <w:top w:val="nil"/>
              <w:left w:val="single" w:sz="4" w:space="0" w:color="auto"/>
              <w:bottom w:val="nil"/>
              <w:right w:val="single" w:sz="4" w:space="0" w:color="auto"/>
            </w:tcBorders>
            <w:shd w:val="clear" w:color="auto" w:fill="auto"/>
            <w:vAlign w:val="center"/>
          </w:tcPr>
          <w:p w:rsidR="008D4D4B" w:rsidRDefault="008D4D4B">
            <w:pPr>
              <w:jc w:val="center"/>
              <w:rPr>
                <w:rFonts w:ascii="Tesco" w:eastAsia="Calibri" w:hAnsi="Tesco" w:cs="Calibri"/>
                <w:b/>
                <w:bCs/>
                <w:color w:val="000000"/>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4D4B" w:rsidRDefault="008D4D4B" w:rsidP="00390CD4">
            <w:pPr>
              <w:jc w:val="center"/>
              <w:rPr>
                <w:rFonts w:ascii="Tesco" w:eastAsia="Calibri" w:hAnsi="Tesco" w:cs="Calibri"/>
                <w:bCs/>
                <w:i/>
                <w:color w:val="000000"/>
              </w:rPr>
            </w:pPr>
            <w:r>
              <w:rPr>
                <w:rFonts w:ascii="Tesco" w:eastAsia="Calibri" w:hAnsi="Tesco" w:cs="Calibri"/>
                <w:bCs/>
                <w:i/>
                <w:color w:val="000000"/>
              </w:rPr>
              <w:t>(</w:t>
            </w:r>
            <w:r w:rsidR="00390CD4">
              <w:rPr>
                <w:rFonts w:ascii="Tesco" w:eastAsia="Calibri" w:hAnsi="Tesco" w:cs="Calibri"/>
                <w:bCs/>
                <w:i/>
                <w:color w:val="000000"/>
              </w:rPr>
              <w:t>2.3</w:t>
            </w:r>
            <w:r>
              <w:rPr>
                <w:rFonts w:ascii="Tesco" w:eastAsia="Calibri" w:hAnsi="Tesco" w:cs="Calibri"/>
                <w:bCs/>
                <w:i/>
                <w:color w:val="000000"/>
              </w:rPr>
              <w:t>)%</w:t>
            </w:r>
          </w:p>
        </w:tc>
        <w:bookmarkStart w:id="2" w:name="_GoBack"/>
        <w:bookmarkEnd w:id="2"/>
      </w:tr>
    </w:tbl>
    <w:p w:rsidR="008D4D4B" w:rsidRDefault="008D4D4B" w:rsidP="008D4D4B">
      <w:pPr>
        <w:rPr>
          <w:rFonts w:ascii="Tesco" w:hAnsi="Tesco"/>
          <w:sz w:val="16"/>
          <w:szCs w:val="21"/>
        </w:rPr>
      </w:pPr>
    </w:p>
    <w:p w:rsidR="008D4D4B" w:rsidRDefault="008D4D4B" w:rsidP="008D4D4B">
      <w:pPr>
        <w:rPr>
          <w:rFonts w:ascii="Tesco" w:hAnsi="Tesco"/>
          <w:sz w:val="16"/>
          <w:szCs w:val="21"/>
        </w:rPr>
      </w:pPr>
    </w:p>
    <w:p w:rsidR="008D4D4B" w:rsidRDefault="008D4D4B" w:rsidP="008D4D4B">
      <w:pPr>
        <w:pStyle w:val="Default"/>
        <w:rPr>
          <w:rFonts w:ascii="Tesco" w:hAnsi="Tesco"/>
          <w:color w:val="auto"/>
          <w:sz w:val="16"/>
          <w:szCs w:val="21"/>
        </w:rPr>
      </w:pPr>
    </w:p>
    <w:p w:rsidR="000B5354" w:rsidRPr="000B5354" w:rsidRDefault="000B5354" w:rsidP="000B5354">
      <w:pPr>
        <w:pStyle w:val="Default"/>
        <w:rPr>
          <w:rFonts w:ascii="Tesco" w:hAnsi="Tesco"/>
          <w:sz w:val="16"/>
          <w:szCs w:val="16"/>
        </w:rPr>
      </w:pPr>
      <w:r w:rsidRPr="000B5354">
        <w:rPr>
          <w:rFonts w:ascii="Tesco" w:hAnsi="Tesco"/>
          <w:sz w:val="16"/>
          <w:szCs w:val="16"/>
        </w:rPr>
        <w:t xml:space="preserve">Notes: </w:t>
      </w:r>
    </w:p>
    <w:p w:rsidR="000B5354" w:rsidRPr="000B5354" w:rsidRDefault="000B5354" w:rsidP="000B5354">
      <w:pPr>
        <w:pStyle w:val="Default"/>
        <w:rPr>
          <w:rFonts w:ascii="Tesco" w:hAnsi="Tesco"/>
          <w:sz w:val="16"/>
          <w:szCs w:val="16"/>
        </w:rPr>
      </w:pPr>
      <w:r w:rsidRPr="000B5354">
        <w:rPr>
          <w:rFonts w:ascii="Tesco" w:hAnsi="Tesco"/>
          <w:sz w:val="16"/>
          <w:szCs w:val="16"/>
        </w:rPr>
        <w:t xml:space="preserve">These results have been reported on a continuing operations basis and exclude the results from our operations in China. </w:t>
      </w:r>
    </w:p>
    <w:p w:rsidR="000B5354" w:rsidRPr="000B5354" w:rsidRDefault="000B5354" w:rsidP="000B5354">
      <w:pPr>
        <w:pStyle w:val="Default"/>
        <w:rPr>
          <w:rFonts w:ascii="Tesco" w:hAnsi="Tesco"/>
          <w:sz w:val="16"/>
          <w:szCs w:val="16"/>
        </w:rPr>
      </w:pPr>
      <w:r w:rsidRPr="000B5354">
        <w:rPr>
          <w:rFonts w:ascii="Tesco" w:hAnsi="Tesco"/>
          <w:sz w:val="16"/>
          <w:szCs w:val="16"/>
        </w:rPr>
        <w:t xml:space="preserve">Like-for-like sales growth is reported at constant exchange rates. All other figures quoted are at actual exchange rates, including VAT and excluding fuel unless otherwise stated. </w:t>
      </w:r>
    </w:p>
    <w:p w:rsidR="000B5354" w:rsidRPr="000B5354" w:rsidRDefault="000B5354" w:rsidP="000B5354">
      <w:pPr>
        <w:pStyle w:val="Default"/>
        <w:rPr>
          <w:rFonts w:ascii="Tesco" w:hAnsi="Tesco"/>
          <w:sz w:val="16"/>
          <w:szCs w:val="16"/>
        </w:rPr>
      </w:pPr>
      <w:r w:rsidRPr="000B5354">
        <w:rPr>
          <w:rFonts w:ascii="Tesco" w:hAnsi="Tesco"/>
          <w:sz w:val="16"/>
          <w:szCs w:val="16"/>
        </w:rPr>
        <w:t>For UK and ROI, these results are for the 19 weeks for both the current year and the previous year comparison, for the period ended 3 January 2015 and 4 January 2014 respectively; the 3rd Quarter results are for 91 days for both the current year and the previous year comparison, for the periods ended 22 November 2014 and 23 November 2013 respectively.  The Christmas period results are for six weeks for both the current and the previous year comparison, for the periods ended 3 January 2015 and 4 January 2014 respectively.</w:t>
      </w:r>
    </w:p>
    <w:p w:rsidR="000B5354" w:rsidRPr="000B5354" w:rsidRDefault="000B5354" w:rsidP="000B5354">
      <w:pPr>
        <w:pStyle w:val="Default"/>
        <w:rPr>
          <w:rFonts w:ascii="Tesco" w:hAnsi="Tesco"/>
          <w:sz w:val="16"/>
          <w:szCs w:val="16"/>
        </w:rPr>
      </w:pPr>
      <w:r w:rsidRPr="000B5354">
        <w:rPr>
          <w:rFonts w:ascii="Tesco" w:hAnsi="Tesco"/>
          <w:sz w:val="16"/>
          <w:szCs w:val="16"/>
        </w:rPr>
        <w:t>For Tesco Bank and India, these results are for the 19 weeks for both the current year and the previous year comparison, for the period ended 7 January 2015 and 7 January 2014 respectively; the 3rd Quarter results are for 91 days for both the current year and the previous year comparison, for the periods ended 30 November 2014 and 30 November 2013 respectively.  The Christmas period results are for the month of December and one additional week for both the current year and the previous year comparison, for the period ended 7 January 2015 and 7 January 2014 respectively.</w:t>
      </w:r>
    </w:p>
    <w:p w:rsidR="00054979" w:rsidRDefault="000B5354" w:rsidP="000B43BF">
      <w:pPr>
        <w:pStyle w:val="Default"/>
      </w:pPr>
      <w:r w:rsidRPr="000B5354">
        <w:rPr>
          <w:rFonts w:ascii="Tesco" w:hAnsi="Tesco"/>
          <w:sz w:val="16"/>
          <w:szCs w:val="16"/>
        </w:rPr>
        <w:t>For all other countries, these results are for both the current year and the previous year comparison, for the period ended 4 January 2015 and 5 January 2014 respectively; the 3rd Quarter results are for 91 days for both the current year and the previous year comparison, for the periods ended 23 November 2014 and 24 November 2013 respectively.  The Christmas period results are for six weeks for both the current year and the previous year comparison, for the period ended 4 January 2015 and 5 January 2014 respectively.</w:t>
      </w:r>
    </w:p>
    <w:p w:rsidR="00054979" w:rsidRDefault="00054979" w:rsidP="00054979">
      <w:pPr>
        <w:rPr>
          <w:rFonts w:ascii="Tesco" w:hAnsi="Tesco"/>
          <w:sz w:val="16"/>
          <w:szCs w:val="16"/>
        </w:rPr>
      </w:pPr>
    </w:p>
    <w:sectPr w:rsidR="00054979" w:rsidSect="002A1297">
      <w:headerReference w:type="default" r:id="rId10"/>
      <w:footerReference w:type="default" r:id="rId11"/>
      <w:pgSz w:w="11906" w:h="16838"/>
      <w:pgMar w:top="993" w:right="1440" w:bottom="993" w:left="1440" w:header="426"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72F" w:rsidRDefault="0054472F">
      <w:r>
        <w:separator/>
      </w:r>
    </w:p>
  </w:endnote>
  <w:endnote w:type="continuationSeparator" w:id="0">
    <w:p w:rsidR="0054472F" w:rsidRDefault="0054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esco">
    <w:altName w:val="HelveticaNeue LT 55 Roman"/>
    <w:charset w:val="00"/>
    <w:family w:val="swiss"/>
    <w:pitch w:val="variable"/>
    <w:sig w:usb0="00000003" w:usb1="0000004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3BF" w:rsidRPr="00504E0D" w:rsidRDefault="000B43BF">
    <w:pPr>
      <w:pStyle w:val="Footer"/>
      <w:jc w:val="center"/>
      <w:rPr>
        <w:rFonts w:ascii="Tesco" w:hAnsi="Tesco"/>
      </w:rPr>
    </w:pPr>
    <w:r>
      <w:rPr>
        <w:rFonts w:ascii="Tesco" w:hAnsi="Tesco"/>
      </w:rPr>
      <w:t>[</w:t>
    </w:r>
    <w:r w:rsidRPr="00504E0D">
      <w:rPr>
        <w:rFonts w:ascii="Tesco" w:hAnsi="Tesco"/>
      </w:rPr>
      <w:fldChar w:fldCharType="begin"/>
    </w:r>
    <w:r w:rsidRPr="00504E0D">
      <w:rPr>
        <w:rFonts w:ascii="Tesco" w:hAnsi="Tesco"/>
      </w:rPr>
      <w:instrText xml:space="preserve"> PAGE   \* MERGEFORMAT </w:instrText>
    </w:r>
    <w:r w:rsidRPr="00504E0D">
      <w:rPr>
        <w:rFonts w:ascii="Tesco" w:hAnsi="Tesco"/>
      </w:rPr>
      <w:fldChar w:fldCharType="separate"/>
    </w:r>
    <w:r w:rsidR="00195E9C">
      <w:rPr>
        <w:rFonts w:ascii="Tesco" w:hAnsi="Tesco"/>
        <w:noProof/>
      </w:rPr>
      <w:t>1</w:t>
    </w:r>
    <w:r w:rsidRPr="00504E0D">
      <w:rPr>
        <w:rFonts w:ascii="Tesco" w:hAnsi="Tesco"/>
      </w:rPr>
      <w:fldChar w:fldCharType="end"/>
    </w:r>
    <w:r>
      <w:rPr>
        <w:rFonts w:ascii="Tesco" w:hAnsi="Tesco"/>
      </w:rPr>
      <w:t>]</w:t>
    </w:r>
  </w:p>
  <w:p w:rsidR="000B43BF" w:rsidRDefault="000B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72F" w:rsidRDefault="0054472F">
      <w:r>
        <w:separator/>
      </w:r>
    </w:p>
  </w:footnote>
  <w:footnote w:type="continuationSeparator" w:id="0">
    <w:p w:rsidR="0054472F" w:rsidRDefault="00544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3BF" w:rsidRPr="00481134" w:rsidRDefault="000B43BF" w:rsidP="00915ACF">
    <w:pPr>
      <w:pStyle w:val="Header"/>
      <w:jc w:val="right"/>
      <w:rPr>
        <w:rFonts w:ascii="Tesco" w:hAnsi="Tesco"/>
        <w:b/>
        <w:color w:val="FF0000"/>
      </w:rPr>
    </w:pPr>
  </w:p>
  <w:p w:rsidR="000B43BF" w:rsidRPr="004A218F" w:rsidRDefault="000B43BF" w:rsidP="009024F2">
    <w:pPr>
      <w:pStyle w:val="Header"/>
      <w:jc w:val="center"/>
      <w:rPr>
        <w:rFonts w:ascii="Tesco" w:hAnsi="Tesco"/>
        <w:b/>
        <w:color w:val="0070C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3A7"/>
    <w:multiLevelType w:val="hybridMultilevel"/>
    <w:tmpl w:val="C14892C0"/>
    <w:lvl w:ilvl="0" w:tplc="CD0CD736">
      <w:start w:val="1"/>
      <w:numFmt w:val="bullet"/>
      <w:lvlText w:val="-"/>
      <w:lvlJc w:val="left"/>
      <w:pPr>
        <w:ind w:left="720" w:hanging="360"/>
      </w:pPr>
      <w:rPr>
        <w:rFonts w:ascii="Tesco" w:eastAsia="Times New Roman" w:hAnsi="Tesc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504005"/>
    <w:multiLevelType w:val="hybridMultilevel"/>
    <w:tmpl w:val="8DACA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D457FD"/>
    <w:multiLevelType w:val="hybridMultilevel"/>
    <w:tmpl w:val="3CBEC80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A34459"/>
    <w:multiLevelType w:val="hybridMultilevel"/>
    <w:tmpl w:val="74CA025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C768B9"/>
    <w:multiLevelType w:val="hybridMultilevel"/>
    <w:tmpl w:val="A08833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516604"/>
    <w:multiLevelType w:val="hybridMultilevel"/>
    <w:tmpl w:val="1A2C574C"/>
    <w:lvl w:ilvl="0" w:tplc="642EA76A">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A77D70"/>
    <w:multiLevelType w:val="hybridMultilevel"/>
    <w:tmpl w:val="3034B1E4"/>
    <w:lvl w:ilvl="0" w:tplc="3F26ECC6">
      <w:numFmt w:val="bullet"/>
      <w:lvlText w:val="-"/>
      <w:lvlJc w:val="left"/>
      <w:pPr>
        <w:ind w:left="990" w:hanging="360"/>
      </w:pPr>
      <w:rPr>
        <w:rFonts w:ascii="Calibri" w:eastAsia="Calibri" w:hAnsi="Calibri" w:cs="Calibri"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7">
    <w:nsid w:val="19574DE1"/>
    <w:multiLevelType w:val="hybridMultilevel"/>
    <w:tmpl w:val="CF86DDCA"/>
    <w:lvl w:ilvl="0" w:tplc="3F26ECC6">
      <w:numFmt w:val="bullet"/>
      <w:lvlText w:val="-"/>
      <w:lvlJc w:val="left"/>
      <w:pPr>
        <w:ind w:left="1080" w:hanging="360"/>
      </w:pPr>
      <w:rPr>
        <w:rFonts w:ascii="Calibri" w:eastAsia="Calibri" w:hAnsi="Calibri" w:cs="Calibr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06A49F5"/>
    <w:multiLevelType w:val="hybridMultilevel"/>
    <w:tmpl w:val="07D85D70"/>
    <w:lvl w:ilvl="0" w:tplc="85F0B74A">
      <w:numFmt w:val="bullet"/>
      <w:lvlText w:val="–"/>
      <w:lvlJc w:val="left"/>
      <w:pPr>
        <w:ind w:left="2220" w:hanging="1500"/>
      </w:pPr>
      <w:rPr>
        <w:rFonts w:ascii="Tesco" w:eastAsia="Times New Roman" w:hAnsi="Tesco" w:cs="Times New Roman" w:hint="default"/>
      </w:rPr>
    </w:lvl>
    <w:lvl w:ilvl="1" w:tplc="08090003" w:tentative="1">
      <w:start w:val="1"/>
      <w:numFmt w:val="bullet"/>
      <w:lvlText w:val="o"/>
      <w:lvlJc w:val="left"/>
      <w:pPr>
        <w:ind w:left="2217" w:hanging="360"/>
      </w:pPr>
      <w:rPr>
        <w:rFonts w:ascii="Courier New" w:hAnsi="Courier New" w:cs="Courier New" w:hint="default"/>
      </w:rPr>
    </w:lvl>
    <w:lvl w:ilvl="2" w:tplc="08090005" w:tentative="1">
      <w:start w:val="1"/>
      <w:numFmt w:val="bullet"/>
      <w:lvlText w:val=""/>
      <w:lvlJc w:val="left"/>
      <w:pPr>
        <w:ind w:left="2937" w:hanging="360"/>
      </w:pPr>
      <w:rPr>
        <w:rFonts w:ascii="Wingdings" w:hAnsi="Wingdings" w:hint="default"/>
      </w:rPr>
    </w:lvl>
    <w:lvl w:ilvl="3" w:tplc="08090001" w:tentative="1">
      <w:start w:val="1"/>
      <w:numFmt w:val="bullet"/>
      <w:lvlText w:val=""/>
      <w:lvlJc w:val="left"/>
      <w:pPr>
        <w:ind w:left="3657" w:hanging="360"/>
      </w:pPr>
      <w:rPr>
        <w:rFonts w:ascii="Symbol" w:hAnsi="Symbol" w:hint="default"/>
      </w:rPr>
    </w:lvl>
    <w:lvl w:ilvl="4" w:tplc="08090003" w:tentative="1">
      <w:start w:val="1"/>
      <w:numFmt w:val="bullet"/>
      <w:lvlText w:val="o"/>
      <w:lvlJc w:val="left"/>
      <w:pPr>
        <w:ind w:left="4377" w:hanging="360"/>
      </w:pPr>
      <w:rPr>
        <w:rFonts w:ascii="Courier New" w:hAnsi="Courier New" w:cs="Courier New" w:hint="default"/>
      </w:rPr>
    </w:lvl>
    <w:lvl w:ilvl="5" w:tplc="08090005" w:tentative="1">
      <w:start w:val="1"/>
      <w:numFmt w:val="bullet"/>
      <w:lvlText w:val=""/>
      <w:lvlJc w:val="left"/>
      <w:pPr>
        <w:ind w:left="5097" w:hanging="360"/>
      </w:pPr>
      <w:rPr>
        <w:rFonts w:ascii="Wingdings" w:hAnsi="Wingdings" w:hint="default"/>
      </w:rPr>
    </w:lvl>
    <w:lvl w:ilvl="6" w:tplc="08090001" w:tentative="1">
      <w:start w:val="1"/>
      <w:numFmt w:val="bullet"/>
      <w:lvlText w:val=""/>
      <w:lvlJc w:val="left"/>
      <w:pPr>
        <w:ind w:left="5817" w:hanging="360"/>
      </w:pPr>
      <w:rPr>
        <w:rFonts w:ascii="Symbol" w:hAnsi="Symbol" w:hint="default"/>
      </w:rPr>
    </w:lvl>
    <w:lvl w:ilvl="7" w:tplc="08090003" w:tentative="1">
      <w:start w:val="1"/>
      <w:numFmt w:val="bullet"/>
      <w:lvlText w:val="o"/>
      <w:lvlJc w:val="left"/>
      <w:pPr>
        <w:ind w:left="6537" w:hanging="360"/>
      </w:pPr>
      <w:rPr>
        <w:rFonts w:ascii="Courier New" w:hAnsi="Courier New" w:cs="Courier New" w:hint="default"/>
      </w:rPr>
    </w:lvl>
    <w:lvl w:ilvl="8" w:tplc="08090005" w:tentative="1">
      <w:start w:val="1"/>
      <w:numFmt w:val="bullet"/>
      <w:lvlText w:val=""/>
      <w:lvlJc w:val="left"/>
      <w:pPr>
        <w:ind w:left="7257" w:hanging="360"/>
      </w:pPr>
      <w:rPr>
        <w:rFonts w:ascii="Wingdings" w:hAnsi="Wingdings" w:hint="default"/>
      </w:rPr>
    </w:lvl>
  </w:abstractNum>
  <w:abstractNum w:abstractNumId="9">
    <w:nsid w:val="28992338"/>
    <w:multiLevelType w:val="hybridMultilevel"/>
    <w:tmpl w:val="A06A88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8A02F30"/>
    <w:multiLevelType w:val="hybridMultilevel"/>
    <w:tmpl w:val="306CF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06189A"/>
    <w:multiLevelType w:val="hybridMultilevel"/>
    <w:tmpl w:val="20DA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212FF"/>
    <w:multiLevelType w:val="hybridMultilevel"/>
    <w:tmpl w:val="310E5504"/>
    <w:lvl w:ilvl="0" w:tplc="3F26ECC6">
      <w:numFmt w:val="bullet"/>
      <w:lvlText w:val="-"/>
      <w:lvlJc w:val="left"/>
      <w:pPr>
        <w:ind w:left="675" w:hanging="360"/>
      </w:pPr>
      <w:rPr>
        <w:rFonts w:ascii="Calibri" w:eastAsia="Calibri" w:hAnsi="Calibri" w:cs="Calibri" w:hint="default"/>
      </w:rPr>
    </w:lvl>
    <w:lvl w:ilvl="1" w:tplc="08090003" w:tentative="1">
      <w:start w:val="1"/>
      <w:numFmt w:val="bullet"/>
      <w:lvlText w:val="o"/>
      <w:lvlJc w:val="left"/>
      <w:pPr>
        <w:ind w:left="1395" w:hanging="360"/>
      </w:pPr>
      <w:rPr>
        <w:rFonts w:ascii="Courier New" w:hAnsi="Courier New" w:cs="Courier New" w:hint="default"/>
      </w:rPr>
    </w:lvl>
    <w:lvl w:ilvl="2" w:tplc="08090005" w:tentative="1">
      <w:start w:val="1"/>
      <w:numFmt w:val="bullet"/>
      <w:lvlText w:val=""/>
      <w:lvlJc w:val="left"/>
      <w:pPr>
        <w:ind w:left="2115" w:hanging="360"/>
      </w:pPr>
      <w:rPr>
        <w:rFonts w:ascii="Wingdings" w:hAnsi="Wingdings" w:hint="default"/>
      </w:rPr>
    </w:lvl>
    <w:lvl w:ilvl="3" w:tplc="08090001" w:tentative="1">
      <w:start w:val="1"/>
      <w:numFmt w:val="bullet"/>
      <w:lvlText w:val=""/>
      <w:lvlJc w:val="left"/>
      <w:pPr>
        <w:ind w:left="2835" w:hanging="360"/>
      </w:pPr>
      <w:rPr>
        <w:rFonts w:ascii="Symbol" w:hAnsi="Symbol" w:hint="default"/>
      </w:rPr>
    </w:lvl>
    <w:lvl w:ilvl="4" w:tplc="08090003" w:tentative="1">
      <w:start w:val="1"/>
      <w:numFmt w:val="bullet"/>
      <w:lvlText w:val="o"/>
      <w:lvlJc w:val="left"/>
      <w:pPr>
        <w:ind w:left="3555" w:hanging="360"/>
      </w:pPr>
      <w:rPr>
        <w:rFonts w:ascii="Courier New" w:hAnsi="Courier New" w:cs="Courier New" w:hint="default"/>
      </w:rPr>
    </w:lvl>
    <w:lvl w:ilvl="5" w:tplc="08090005" w:tentative="1">
      <w:start w:val="1"/>
      <w:numFmt w:val="bullet"/>
      <w:lvlText w:val=""/>
      <w:lvlJc w:val="left"/>
      <w:pPr>
        <w:ind w:left="4275" w:hanging="360"/>
      </w:pPr>
      <w:rPr>
        <w:rFonts w:ascii="Wingdings" w:hAnsi="Wingdings" w:hint="default"/>
      </w:rPr>
    </w:lvl>
    <w:lvl w:ilvl="6" w:tplc="08090001" w:tentative="1">
      <w:start w:val="1"/>
      <w:numFmt w:val="bullet"/>
      <w:lvlText w:val=""/>
      <w:lvlJc w:val="left"/>
      <w:pPr>
        <w:ind w:left="4995" w:hanging="360"/>
      </w:pPr>
      <w:rPr>
        <w:rFonts w:ascii="Symbol" w:hAnsi="Symbol" w:hint="default"/>
      </w:rPr>
    </w:lvl>
    <w:lvl w:ilvl="7" w:tplc="08090003" w:tentative="1">
      <w:start w:val="1"/>
      <w:numFmt w:val="bullet"/>
      <w:lvlText w:val="o"/>
      <w:lvlJc w:val="left"/>
      <w:pPr>
        <w:ind w:left="5715" w:hanging="360"/>
      </w:pPr>
      <w:rPr>
        <w:rFonts w:ascii="Courier New" w:hAnsi="Courier New" w:cs="Courier New" w:hint="default"/>
      </w:rPr>
    </w:lvl>
    <w:lvl w:ilvl="8" w:tplc="08090005" w:tentative="1">
      <w:start w:val="1"/>
      <w:numFmt w:val="bullet"/>
      <w:lvlText w:val=""/>
      <w:lvlJc w:val="left"/>
      <w:pPr>
        <w:ind w:left="6435" w:hanging="360"/>
      </w:pPr>
      <w:rPr>
        <w:rFonts w:ascii="Wingdings" w:hAnsi="Wingdings" w:hint="default"/>
      </w:rPr>
    </w:lvl>
  </w:abstractNum>
  <w:abstractNum w:abstractNumId="13">
    <w:nsid w:val="38874B89"/>
    <w:multiLevelType w:val="hybridMultilevel"/>
    <w:tmpl w:val="38A20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0969B2"/>
    <w:multiLevelType w:val="hybridMultilevel"/>
    <w:tmpl w:val="8BFE0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E61C9"/>
    <w:multiLevelType w:val="hybridMultilevel"/>
    <w:tmpl w:val="30407F3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4704199C"/>
    <w:multiLevelType w:val="hybridMultilevel"/>
    <w:tmpl w:val="757C9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52749D"/>
    <w:multiLevelType w:val="hybridMultilevel"/>
    <w:tmpl w:val="1D6049AC"/>
    <w:lvl w:ilvl="0" w:tplc="08090001">
      <w:start w:val="1"/>
      <w:numFmt w:val="bullet"/>
      <w:lvlText w:val=""/>
      <w:lvlJc w:val="left"/>
      <w:pPr>
        <w:ind w:left="663" w:hanging="360"/>
      </w:pPr>
      <w:rPr>
        <w:rFonts w:ascii="Symbol" w:hAnsi="Symbol" w:hint="default"/>
      </w:rPr>
    </w:lvl>
    <w:lvl w:ilvl="1" w:tplc="08090003">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18">
    <w:nsid w:val="52B82EF2"/>
    <w:multiLevelType w:val="hybridMultilevel"/>
    <w:tmpl w:val="49E2B186"/>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19">
    <w:nsid w:val="5A83280B"/>
    <w:multiLevelType w:val="hybridMultilevel"/>
    <w:tmpl w:val="B5D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822A28"/>
    <w:multiLevelType w:val="hybridMultilevel"/>
    <w:tmpl w:val="14AA1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3F09B6"/>
    <w:multiLevelType w:val="hybridMultilevel"/>
    <w:tmpl w:val="94CCD21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61C51655"/>
    <w:multiLevelType w:val="hybridMultilevel"/>
    <w:tmpl w:val="C712A89A"/>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3">
    <w:nsid w:val="645438C9"/>
    <w:multiLevelType w:val="hybridMultilevel"/>
    <w:tmpl w:val="67E8AF3E"/>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4">
    <w:nsid w:val="648E79D9"/>
    <w:multiLevelType w:val="hybridMultilevel"/>
    <w:tmpl w:val="B30A0D3C"/>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25">
    <w:nsid w:val="76C52F23"/>
    <w:multiLevelType w:val="hybridMultilevel"/>
    <w:tmpl w:val="2A8C9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911237"/>
    <w:multiLevelType w:val="hybridMultilevel"/>
    <w:tmpl w:val="14E03D56"/>
    <w:lvl w:ilvl="0" w:tplc="3F26ECC6">
      <w:numFmt w:val="bullet"/>
      <w:lvlText w:val="-"/>
      <w:lvlJc w:val="left"/>
      <w:pPr>
        <w:ind w:left="990" w:hanging="360"/>
      </w:pPr>
      <w:rPr>
        <w:rFonts w:ascii="Calibri" w:eastAsia="Calibri" w:hAnsi="Calibri" w:cs="Calibri"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27">
    <w:nsid w:val="7BE67975"/>
    <w:multiLevelType w:val="hybridMultilevel"/>
    <w:tmpl w:val="9E0492FC"/>
    <w:lvl w:ilvl="0" w:tplc="69D0B684">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C882EA1"/>
    <w:multiLevelType w:val="hybridMultilevel"/>
    <w:tmpl w:val="496E8E1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9">
    <w:nsid w:val="7EDB68E6"/>
    <w:multiLevelType w:val="hybridMultilevel"/>
    <w:tmpl w:val="F8AEF7DA"/>
    <w:lvl w:ilvl="0" w:tplc="4BA2FB7E">
      <w:numFmt w:val="bullet"/>
      <w:lvlText w:val="•"/>
      <w:lvlJc w:val="left"/>
      <w:pPr>
        <w:ind w:left="2883" w:hanging="1500"/>
      </w:pPr>
      <w:rPr>
        <w:rFonts w:ascii="Tesco" w:eastAsia="Times New Roman" w:hAnsi="Tesco"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1"/>
  </w:num>
  <w:num w:numId="2">
    <w:abstractNumId w:val="15"/>
  </w:num>
  <w:num w:numId="3">
    <w:abstractNumId w:val="27"/>
  </w:num>
  <w:num w:numId="4">
    <w:abstractNumId w:val="20"/>
  </w:num>
  <w:num w:numId="5">
    <w:abstractNumId w:val="25"/>
  </w:num>
  <w:num w:numId="6">
    <w:abstractNumId w:val="10"/>
  </w:num>
  <w:num w:numId="7">
    <w:abstractNumId w:val="1"/>
  </w:num>
  <w:num w:numId="8">
    <w:abstractNumId w:val="9"/>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11"/>
  </w:num>
  <w:num w:numId="13">
    <w:abstractNumId w:val="19"/>
  </w:num>
  <w:num w:numId="14">
    <w:abstractNumId w:val="5"/>
  </w:num>
  <w:num w:numId="15">
    <w:abstractNumId w:val="29"/>
  </w:num>
  <w:num w:numId="16">
    <w:abstractNumId w:val="8"/>
  </w:num>
  <w:num w:numId="17">
    <w:abstractNumId w:val="2"/>
  </w:num>
  <w:num w:numId="18">
    <w:abstractNumId w:val="3"/>
  </w:num>
  <w:num w:numId="19">
    <w:abstractNumId w:val="18"/>
  </w:num>
  <w:num w:numId="20">
    <w:abstractNumId w:val="23"/>
  </w:num>
  <w:num w:numId="21">
    <w:abstractNumId w:val="22"/>
  </w:num>
  <w:num w:numId="22">
    <w:abstractNumId w:val="17"/>
  </w:num>
  <w:num w:numId="23">
    <w:abstractNumId w:val="0"/>
  </w:num>
  <w:num w:numId="24">
    <w:abstractNumId w:val="16"/>
  </w:num>
  <w:num w:numId="25">
    <w:abstractNumId w:val="24"/>
  </w:num>
  <w:num w:numId="26">
    <w:abstractNumId w:val="12"/>
  </w:num>
  <w:num w:numId="27">
    <w:abstractNumId w:val="26"/>
  </w:num>
  <w:num w:numId="28">
    <w:abstractNumId w:val="6"/>
  </w:num>
  <w:num w:numId="29">
    <w:abstractNumId w:val="14"/>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0"/>
    <w:rsid w:val="00001B67"/>
    <w:rsid w:val="00001FFC"/>
    <w:rsid w:val="0000588B"/>
    <w:rsid w:val="000062F9"/>
    <w:rsid w:val="0000714B"/>
    <w:rsid w:val="00007B87"/>
    <w:rsid w:val="0001087A"/>
    <w:rsid w:val="0001134D"/>
    <w:rsid w:val="000116C5"/>
    <w:rsid w:val="0001697F"/>
    <w:rsid w:val="00016C0A"/>
    <w:rsid w:val="000177E8"/>
    <w:rsid w:val="00024568"/>
    <w:rsid w:val="000247B2"/>
    <w:rsid w:val="00024C0B"/>
    <w:rsid w:val="00027DF9"/>
    <w:rsid w:val="00034020"/>
    <w:rsid w:val="0003695C"/>
    <w:rsid w:val="00036C82"/>
    <w:rsid w:val="000405BC"/>
    <w:rsid w:val="00042A7B"/>
    <w:rsid w:val="00043679"/>
    <w:rsid w:val="00044106"/>
    <w:rsid w:val="000443A1"/>
    <w:rsid w:val="00046BF2"/>
    <w:rsid w:val="0004720E"/>
    <w:rsid w:val="00050819"/>
    <w:rsid w:val="0005155C"/>
    <w:rsid w:val="00051BDC"/>
    <w:rsid w:val="00054979"/>
    <w:rsid w:val="000563C1"/>
    <w:rsid w:val="000615B2"/>
    <w:rsid w:val="00061852"/>
    <w:rsid w:val="00067186"/>
    <w:rsid w:val="00067D45"/>
    <w:rsid w:val="000703B7"/>
    <w:rsid w:val="0007612C"/>
    <w:rsid w:val="00082DF0"/>
    <w:rsid w:val="000835E2"/>
    <w:rsid w:val="00084E72"/>
    <w:rsid w:val="000869F6"/>
    <w:rsid w:val="000875CC"/>
    <w:rsid w:val="000907D4"/>
    <w:rsid w:val="00091B70"/>
    <w:rsid w:val="000926C6"/>
    <w:rsid w:val="00093220"/>
    <w:rsid w:val="0009589C"/>
    <w:rsid w:val="00095BB3"/>
    <w:rsid w:val="0009795A"/>
    <w:rsid w:val="000A0C61"/>
    <w:rsid w:val="000A376A"/>
    <w:rsid w:val="000A3A00"/>
    <w:rsid w:val="000A5579"/>
    <w:rsid w:val="000B06D1"/>
    <w:rsid w:val="000B099A"/>
    <w:rsid w:val="000B43BF"/>
    <w:rsid w:val="000B5354"/>
    <w:rsid w:val="000C08E2"/>
    <w:rsid w:val="000C0B37"/>
    <w:rsid w:val="000C0CE0"/>
    <w:rsid w:val="000C3033"/>
    <w:rsid w:val="000C50F2"/>
    <w:rsid w:val="000C548C"/>
    <w:rsid w:val="000C75E7"/>
    <w:rsid w:val="000D1308"/>
    <w:rsid w:val="000D2499"/>
    <w:rsid w:val="000D3A3F"/>
    <w:rsid w:val="000D4904"/>
    <w:rsid w:val="000D5CB1"/>
    <w:rsid w:val="000D5F97"/>
    <w:rsid w:val="000D660E"/>
    <w:rsid w:val="000F03C7"/>
    <w:rsid w:val="000F2B57"/>
    <w:rsid w:val="000F3291"/>
    <w:rsid w:val="000F432E"/>
    <w:rsid w:val="000F44C8"/>
    <w:rsid w:val="000F6D76"/>
    <w:rsid w:val="00105005"/>
    <w:rsid w:val="00107775"/>
    <w:rsid w:val="0011086A"/>
    <w:rsid w:val="0011284D"/>
    <w:rsid w:val="00115BB9"/>
    <w:rsid w:val="00121486"/>
    <w:rsid w:val="00122685"/>
    <w:rsid w:val="00123AA3"/>
    <w:rsid w:val="001248EE"/>
    <w:rsid w:val="001264D6"/>
    <w:rsid w:val="00126738"/>
    <w:rsid w:val="00126B8B"/>
    <w:rsid w:val="00126C29"/>
    <w:rsid w:val="0012713A"/>
    <w:rsid w:val="00127F39"/>
    <w:rsid w:val="00131778"/>
    <w:rsid w:val="00131B77"/>
    <w:rsid w:val="00132BA9"/>
    <w:rsid w:val="001342DD"/>
    <w:rsid w:val="001366DB"/>
    <w:rsid w:val="00136AA5"/>
    <w:rsid w:val="00136D8B"/>
    <w:rsid w:val="001378A7"/>
    <w:rsid w:val="00140B7C"/>
    <w:rsid w:val="00141C8B"/>
    <w:rsid w:val="001446F0"/>
    <w:rsid w:val="0014569F"/>
    <w:rsid w:val="001459D6"/>
    <w:rsid w:val="00147264"/>
    <w:rsid w:val="00147915"/>
    <w:rsid w:val="00147918"/>
    <w:rsid w:val="00151CC4"/>
    <w:rsid w:val="001529D3"/>
    <w:rsid w:val="001543C4"/>
    <w:rsid w:val="00155A3E"/>
    <w:rsid w:val="00162001"/>
    <w:rsid w:val="00162996"/>
    <w:rsid w:val="0016413D"/>
    <w:rsid w:val="00170B70"/>
    <w:rsid w:val="0017102C"/>
    <w:rsid w:val="001712DC"/>
    <w:rsid w:val="00172435"/>
    <w:rsid w:val="00173F09"/>
    <w:rsid w:val="00175178"/>
    <w:rsid w:val="00175743"/>
    <w:rsid w:val="00175931"/>
    <w:rsid w:val="00177D57"/>
    <w:rsid w:val="001805EA"/>
    <w:rsid w:val="001868D4"/>
    <w:rsid w:val="00186AE1"/>
    <w:rsid w:val="00190670"/>
    <w:rsid w:val="00190E7E"/>
    <w:rsid w:val="00191362"/>
    <w:rsid w:val="0019146E"/>
    <w:rsid w:val="00192D32"/>
    <w:rsid w:val="00195E9C"/>
    <w:rsid w:val="001A1D48"/>
    <w:rsid w:val="001A30DB"/>
    <w:rsid w:val="001A36A0"/>
    <w:rsid w:val="001A5986"/>
    <w:rsid w:val="001A6F78"/>
    <w:rsid w:val="001B0798"/>
    <w:rsid w:val="001B1154"/>
    <w:rsid w:val="001B2444"/>
    <w:rsid w:val="001B51B1"/>
    <w:rsid w:val="001B7D4F"/>
    <w:rsid w:val="001C1009"/>
    <w:rsid w:val="001C2FBC"/>
    <w:rsid w:val="001C36B3"/>
    <w:rsid w:val="001C3B75"/>
    <w:rsid w:val="001C7CF3"/>
    <w:rsid w:val="001D0090"/>
    <w:rsid w:val="001D22A2"/>
    <w:rsid w:val="001D3535"/>
    <w:rsid w:val="001D581F"/>
    <w:rsid w:val="001D6F63"/>
    <w:rsid w:val="001E0C6C"/>
    <w:rsid w:val="001E2E26"/>
    <w:rsid w:val="001E3014"/>
    <w:rsid w:val="001E38F4"/>
    <w:rsid w:val="001E574E"/>
    <w:rsid w:val="001E76B8"/>
    <w:rsid w:val="001E7F45"/>
    <w:rsid w:val="001F1827"/>
    <w:rsid w:val="001F4353"/>
    <w:rsid w:val="001F53B7"/>
    <w:rsid w:val="001F56B0"/>
    <w:rsid w:val="001F649E"/>
    <w:rsid w:val="00200EFA"/>
    <w:rsid w:val="00201A65"/>
    <w:rsid w:val="00205BD4"/>
    <w:rsid w:val="00210A1E"/>
    <w:rsid w:val="00212CC8"/>
    <w:rsid w:val="002132C6"/>
    <w:rsid w:val="002143C8"/>
    <w:rsid w:val="00215330"/>
    <w:rsid w:val="00217F49"/>
    <w:rsid w:val="00221094"/>
    <w:rsid w:val="00222757"/>
    <w:rsid w:val="00223640"/>
    <w:rsid w:val="00231A18"/>
    <w:rsid w:val="00233BDC"/>
    <w:rsid w:val="002343EE"/>
    <w:rsid w:val="00234591"/>
    <w:rsid w:val="002349A9"/>
    <w:rsid w:val="002368D8"/>
    <w:rsid w:val="0024195F"/>
    <w:rsid w:val="0024384C"/>
    <w:rsid w:val="00243FE0"/>
    <w:rsid w:val="00245530"/>
    <w:rsid w:val="00247C97"/>
    <w:rsid w:val="00250791"/>
    <w:rsid w:val="00251A2D"/>
    <w:rsid w:val="0025452F"/>
    <w:rsid w:val="00256694"/>
    <w:rsid w:val="00256813"/>
    <w:rsid w:val="002675DA"/>
    <w:rsid w:val="002677BF"/>
    <w:rsid w:val="0027109C"/>
    <w:rsid w:val="00271580"/>
    <w:rsid w:val="002721F7"/>
    <w:rsid w:val="002764B3"/>
    <w:rsid w:val="00277DEE"/>
    <w:rsid w:val="00281D5D"/>
    <w:rsid w:val="00282826"/>
    <w:rsid w:val="00282DDA"/>
    <w:rsid w:val="002830A7"/>
    <w:rsid w:val="002858F9"/>
    <w:rsid w:val="002864B6"/>
    <w:rsid w:val="00286B53"/>
    <w:rsid w:val="002912EC"/>
    <w:rsid w:val="00292A06"/>
    <w:rsid w:val="00295217"/>
    <w:rsid w:val="0029591A"/>
    <w:rsid w:val="002A065C"/>
    <w:rsid w:val="002A1297"/>
    <w:rsid w:val="002A2774"/>
    <w:rsid w:val="002A5442"/>
    <w:rsid w:val="002A5AC6"/>
    <w:rsid w:val="002B0886"/>
    <w:rsid w:val="002B0D50"/>
    <w:rsid w:val="002B103D"/>
    <w:rsid w:val="002B13D0"/>
    <w:rsid w:val="002B227B"/>
    <w:rsid w:val="002B3E73"/>
    <w:rsid w:val="002B63F1"/>
    <w:rsid w:val="002C0B16"/>
    <w:rsid w:val="002C4A48"/>
    <w:rsid w:val="002D5D7E"/>
    <w:rsid w:val="002D67F0"/>
    <w:rsid w:val="002D6861"/>
    <w:rsid w:val="002D6C83"/>
    <w:rsid w:val="002E085D"/>
    <w:rsid w:val="002E1F86"/>
    <w:rsid w:val="002E4736"/>
    <w:rsid w:val="002F068E"/>
    <w:rsid w:val="002F0B11"/>
    <w:rsid w:val="002F1B71"/>
    <w:rsid w:val="002F1FC4"/>
    <w:rsid w:val="002F20E9"/>
    <w:rsid w:val="002F42B3"/>
    <w:rsid w:val="002F4A83"/>
    <w:rsid w:val="002F55C4"/>
    <w:rsid w:val="002F7D3C"/>
    <w:rsid w:val="002F7FA2"/>
    <w:rsid w:val="00300281"/>
    <w:rsid w:val="00300492"/>
    <w:rsid w:val="0030058E"/>
    <w:rsid w:val="003016CD"/>
    <w:rsid w:val="00304DD1"/>
    <w:rsid w:val="00305109"/>
    <w:rsid w:val="0030666B"/>
    <w:rsid w:val="00311D68"/>
    <w:rsid w:val="003133F5"/>
    <w:rsid w:val="00313ABB"/>
    <w:rsid w:val="00314391"/>
    <w:rsid w:val="00316918"/>
    <w:rsid w:val="00317F7B"/>
    <w:rsid w:val="00322C59"/>
    <w:rsid w:val="00325D18"/>
    <w:rsid w:val="003304FB"/>
    <w:rsid w:val="00330CBD"/>
    <w:rsid w:val="00332121"/>
    <w:rsid w:val="00332C23"/>
    <w:rsid w:val="00333014"/>
    <w:rsid w:val="00334E70"/>
    <w:rsid w:val="00337426"/>
    <w:rsid w:val="0033749C"/>
    <w:rsid w:val="00343CA0"/>
    <w:rsid w:val="00344FD9"/>
    <w:rsid w:val="0034599D"/>
    <w:rsid w:val="00346114"/>
    <w:rsid w:val="00350990"/>
    <w:rsid w:val="00351CB5"/>
    <w:rsid w:val="00353E84"/>
    <w:rsid w:val="00356E2D"/>
    <w:rsid w:val="003601E2"/>
    <w:rsid w:val="0036194A"/>
    <w:rsid w:val="00362C2C"/>
    <w:rsid w:val="00365FDE"/>
    <w:rsid w:val="0037304F"/>
    <w:rsid w:val="00373F3A"/>
    <w:rsid w:val="00374065"/>
    <w:rsid w:val="0037443E"/>
    <w:rsid w:val="00374FEC"/>
    <w:rsid w:val="0037579D"/>
    <w:rsid w:val="00375DE5"/>
    <w:rsid w:val="00377465"/>
    <w:rsid w:val="00380F48"/>
    <w:rsid w:val="00381280"/>
    <w:rsid w:val="00381BA2"/>
    <w:rsid w:val="0038208A"/>
    <w:rsid w:val="00385869"/>
    <w:rsid w:val="003861A3"/>
    <w:rsid w:val="00390CD4"/>
    <w:rsid w:val="00392568"/>
    <w:rsid w:val="00392667"/>
    <w:rsid w:val="00396437"/>
    <w:rsid w:val="00397C81"/>
    <w:rsid w:val="003A0476"/>
    <w:rsid w:val="003A1223"/>
    <w:rsid w:val="003A13BC"/>
    <w:rsid w:val="003A4405"/>
    <w:rsid w:val="003A7BC4"/>
    <w:rsid w:val="003B01AE"/>
    <w:rsid w:val="003B4588"/>
    <w:rsid w:val="003B4EE9"/>
    <w:rsid w:val="003B6BA8"/>
    <w:rsid w:val="003B7D65"/>
    <w:rsid w:val="003C0B93"/>
    <w:rsid w:val="003C0C96"/>
    <w:rsid w:val="003C2B29"/>
    <w:rsid w:val="003C3438"/>
    <w:rsid w:val="003C49D7"/>
    <w:rsid w:val="003C5369"/>
    <w:rsid w:val="003C5972"/>
    <w:rsid w:val="003C69D4"/>
    <w:rsid w:val="003C7EA9"/>
    <w:rsid w:val="003D18CC"/>
    <w:rsid w:val="003D2E77"/>
    <w:rsid w:val="003D46B9"/>
    <w:rsid w:val="003D4B6C"/>
    <w:rsid w:val="003D6498"/>
    <w:rsid w:val="003D64A5"/>
    <w:rsid w:val="003D655B"/>
    <w:rsid w:val="003D6E51"/>
    <w:rsid w:val="003E1076"/>
    <w:rsid w:val="003E1E33"/>
    <w:rsid w:val="003E512A"/>
    <w:rsid w:val="003E5F55"/>
    <w:rsid w:val="003E5F95"/>
    <w:rsid w:val="003F0EDF"/>
    <w:rsid w:val="003F191B"/>
    <w:rsid w:val="003F273E"/>
    <w:rsid w:val="003F4264"/>
    <w:rsid w:val="003F5666"/>
    <w:rsid w:val="003F5A23"/>
    <w:rsid w:val="00402795"/>
    <w:rsid w:val="00404123"/>
    <w:rsid w:val="0040685C"/>
    <w:rsid w:val="004110A0"/>
    <w:rsid w:val="0041511A"/>
    <w:rsid w:val="00421D8B"/>
    <w:rsid w:val="0042224B"/>
    <w:rsid w:val="00422751"/>
    <w:rsid w:val="004229F7"/>
    <w:rsid w:val="0042530C"/>
    <w:rsid w:val="00427723"/>
    <w:rsid w:val="00432C35"/>
    <w:rsid w:val="004330C2"/>
    <w:rsid w:val="00433BF3"/>
    <w:rsid w:val="00433D33"/>
    <w:rsid w:val="004341D1"/>
    <w:rsid w:val="004344FE"/>
    <w:rsid w:val="004353CA"/>
    <w:rsid w:val="004379C7"/>
    <w:rsid w:val="00437E11"/>
    <w:rsid w:val="00442683"/>
    <w:rsid w:val="004452E8"/>
    <w:rsid w:val="004475DF"/>
    <w:rsid w:val="00447667"/>
    <w:rsid w:val="00451B75"/>
    <w:rsid w:val="00451C7D"/>
    <w:rsid w:val="00453627"/>
    <w:rsid w:val="00455B83"/>
    <w:rsid w:val="00455D67"/>
    <w:rsid w:val="00455F90"/>
    <w:rsid w:val="004572AD"/>
    <w:rsid w:val="00460AB1"/>
    <w:rsid w:val="004623FF"/>
    <w:rsid w:val="004641C1"/>
    <w:rsid w:val="004646FC"/>
    <w:rsid w:val="00465A5C"/>
    <w:rsid w:val="00466C2E"/>
    <w:rsid w:val="00466E21"/>
    <w:rsid w:val="00467919"/>
    <w:rsid w:val="00467D74"/>
    <w:rsid w:val="00474ABE"/>
    <w:rsid w:val="004775A0"/>
    <w:rsid w:val="00477C38"/>
    <w:rsid w:val="00480A3C"/>
    <w:rsid w:val="004852BF"/>
    <w:rsid w:val="00485C35"/>
    <w:rsid w:val="00486061"/>
    <w:rsid w:val="00486255"/>
    <w:rsid w:val="00486D87"/>
    <w:rsid w:val="00490A58"/>
    <w:rsid w:val="00493E17"/>
    <w:rsid w:val="004953A0"/>
    <w:rsid w:val="0049706C"/>
    <w:rsid w:val="004A0735"/>
    <w:rsid w:val="004A13BF"/>
    <w:rsid w:val="004A218F"/>
    <w:rsid w:val="004A2883"/>
    <w:rsid w:val="004A7092"/>
    <w:rsid w:val="004B2BE2"/>
    <w:rsid w:val="004B2EB3"/>
    <w:rsid w:val="004B2EB7"/>
    <w:rsid w:val="004B40F1"/>
    <w:rsid w:val="004B4636"/>
    <w:rsid w:val="004B4FF9"/>
    <w:rsid w:val="004C1C33"/>
    <w:rsid w:val="004C1F59"/>
    <w:rsid w:val="004C21C9"/>
    <w:rsid w:val="004C434F"/>
    <w:rsid w:val="004C4973"/>
    <w:rsid w:val="004C4B77"/>
    <w:rsid w:val="004D020C"/>
    <w:rsid w:val="004D147D"/>
    <w:rsid w:val="004D1EAF"/>
    <w:rsid w:val="004D32E0"/>
    <w:rsid w:val="004D452D"/>
    <w:rsid w:val="004D46F4"/>
    <w:rsid w:val="004D4CE0"/>
    <w:rsid w:val="004D6121"/>
    <w:rsid w:val="004D68C5"/>
    <w:rsid w:val="004E2342"/>
    <w:rsid w:val="004E44F6"/>
    <w:rsid w:val="004E7509"/>
    <w:rsid w:val="004F017D"/>
    <w:rsid w:val="004F119A"/>
    <w:rsid w:val="004F4901"/>
    <w:rsid w:val="004F6FC9"/>
    <w:rsid w:val="004F70E2"/>
    <w:rsid w:val="00500F44"/>
    <w:rsid w:val="00501711"/>
    <w:rsid w:val="005033D6"/>
    <w:rsid w:val="00503DBC"/>
    <w:rsid w:val="00504706"/>
    <w:rsid w:val="00504E0D"/>
    <w:rsid w:val="00507E57"/>
    <w:rsid w:val="00510583"/>
    <w:rsid w:val="0051078A"/>
    <w:rsid w:val="00512C23"/>
    <w:rsid w:val="00515A60"/>
    <w:rsid w:val="00516892"/>
    <w:rsid w:val="005206B6"/>
    <w:rsid w:val="0052185E"/>
    <w:rsid w:val="00522174"/>
    <w:rsid w:val="00525118"/>
    <w:rsid w:val="00526987"/>
    <w:rsid w:val="005309EB"/>
    <w:rsid w:val="00533709"/>
    <w:rsid w:val="005350C8"/>
    <w:rsid w:val="00535872"/>
    <w:rsid w:val="00536FD8"/>
    <w:rsid w:val="00542107"/>
    <w:rsid w:val="00542CDE"/>
    <w:rsid w:val="0054472F"/>
    <w:rsid w:val="005463E0"/>
    <w:rsid w:val="00550280"/>
    <w:rsid w:val="00551F5B"/>
    <w:rsid w:val="00554170"/>
    <w:rsid w:val="00554198"/>
    <w:rsid w:val="005544C4"/>
    <w:rsid w:val="0055622A"/>
    <w:rsid w:val="005615AC"/>
    <w:rsid w:val="00563732"/>
    <w:rsid w:val="005641E3"/>
    <w:rsid w:val="00567D77"/>
    <w:rsid w:val="0057190D"/>
    <w:rsid w:val="00577F8F"/>
    <w:rsid w:val="00580B78"/>
    <w:rsid w:val="005846B6"/>
    <w:rsid w:val="0058513A"/>
    <w:rsid w:val="00586107"/>
    <w:rsid w:val="005868E6"/>
    <w:rsid w:val="00586FFD"/>
    <w:rsid w:val="005916A4"/>
    <w:rsid w:val="005975AC"/>
    <w:rsid w:val="005A31A5"/>
    <w:rsid w:val="005A68BB"/>
    <w:rsid w:val="005B0862"/>
    <w:rsid w:val="005B49BA"/>
    <w:rsid w:val="005B68C1"/>
    <w:rsid w:val="005C0D59"/>
    <w:rsid w:val="005C309D"/>
    <w:rsid w:val="005C3885"/>
    <w:rsid w:val="005C3907"/>
    <w:rsid w:val="005C46E4"/>
    <w:rsid w:val="005C4947"/>
    <w:rsid w:val="005C686B"/>
    <w:rsid w:val="005C7AE6"/>
    <w:rsid w:val="005C7E07"/>
    <w:rsid w:val="005D0913"/>
    <w:rsid w:val="005D1E25"/>
    <w:rsid w:val="005D2725"/>
    <w:rsid w:val="005D418F"/>
    <w:rsid w:val="005D4C4F"/>
    <w:rsid w:val="005D7FC1"/>
    <w:rsid w:val="005E2EE3"/>
    <w:rsid w:val="005E5797"/>
    <w:rsid w:val="005E5E93"/>
    <w:rsid w:val="005E6D9F"/>
    <w:rsid w:val="005F1BD9"/>
    <w:rsid w:val="005F227A"/>
    <w:rsid w:val="005F49DA"/>
    <w:rsid w:val="005F755A"/>
    <w:rsid w:val="006023C0"/>
    <w:rsid w:val="006028CE"/>
    <w:rsid w:val="00602F97"/>
    <w:rsid w:val="006074BD"/>
    <w:rsid w:val="006113F4"/>
    <w:rsid w:val="00617219"/>
    <w:rsid w:val="00620BD4"/>
    <w:rsid w:val="0062239F"/>
    <w:rsid w:val="0062407A"/>
    <w:rsid w:val="00626673"/>
    <w:rsid w:val="00626CDA"/>
    <w:rsid w:val="006275C8"/>
    <w:rsid w:val="00627AD1"/>
    <w:rsid w:val="00630C06"/>
    <w:rsid w:val="006316F5"/>
    <w:rsid w:val="006351B8"/>
    <w:rsid w:val="00635FFD"/>
    <w:rsid w:val="0063694A"/>
    <w:rsid w:val="00636F22"/>
    <w:rsid w:val="00637460"/>
    <w:rsid w:val="006379D2"/>
    <w:rsid w:val="00640F9C"/>
    <w:rsid w:val="00641073"/>
    <w:rsid w:val="00641559"/>
    <w:rsid w:val="00641E02"/>
    <w:rsid w:val="00642F5C"/>
    <w:rsid w:val="0064337C"/>
    <w:rsid w:val="006453B7"/>
    <w:rsid w:val="006459F1"/>
    <w:rsid w:val="00646209"/>
    <w:rsid w:val="006500D4"/>
    <w:rsid w:val="00650309"/>
    <w:rsid w:val="00653530"/>
    <w:rsid w:val="00653F06"/>
    <w:rsid w:val="00654B2B"/>
    <w:rsid w:val="006551F7"/>
    <w:rsid w:val="00657F79"/>
    <w:rsid w:val="006600B6"/>
    <w:rsid w:val="0066148C"/>
    <w:rsid w:val="006621C0"/>
    <w:rsid w:val="00662576"/>
    <w:rsid w:val="0066577C"/>
    <w:rsid w:val="00666D56"/>
    <w:rsid w:val="00671AAE"/>
    <w:rsid w:val="0067351F"/>
    <w:rsid w:val="006737EF"/>
    <w:rsid w:val="00673C16"/>
    <w:rsid w:val="00674D69"/>
    <w:rsid w:val="006807B8"/>
    <w:rsid w:val="006820E8"/>
    <w:rsid w:val="0068791A"/>
    <w:rsid w:val="006941D5"/>
    <w:rsid w:val="00695CD4"/>
    <w:rsid w:val="006A0476"/>
    <w:rsid w:val="006A09C8"/>
    <w:rsid w:val="006A3D60"/>
    <w:rsid w:val="006A41A5"/>
    <w:rsid w:val="006A493F"/>
    <w:rsid w:val="006A706F"/>
    <w:rsid w:val="006B0301"/>
    <w:rsid w:val="006B0A8F"/>
    <w:rsid w:val="006B13DB"/>
    <w:rsid w:val="006B166A"/>
    <w:rsid w:val="006B2DAC"/>
    <w:rsid w:val="006B5957"/>
    <w:rsid w:val="006B5D7A"/>
    <w:rsid w:val="006B76F1"/>
    <w:rsid w:val="006B7AC9"/>
    <w:rsid w:val="006C0F17"/>
    <w:rsid w:val="006C1404"/>
    <w:rsid w:val="006C2977"/>
    <w:rsid w:val="006C66FF"/>
    <w:rsid w:val="006C79C3"/>
    <w:rsid w:val="006D1089"/>
    <w:rsid w:val="006D1AFE"/>
    <w:rsid w:val="006D28B8"/>
    <w:rsid w:val="006D3364"/>
    <w:rsid w:val="006D3AFD"/>
    <w:rsid w:val="006D4524"/>
    <w:rsid w:val="006D5204"/>
    <w:rsid w:val="006D5BB1"/>
    <w:rsid w:val="006E05D7"/>
    <w:rsid w:val="006E0AFA"/>
    <w:rsid w:val="006E0E1A"/>
    <w:rsid w:val="006E15A1"/>
    <w:rsid w:val="006E4574"/>
    <w:rsid w:val="006F0651"/>
    <w:rsid w:val="006F2554"/>
    <w:rsid w:val="006F356A"/>
    <w:rsid w:val="006F39BB"/>
    <w:rsid w:val="006F4011"/>
    <w:rsid w:val="006F6D5C"/>
    <w:rsid w:val="006F6FF2"/>
    <w:rsid w:val="00702292"/>
    <w:rsid w:val="007118EA"/>
    <w:rsid w:val="00712C74"/>
    <w:rsid w:val="0071357B"/>
    <w:rsid w:val="00717838"/>
    <w:rsid w:val="00720877"/>
    <w:rsid w:val="00721BAC"/>
    <w:rsid w:val="00727A99"/>
    <w:rsid w:val="00730105"/>
    <w:rsid w:val="00731AEA"/>
    <w:rsid w:val="007340F3"/>
    <w:rsid w:val="00734CD5"/>
    <w:rsid w:val="007352F4"/>
    <w:rsid w:val="00736558"/>
    <w:rsid w:val="00740358"/>
    <w:rsid w:val="00740A79"/>
    <w:rsid w:val="00741EF9"/>
    <w:rsid w:val="00742071"/>
    <w:rsid w:val="00742093"/>
    <w:rsid w:val="0074371A"/>
    <w:rsid w:val="007469C2"/>
    <w:rsid w:val="00750D02"/>
    <w:rsid w:val="007519B7"/>
    <w:rsid w:val="0076022A"/>
    <w:rsid w:val="007605E1"/>
    <w:rsid w:val="007607EB"/>
    <w:rsid w:val="00761ECC"/>
    <w:rsid w:val="00764583"/>
    <w:rsid w:val="007651E6"/>
    <w:rsid w:val="007667F1"/>
    <w:rsid w:val="007702DC"/>
    <w:rsid w:val="00770E58"/>
    <w:rsid w:val="0077112A"/>
    <w:rsid w:val="0077327D"/>
    <w:rsid w:val="007778AA"/>
    <w:rsid w:val="00783090"/>
    <w:rsid w:val="007845FA"/>
    <w:rsid w:val="0078476C"/>
    <w:rsid w:val="00785842"/>
    <w:rsid w:val="00785DF1"/>
    <w:rsid w:val="00794239"/>
    <w:rsid w:val="00795522"/>
    <w:rsid w:val="007A028B"/>
    <w:rsid w:val="007A0A6F"/>
    <w:rsid w:val="007A1DF1"/>
    <w:rsid w:val="007A2865"/>
    <w:rsid w:val="007A39C5"/>
    <w:rsid w:val="007A39CA"/>
    <w:rsid w:val="007A4012"/>
    <w:rsid w:val="007A45CB"/>
    <w:rsid w:val="007B309F"/>
    <w:rsid w:val="007B79D6"/>
    <w:rsid w:val="007C0BC3"/>
    <w:rsid w:val="007C10EC"/>
    <w:rsid w:val="007C36D6"/>
    <w:rsid w:val="007C41AA"/>
    <w:rsid w:val="007C4C09"/>
    <w:rsid w:val="007C5F60"/>
    <w:rsid w:val="007C7C9F"/>
    <w:rsid w:val="007C7E9A"/>
    <w:rsid w:val="007D0578"/>
    <w:rsid w:val="007D0C30"/>
    <w:rsid w:val="007D1CC4"/>
    <w:rsid w:val="007D2024"/>
    <w:rsid w:val="007D2661"/>
    <w:rsid w:val="007D29CA"/>
    <w:rsid w:val="007D2FE9"/>
    <w:rsid w:val="007D624C"/>
    <w:rsid w:val="007E0499"/>
    <w:rsid w:val="007E075C"/>
    <w:rsid w:val="007E1209"/>
    <w:rsid w:val="007E24B4"/>
    <w:rsid w:val="007E3E6B"/>
    <w:rsid w:val="007E4FCE"/>
    <w:rsid w:val="007E523A"/>
    <w:rsid w:val="007E6016"/>
    <w:rsid w:val="007E79D0"/>
    <w:rsid w:val="007F0BE1"/>
    <w:rsid w:val="007F1084"/>
    <w:rsid w:val="007F301F"/>
    <w:rsid w:val="007F7273"/>
    <w:rsid w:val="007F7385"/>
    <w:rsid w:val="007F762B"/>
    <w:rsid w:val="0080550C"/>
    <w:rsid w:val="00811186"/>
    <w:rsid w:val="00812768"/>
    <w:rsid w:val="00812D44"/>
    <w:rsid w:val="00812DCE"/>
    <w:rsid w:val="008138E9"/>
    <w:rsid w:val="008156D9"/>
    <w:rsid w:val="008159D1"/>
    <w:rsid w:val="0082093D"/>
    <w:rsid w:val="00822909"/>
    <w:rsid w:val="00822B8C"/>
    <w:rsid w:val="00825DAD"/>
    <w:rsid w:val="00832D91"/>
    <w:rsid w:val="00833D86"/>
    <w:rsid w:val="00835D2D"/>
    <w:rsid w:val="00837F28"/>
    <w:rsid w:val="008444E7"/>
    <w:rsid w:val="008477BA"/>
    <w:rsid w:val="0085742E"/>
    <w:rsid w:val="008576B5"/>
    <w:rsid w:val="0086161C"/>
    <w:rsid w:val="00862EAC"/>
    <w:rsid w:val="00863FE1"/>
    <w:rsid w:val="008641C6"/>
    <w:rsid w:val="00864EAE"/>
    <w:rsid w:val="00870168"/>
    <w:rsid w:val="00871627"/>
    <w:rsid w:val="00873550"/>
    <w:rsid w:val="00875680"/>
    <w:rsid w:val="00881271"/>
    <w:rsid w:val="0088145B"/>
    <w:rsid w:val="0088301E"/>
    <w:rsid w:val="008844AB"/>
    <w:rsid w:val="00887174"/>
    <w:rsid w:val="00892091"/>
    <w:rsid w:val="0089697F"/>
    <w:rsid w:val="008A10D6"/>
    <w:rsid w:val="008A1256"/>
    <w:rsid w:val="008A14C9"/>
    <w:rsid w:val="008A38C1"/>
    <w:rsid w:val="008A398E"/>
    <w:rsid w:val="008A5630"/>
    <w:rsid w:val="008A5DBF"/>
    <w:rsid w:val="008A5FE6"/>
    <w:rsid w:val="008A6D4C"/>
    <w:rsid w:val="008B0514"/>
    <w:rsid w:val="008B0984"/>
    <w:rsid w:val="008B51F2"/>
    <w:rsid w:val="008C00F7"/>
    <w:rsid w:val="008C1339"/>
    <w:rsid w:val="008C1F6F"/>
    <w:rsid w:val="008C2267"/>
    <w:rsid w:val="008C3228"/>
    <w:rsid w:val="008C58C4"/>
    <w:rsid w:val="008C7C0C"/>
    <w:rsid w:val="008D1099"/>
    <w:rsid w:val="008D4D4B"/>
    <w:rsid w:val="008D51F4"/>
    <w:rsid w:val="008D5DEF"/>
    <w:rsid w:val="008E1149"/>
    <w:rsid w:val="008E14C6"/>
    <w:rsid w:val="008E39E3"/>
    <w:rsid w:val="008E3BAF"/>
    <w:rsid w:val="008E4A30"/>
    <w:rsid w:val="008E4CA7"/>
    <w:rsid w:val="008E4FC3"/>
    <w:rsid w:val="008E6A48"/>
    <w:rsid w:val="008F2895"/>
    <w:rsid w:val="008F49E4"/>
    <w:rsid w:val="008F65B0"/>
    <w:rsid w:val="008F7A6B"/>
    <w:rsid w:val="008F7F0C"/>
    <w:rsid w:val="009024F2"/>
    <w:rsid w:val="00902544"/>
    <w:rsid w:val="00902B69"/>
    <w:rsid w:val="009035B5"/>
    <w:rsid w:val="00904209"/>
    <w:rsid w:val="009061CD"/>
    <w:rsid w:val="009076C5"/>
    <w:rsid w:val="00910901"/>
    <w:rsid w:val="00910AE6"/>
    <w:rsid w:val="009143C3"/>
    <w:rsid w:val="00915ACF"/>
    <w:rsid w:val="00915B46"/>
    <w:rsid w:val="0091730D"/>
    <w:rsid w:val="00925855"/>
    <w:rsid w:val="009262EA"/>
    <w:rsid w:val="00932743"/>
    <w:rsid w:val="00933633"/>
    <w:rsid w:val="00937A83"/>
    <w:rsid w:val="00937F47"/>
    <w:rsid w:val="00940473"/>
    <w:rsid w:val="0094052D"/>
    <w:rsid w:val="00940541"/>
    <w:rsid w:val="00941682"/>
    <w:rsid w:val="009422E0"/>
    <w:rsid w:val="00944742"/>
    <w:rsid w:val="00945736"/>
    <w:rsid w:val="00950EC3"/>
    <w:rsid w:val="00951227"/>
    <w:rsid w:val="00951C95"/>
    <w:rsid w:val="0095212C"/>
    <w:rsid w:val="00961C94"/>
    <w:rsid w:val="00970D0D"/>
    <w:rsid w:val="0097348B"/>
    <w:rsid w:val="0097420A"/>
    <w:rsid w:val="00974DE3"/>
    <w:rsid w:val="00974E31"/>
    <w:rsid w:val="00982C2A"/>
    <w:rsid w:val="009903F1"/>
    <w:rsid w:val="009918A6"/>
    <w:rsid w:val="0099375D"/>
    <w:rsid w:val="009939B8"/>
    <w:rsid w:val="0099505D"/>
    <w:rsid w:val="00997B1A"/>
    <w:rsid w:val="009A63FE"/>
    <w:rsid w:val="009A687E"/>
    <w:rsid w:val="009B041A"/>
    <w:rsid w:val="009B1152"/>
    <w:rsid w:val="009B1731"/>
    <w:rsid w:val="009B258B"/>
    <w:rsid w:val="009B2C38"/>
    <w:rsid w:val="009B428C"/>
    <w:rsid w:val="009B7BC2"/>
    <w:rsid w:val="009C0A57"/>
    <w:rsid w:val="009C1046"/>
    <w:rsid w:val="009C23B2"/>
    <w:rsid w:val="009C293E"/>
    <w:rsid w:val="009C2EB6"/>
    <w:rsid w:val="009C33B2"/>
    <w:rsid w:val="009C3C58"/>
    <w:rsid w:val="009C41BA"/>
    <w:rsid w:val="009C57FD"/>
    <w:rsid w:val="009D00C6"/>
    <w:rsid w:val="009D320B"/>
    <w:rsid w:val="009D34FF"/>
    <w:rsid w:val="009D6983"/>
    <w:rsid w:val="009E0925"/>
    <w:rsid w:val="009E217A"/>
    <w:rsid w:val="009E3D44"/>
    <w:rsid w:val="009F0223"/>
    <w:rsid w:val="00A027F7"/>
    <w:rsid w:val="00A02B21"/>
    <w:rsid w:val="00A052DB"/>
    <w:rsid w:val="00A0539C"/>
    <w:rsid w:val="00A0594D"/>
    <w:rsid w:val="00A05DB2"/>
    <w:rsid w:val="00A07C6F"/>
    <w:rsid w:val="00A11254"/>
    <w:rsid w:val="00A12E7F"/>
    <w:rsid w:val="00A142B0"/>
    <w:rsid w:val="00A16844"/>
    <w:rsid w:val="00A20FE9"/>
    <w:rsid w:val="00A21BA7"/>
    <w:rsid w:val="00A2246C"/>
    <w:rsid w:val="00A22C3A"/>
    <w:rsid w:val="00A24566"/>
    <w:rsid w:val="00A264A2"/>
    <w:rsid w:val="00A27368"/>
    <w:rsid w:val="00A27EF0"/>
    <w:rsid w:val="00A301BB"/>
    <w:rsid w:val="00A30E29"/>
    <w:rsid w:val="00A33222"/>
    <w:rsid w:val="00A42932"/>
    <w:rsid w:val="00A44C2F"/>
    <w:rsid w:val="00A45402"/>
    <w:rsid w:val="00A46D8A"/>
    <w:rsid w:val="00A47676"/>
    <w:rsid w:val="00A477BC"/>
    <w:rsid w:val="00A50961"/>
    <w:rsid w:val="00A539F8"/>
    <w:rsid w:val="00A56587"/>
    <w:rsid w:val="00A57756"/>
    <w:rsid w:val="00A612A5"/>
    <w:rsid w:val="00A6176A"/>
    <w:rsid w:val="00A6211E"/>
    <w:rsid w:val="00A63DCC"/>
    <w:rsid w:val="00A64B40"/>
    <w:rsid w:val="00A67F1A"/>
    <w:rsid w:val="00A70456"/>
    <w:rsid w:val="00A71BF1"/>
    <w:rsid w:val="00A724AC"/>
    <w:rsid w:val="00A737CB"/>
    <w:rsid w:val="00A73C18"/>
    <w:rsid w:val="00A76316"/>
    <w:rsid w:val="00A7720E"/>
    <w:rsid w:val="00A80198"/>
    <w:rsid w:val="00A802C4"/>
    <w:rsid w:val="00A8131A"/>
    <w:rsid w:val="00A84766"/>
    <w:rsid w:val="00A84934"/>
    <w:rsid w:val="00A86ADE"/>
    <w:rsid w:val="00A90A2B"/>
    <w:rsid w:val="00A91849"/>
    <w:rsid w:val="00A93846"/>
    <w:rsid w:val="00AA5B2C"/>
    <w:rsid w:val="00AA67A7"/>
    <w:rsid w:val="00AA6D49"/>
    <w:rsid w:val="00AB6D28"/>
    <w:rsid w:val="00AB6DC6"/>
    <w:rsid w:val="00AB7E64"/>
    <w:rsid w:val="00AC0337"/>
    <w:rsid w:val="00AC0EBB"/>
    <w:rsid w:val="00AC1C6F"/>
    <w:rsid w:val="00AC7B8C"/>
    <w:rsid w:val="00AC7C08"/>
    <w:rsid w:val="00AD3E25"/>
    <w:rsid w:val="00AD50D5"/>
    <w:rsid w:val="00AD50F3"/>
    <w:rsid w:val="00AD55F8"/>
    <w:rsid w:val="00AD63C5"/>
    <w:rsid w:val="00AD65AD"/>
    <w:rsid w:val="00AD73E4"/>
    <w:rsid w:val="00AE0D97"/>
    <w:rsid w:val="00AE0F9F"/>
    <w:rsid w:val="00AE111C"/>
    <w:rsid w:val="00AE13F7"/>
    <w:rsid w:val="00AE264B"/>
    <w:rsid w:val="00AE32AA"/>
    <w:rsid w:val="00AE6381"/>
    <w:rsid w:val="00AE6AB6"/>
    <w:rsid w:val="00AE7549"/>
    <w:rsid w:val="00AF4DC0"/>
    <w:rsid w:val="00B031AA"/>
    <w:rsid w:val="00B03868"/>
    <w:rsid w:val="00B03DE2"/>
    <w:rsid w:val="00B0625B"/>
    <w:rsid w:val="00B07D02"/>
    <w:rsid w:val="00B11A68"/>
    <w:rsid w:val="00B12B6E"/>
    <w:rsid w:val="00B13E72"/>
    <w:rsid w:val="00B164D5"/>
    <w:rsid w:val="00B21D11"/>
    <w:rsid w:val="00B2263B"/>
    <w:rsid w:val="00B2464B"/>
    <w:rsid w:val="00B2524D"/>
    <w:rsid w:val="00B314AA"/>
    <w:rsid w:val="00B331B5"/>
    <w:rsid w:val="00B37C6C"/>
    <w:rsid w:val="00B41B3B"/>
    <w:rsid w:val="00B450FF"/>
    <w:rsid w:val="00B461EF"/>
    <w:rsid w:val="00B51832"/>
    <w:rsid w:val="00B5222A"/>
    <w:rsid w:val="00B57186"/>
    <w:rsid w:val="00B579E1"/>
    <w:rsid w:val="00B60FFC"/>
    <w:rsid w:val="00B62FAB"/>
    <w:rsid w:val="00B6327E"/>
    <w:rsid w:val="00B64725"/>
    <w:rsid w:val="00B72E09"/>
    <w:rsid w:val="00B743DC"/>
    <w:rsid w:val="00B747F0"/>
    <w:rsid w:val="00B75841"/>
    <w:rsid w:val="00B77816"/>
    <w:rsid w:val="00B83D55"/>
    <w:rsid w:val="00B84837"/>
    <w:rsid w:val="00B9073E"/>
    <w:rsid w:val="00B925FF"/>
    <w:rsid w:val="00B92A38"/>
    <w:rsid w:val="00B936F1"/>
    <w:rsid w:val="00B97C6A"/>
    <w:rsid w:val="00BA0645"/>
    <w:rsid w:val="00BA17DB"/>
    <w:rsid w:val="00BA45F7"/>
    <w:rsid w:val="00BA5EEE"/>
    <w:rsid w:val="00BA67BF"/>
    <w:rsid w:val="00BB3DA3"/>
    <w:rsid w:val="00BC3A71"/>
    <w:rsid w:val="00BD350D"/>
    <w:rsid w:val="00BD4D6D"/>
    <w:rsid w:val="00BE40B5"/>
    <w:rsid w:val="00BF1E73"/>
    <w:rsid w:val="00BF5941"/>
    <w:rsid w:val="00BF6DF3"/>
    <w:rsid w:val="00C0097D"/>
    <w:rsid w:val="00C025E9"/>
    <w:rsid w:val="00C03D33"/>
    <w:rsid w:val="00C03FC5"/>
    <w:rsid w:val="00C1088B"/>
    <w:rsid w:val="00C1737A"/>
    <w:rsid w:val="00C175B4"/>
    <w:rsid w:val="00C210EA"/>
    <w:rsid w:val="00C2305D"/>
    <w:rsid w:val="00C24249"/>
    <w:rsid w:val="00C25CFA"/>
    <w:rsid w:val="00C31143"/>
    <w:rsid w:val="00C32798"/>
    <w:rsid w:val="00C327A9"/>
    <w:rsid w:val="00C32D66"/>
    <w:rsid w:val="00C33F48"/>
    <w:rsid w:val="00C35AFD"/>
    <w:rsid w:val="00C36A94"/>
    <w:rsid w:val="00C427C4"/>
    <w:rsid w:val="00C44354"/>
    <w:rsid w:val="00C457DC"/>
    <w:rsid w:val="00C5216E"/>
    <w:rsid w:val="00C5249B"/>
    <w:rsid w:val="00C54E2E"/>
    <w:rsid w:val="00C56B22"/>
    <w:rsid w:val="00C57608"/>
    <w:rsid w:val="00C603B6"/>
    <w:rsid w:val="00C61BF0"/>
    <w:rsid w:val="00C64F50"/>
    <w:rsid w:val="00C661A8"/>
    <w:rsid w:val="00C72F35"/>
    <w:rsid w:val="00C73383"/>
    <w:rsid w:val="00C7375E"/>
    <w:rsid w:val="00C739AE"/>
    <w:rsid w:val="00C741F6"/>
    <w:rsid w:val="00C74494"/>
    <w:rsid w:val="00C74DE5"/>
    <w:rsid w:val="00C751F1"/>
    <w:rsid w:val="00C7549E"/>
    <w:rsid w:val="00C7572D"/>
    <w:rsid w:val="00C75EF0"/>
    <w:rsid w:val="00C77F4B"/>
    <w:rsid w:val="00C804B6"/>
    <w:rsid w:val="00C818EF"/>
    <w:rsid w:val="00C82872"/>
    <w:rsid w:val="00C83097"/>
    <w:rsid w:val="00C841BB"/>
    <w:rsid w:val="00C875D7"/>
    <w:rsid w:val="00C9016F"/>
    <w:rsid w:val="00C92C91"/>
    <w:rsid w:val="00C943AA"/>
    <w:rsid w:val="00CA3F43"/>
    <w:rsid w:val="00CA4717"/>
    <w:rsid w:val="00CB0149"/>
    <w:rsid w:val="00CB2098"/>
    <w:rsid w:val="00CB506D"/>
    <w:rsid w:val="00CB59F6"/>
    <w:rsid w:val="00CC3E65"/>
    <w:rsid w:val="00CC4219"/>
    <w:rsid w:val="00CC7CCC"/>
    <w:rsid w:val="00CD2459"/>
    <w:rsid w:val="00CD3956"/>
    <w:rsid w:val="00CD59B6"/>
    <w:rsid w:val="00CD6976"/>
    <w:rsid w:val="00CE41B3"/>
    <w:rsid w:val="00CE7084"/>
    <w:rsid w:val="00CF0006"/>
    <w:rsid w:val="00CF0D07"/>
    <w:rsid w:val="00CF1BE5"/>
    <w:rsid w:val="00CF26DB"/>
    <w:rsid w:val="00CF2E90"/>
    <w:rsid w:val="00D07A6E"/>
    <w:rsid w:val="00D11AA7"/>
    <w:rsid w:val="00D13637"/>
    <w:rsid w:val="00D147FC"/>
    <w:rsid w:val="00D2107E"/>
    <w:rsid w:val="00D2554A"/>
    <w:rsid w:val="00D25BEF"/>
    <w:rsid w:val="00D2743B"/>
    <w:rsid w:val="00D31005"/>
    <w:rsid w:val="00D3166E"/>
    <w:rsid w:val="00D35790"/>
    <w:rsid w:val="00D36D80"/>
    <w:rsid w:val="00D411CB"/>
    <w:rsid w:val="00D431C4"/>
    <w:rsid w:val="00D439FF"/>
    <w:rsid w:val="00D46901"/>
    <w:rsid w:val="00D50C48"/>
    <w:rsid w:val="00D52055"/>
    <w:rsid w:val="00D550AC"/>
    <w:rsid w:val="00D5697D"/>
    <w:rsid w:val="00D56ACC"/>
    <w:rsid w:val="00D57717"/>
    <w:rsid w:val="00D60D06"/>
    <w:rsid w:val="00D62812"/>
    <w:rsid w:val="00D63C4C"/>
    <w:rsid w:val="00D64D78"/>
    <w:rsid w:val="00D65815"/>
    <w:rsid w:val="00D66263"/>
    <w:rsid w:val="00D67B43"/>
    <w:rsid w:val="00D7029C"/>
    <w:rsid w:val="00D7049C"/>
    <w:rsid w:val="00D70673"/>
    <w:rsid w:val="00D70B4A"/>
    <w:rsid w:val="00D70D24"/>
    <w:rsid w:val="00D72969"/>
    <w:rsid w:val="00D736D2"/>
    <w:rsid w:val="00D7444A"/>
    <w:rsid w:val="00D773EC"/>
    <w:rsid w:val="00D814FC"/>
    <w:rsid w:val="00D94BE2"/>
    <w:rsid w:val="00D966AD"/>
    <w:rsid w:val="00D9693F"/>
    <w:rsid w:val="00D9698D"/>
    <w:rsid w:val="00DA05ED"/>
    <w:rsid w:val="00DA5393"/>
    <w:rsid w:val="00DA5C29"/>
    <w:rsid w:val="00DA5ECE"/>
    <w:rsid w:val="00DA6E29"/>
    <w:rsid w:val="00DB1B2D"/>
    <w:rsid w:val="00DB347D"/>
    <w:rsid w:val="00DB3E82"/>
    <w:rsid w:val="00DC4436"/>
    <w:rsid w:val="00DC562E"/>
    <w:rsid w:val="00DC6393"/>
    <w:rsid w:val="00DD0E0F"/>
    <w:rsid w:val="00DD0F4D"/>
    <w:rsid w:val="00DD120A"/>
    <w:rsid w:val="00DE000E"/>
    <w:rsid w:val="00DE27AA"/>
    <w:rsid w:val="00DE295D"/>
    <w:rsid w:val="00DE3425"/>
    <w:rsid w:val="00DE5EE9"/>
    <w:rsid w:val="00DF0C36"/>
    <w:rsid w:val="00DF13E3"/>
    <w:rsid w:val="00DF1C7D"/>
    <w:rsid w:val="00DF2878"/>
    <w:rsid w:val="00E0016A"/>
    <w:rsid w:val="00E002B1"/>
    <w:rsid w:val="00E0190A"/>
    <w:rsid w:val="00E01FFB"/>
    <w:rsid w:val="00E038B2"/>
    <w:rsid w:val="00E03B7E"/>
    <w:rsid w:val="00E0583B"/>
    <w:rsid w:val="00E07231"/>
    <w:rsid w:val="00E0733E"/>
    <w:rsid w:val="00E075FE"/>
    <w:rsid w:val="00E1007F"/>
    <w:rsid w:val="00E10081"/>
    <w:rsid w:val="00E109DC"/>
    <w:rsid w:val="00E113F1"/>
    <w:rsid w:val="00E11A3D"/>
    <w:rsid w:val="00E128AE"/>
    <w:rsid w:val="00E15F5F"/>
    <w:rsid w:val="00E1756F"/>
    <w:rsid w:val="00E2111B"/>
    <w:rsid w:val="00E22975"/>
    <w:rsid w:val="00E22F48"/>
    <w:rsid w:val="00E236F6"/>
    <w:rsid w:val="00E23BB1"/>
    <w:rsid w:val="00E2593A"/>
    <w:rsid w:val="00E319F5"/>
    <w:rsid w:val="00E32177"/>
    <w:rsid w:val="00E34DF6"/>
    <w:rsid w:val="00E375ED"/>
    <w:rsid w:val="00E43C73"/>
    <w:rsid w:val="00E44766"/>
    <w:rsid w:val="00E472CE"/>
    <w:rsid w:val="00E47EBB"/>
    <w:rsid w:val="00E524ED"/>
    <w:rsid w:val="00E567B3"/>
    <w:rsid w:val="00E56951"/>
    <w:rsid w:val="00E56C99"/>
    <w:rsid w:val="00E5709D"/>
    <w:rsid w:val="00E57D7F"/>
    <w:rsid w:val="00E62CBA"/>
    <w:rsid w:val="00E6597E"/>
    <w:rsid w:val="00E66A1F"/>
    <w:rsid w:val="00E70415"/>
    <w:rsid w:val="00E70992"/>
    <w:rsid w:val="00E72778"/>
    <w:rsid w:val="00E74942"/>
    <w:rsid w:val="00E768B4"/>
    <w:rsid w:val="00E76F49"/>
    <w:rsid w:val="00E77689"/>
    <w:rsid w:val="00E77F18"/>
    <w:rsid w:val="00E80F56"/>
    <w:rsid w:val="00E81C16"/>
    <w:rsid w:val="00E82538"/>
    <w:rsid w:val="00E8413F"/>
    <w:rsid w:val="00E848C6"/>
    <w:rsid w:val="00E90DD9"/>
    <w:rsid w:val="00E9171C"/>
    <w:rsid w:val="00E933B6"/>
    <w:rsid w:val="00E94CB1"/>
    <w:rsid w:val="00E96760"/>
    <w:rsid w:val="00E974A1"/>
    <w:rsid w:val="00EA083D"/>
    <w:rsid w:val="00EA0C63"/>
    <w:rsid w:val="00EA270B"/>
    <w:rsid w:val="00EA37AB"/>
    <w:rsid w:val="00EA52D6"/>
    <w:rsid w:val="00EA5D0F"/>
    <w:rsid w:val="00EA5D9B"/>
    <w:rsid w:val="00EA64E8"/>
    <w:rsid w:val="00EA6CEA"/>
    <w:rsid w:val="00EA7933"/>
    <w:rsid w:val="00EB26F8"/>
    <w:rsid w:val="00EB2BD5"/>
    <w:rsid w:val="00EB3B2B"/>
    <w:rsid w:val="00EB409E"/>
    <w:rsid w:val="00EB6C07"/>
    <w:rsid w:val="00EB7B77"/>
    <w:rsid w:val="00EC1A75"/>
    <w:rsid w:val="00EC2184"/>
    <w:rsid w:val="00EC5C4E"/>
    <w:rsid w:val="00ED0025"/>
    <w:rsid w:val="00ED1930"/>
    <w:rsid w:val="00ED3A52"/>
    <w:rsid w:val="00ED76D3"/>
    <w:rsid w:val="00EE1B45"/>
    <w:rsid w:val="00EE1D10"/>
    <w:rsid w:val="00EE3313"/>
    <w:rsid w:val="00EE5A6E"/>
    <w:rsid w:val="00EF0C84"/>
    <w:rsid w:val="00EF79B7"/>
    <w:rsid w:val="00EF7FAE"/>
    <w:rsid w:val="00F01868"/>
    <w:rsid w:val="00F03D1A"/>
    <w:rsid w:val="00F06FE2"/>
    <w:rsid w:val="00F07B62"/>
    <w:rsid w:val="00F1063C"/>
    <w:rsid w:val="00F11CF4"/>
    <w:rsid w:val="00F1280D"/>
    <w:rsid w:val="00F13A32"/>
    <w:rsid w:val="00F155CD"/>
    <w:rsid w:val="00F15D7D"/>
    <w:rsid w:val="00F20816"/>
    <w:rsid w:val="00F21AA0"/>
    <w:rsid w:val="00F226E4"/>
    <w:rsid w:val="00F237F7"/>
    <w:rsid w:val="00F242D8"/>
    <w:rsid w:val="00F249BF"/>
    <w:rsid w:val="00F2734A"/>
    <w:rsid w:val="00F27C6C"/>
    <w:rsid w:val="00F31715"/>
    <w:rsid w:val="00F322F6"/>
    <w:rsid w:val="00F35BCB"/>
    <w:rsid w:val="00F361F9"/>
    <w:rsid w:val="00F3695F"/>
    <w:rsid w:val="00F378AD"/>
    <w:rsid w:val="00F42A50"/>
    <w:rsid w:val="00F432F2"/>
    <w:rsid w:val="00F4330B"/>
    <w:rsid w:val="00F43419"/>
    <w:rsid w:val="00F43ED9"/>
    <w:rsid w:val="00F45CEF"/>
    <w:rsid w:val="00F45E11"/>
    <w:rsid w:val="00F46084"/>
    <w:rsid w:val="00F47D86"/>
    <w:rsid w:val="00F50414"/>
    <w:rsid w:val="00F51635"/>
    <w:rsid w:val="00F55A5C"/>
    <w:rsid w:val="00F55C42"/>
    <w:rsid w:val="00F564B4"/>
    <w:rsid w:val="00F63724"/>
    <w:rsid w:val="00F64C3E"/>
    <w:rsid w:val="00F6539A"/>
    <w:rsid w:val="00F66DCB"/>
    <w:rsid w:val="00F703FA"/>
    <w:rsid w:val="00F715BD"/>
    <w:rsid w:val="00F7368F"/>
    <w:rsid w:val="00F74141"/>
    <w:rsid w:val="00F742E4"/>
    <w:rsid w:val="00F744A6"/>
    <w:rsid w:val="00F748A8"/>
    <w:rsid w:val="00F777E1"/>
    <w:rsid w:val="00F811C7"/>
    <w:rsid w:val="00F81BE4"/>
    <w:rsid w:val="00F8444C"/>
    <w:rsid w:val="00F84FA1"/>
    <w:rsid w:val="00F856AE"/>
    <w:rsid w:val="00F91386"/>
    <w:rsid w:val="00F919F4"/>
    <w:rsid w:val="00F926DD"/>
    <w:rsid w:val="00F9295B"/>
    <w:rsid w:val="00F95ABB"/>
    <w:rsid w:val="00F9678D"/>
    <w:rsid w:val="00F96E96"/>
    <w:rsid w:val="00FA312B"/>
    <w:rsid w:val="00FA489B"/>
    <w:rsid w:val="00FA6C9A"/>
    <w:rsid w:val="00FA70C9"/>
    <w:rsid w:val="00FB1191"/>
    <w:rsid w:val="00FB18C1"/>
    <w:rsid w:val="00FB24DF"/>
    <w:rsid w:val="00FB43FE"/>
    <w:rsid w:val="00FB6AB2"/>
    <w:rsid w:val="00FC0A4A"/>
    <w:rsid w:val="00FC48FE"/>
    <w:rsid w:val="00FC650E"/>
    <w:rsid w:val="00FD0172"/>
    <w:rsid w:val="00FD128C"/>
    <w:rsid w:val="00FD24BE"/>
    <w:rsid w:val="00FD29E5"/>
    <w:rsid w:val="00FD6830"/>
    <w:rsid w:val="00FD7AAA"/>
    <w:rsid w:val="00FE176E"/>
    <w:rsid w:val="00FE470D"/>
    <w:rsid w:val="00FE579C"/>
    <w:rsid w:val="00FE7BD0"/>
    <w:rsid w:val="00FF37BF"/>
    <w:rsid w:val="00FF6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BBEEE85-C660-42C0-B31C-C763BB28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CDA"/>
  </w:style>
  <w:style w:type="paragraph" w:styleId="Heading1">
    <w:name w:val="heading 1"/>
    <w:basedOn w:val="Normal"/>
    <w:next w:val="Normal"/>
    <w:qFormat/>
    <w:pPr>
      <w:keepNext/>
      <w:spacing w:line="240" w:lineRule="atLeast"/>
      <w:jc w:val="right"/>
      <w:outlineLvl w:val="0"/>
    </w:pPr>
    <w:rPr>
      <w:b/>
      <w:snapToGrid w:val="0"/>
      <w:color w:val="000000"/>
      <w:sz w:val="16"/>
    </w:rPr>
  </w:style>
  <w:style w:type="paragraph" w:styleId="Heading2">
    <w:name w:val="heading 2"/>
    <w:basedOn w:val="Normal"/>
    <w:next w:val="Normal"/>
    <w:qFormat/>
    <w:pPr>
      <w:keepNext/>
      <w:outlineLvl w:val="1"/>
    </w:pPr>
    <w:rPr>
      <w:b/>
      <w:sz w:val="24"/>
    </w:rPr>
  </w:style>
  <w:style w:type="paragraph" w:styleId="Heading4">
    <w:name w:val="heading 4"/>
    <w:basedOn w:val="Normal"/>
    <w:next w:val="Normal"/>
    <w:qFormat/>
    <w:rsid w:val="003A440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240" w:lineRule="atLeast"/>
    </w:pPr>
    <w:rPr>
      <w:rFonts w:ascii="Tms Rmn" w:hAnsi="Tms Rmn"/>
      <w:snapToGrid w:val="0"/>
      <w:color w:val="000000"/>
      <w:sz w:val="24"/>
      <w:lang w:eastAsia="en-US"/>
    </w:rPr>
  </w:style>
  <w:style w:type="paragraph" w:styleId="BodyText">
    <w:name w:val="Body Text"/>
    <w:basedOn w:val="Normal"/>
    <w:rPr>
      <w:sz w:val="24"/>
    </w:rPr>
  </w:style>
  <w:style w:type="paragraph" w:styleId="NormalWeb">
    <w:name w:val="Normal (Web)"/>
    <w:basedOn w:val="Normal"/>
    <w:rsid w:val="003A4405"/>
    <w:rPr>
      <w:sz w:val="17"/>
      <w:szCs w:val="17"/>
    </w:rPr>
  </w:style>
  <w:style w:type="paragraph" w:styleId="Header">
    <w:name w:val="header"/>
    <w:basedOn w:val="Normal"/>
    <w:link w:val="HeaderChar"/>
    <w:uiPriority w:val="99"/>
    <w:rsid w:val="009E0925"/>
    <w:pPr>
      <w:tabs>
        <w:tab w:val="center" w:pos="4153"/>
        <w:tab w:val="right" w:pos="8306"/>
      </w:tabs>
    </w:pPr>
  </w:style>
  <w:style w:type="paragraph" w:styleId="Footer">
    <w:name w:val="footer"/>
    <w:basedOn w:val="Normal"/>
    <w:link w:val="FooterChar"/>
    <w:uiPriority w:val="99"/>
    <w:rsid w:val="009E0925"/>
    <w:pPr>
      <w:tabs>
        <w:tab w:val="center" w:pos="4153"/>
        <w:tab w:val="right" w:pos="8306"/>
      </w:tabs>
    </w:pPr>
  </w:style>
  <w:style w:type="paragraph" w:styleId="BalloonText">
    <w:name w:val="Balloon Text"/>
    <w:basedOn w:val="Normal"/>
    <w:semiHidden/>
    <w:rsid w:val="00887174"/>
    <w:rPr>
      <w:rFonts w:ascii="Tahoma" w:hAnsi="Tahoma" w:cs="Tahoma"/>
      <w:sz w:val="16"/>
      <w:szCs w:val="16"/>
    </w:rPr>
  </w:style>
  <w:style w:type="paragraph" w:styleId="FootnoteText">
    <w:name w:val="footnote text"/>
    <w:basedOn w:val="Normal"/>
    <w:semiHidden/>
    <w:rsid w:val="00486D87"/>
  </w:style>
  <w:style w:type="character" w:styleId="FootnoteReference">
    <w:name w:val="footnote reference"/>
    <w:semiHidden/>
    <w:rsid w:val="00486D87"/>
    <w:rPr>
      <w:vertAlign w:val="superscript"/>
    </w:rPr>
  </w:style>
  <w:style w:type="character" w:styleId="FollowedHyperlink">
    <w:name w:val="FollowedHyperlink"/>
    <w:rsid w:val="00C7572D"/>
    <w:rPr>
      <w:color w:val="800080"/>
      <w:u w:val="single"/>
    </w:rPr>
  </w:style>
  <w:style w:type="character" w:customStyle="1" w:styleId="FooterChar">
    <w:name w:val="Footer Char"/>
    <w:basedOn w:val="DefaultParagraphFont"/>
    <w:link w:val="Footer"/>
    <w:uiPriority w:val="99"/>
    <w:rsid w:val="00504E0D"/>
  </w:style>
  <w:style w:type="paragraph" w:customStyle="1" w:styleId="Default">
    <w:name w:val="Default"/>
    <w:rsid w:val="008B0984"/>
    <w:pPr>
      <w:autoSpaceDE w:val="0"/>
      <w:autoSpaceDN w:val="0"/>
      <w:adjustRightInd w:val="0"/>
    </w:pPr>
    <w:rPr>
      <w:color w:val="000000"/>
      <w:sz w:val="24"/>
      <w:szCs w:val="24"/>
    </w:rPr>
  </w:style>
  <w:style w:type="character" w:styleId="Strong">
    <w:name w:val="Strong"/>
    <w:uiPriority w:val="22"/>
    <w:qFormat/>
    <w:rsid w:val="00F322F6"/>
    <w:rPr>
      <w:b/>
      <w:bCs/>
    </w:rPr>
  </w:style>
  <w:style w:type="character" w:styleId="Hyperlink">
    <w:name w:val="Hyperlink"/>
    <w:rsid w:val="005206B6"/>
    <w:rPr>
      <w:color w:val="0000FF"/>
      <w:u w:val="single"/>
    </w:rPr>
  </w:style>
  <w:style w:type="paragraph" w:styleId="ListParagraph">
    <w:name w:val="List Paragraph"/>
    <w:basedOn w:val="Normal"/>
    <w:uiPriority w:val="34"/>
    <w:qFormat/>
    <w:rsid w:val="00374065"/>
    <w:pPr>
      <w:ind w:left="720"/>
    </w:pPr>
  </w:style>
  <w:style w:type="paragraph" w:styleId="Revision">
    <w:name w:val="Revision"/>
    <w:hidden/>
    <w:uiPriority w:val="99"/>
    <w:semiHidden/>
    <w:rsid w:val="001D6F63"/>
  </w:style>
  <w:style w:type="character" w:styleId="CommentReference">
    <w:name w:val="annotation reference"/>
    <w:rsid w:val="00316918"/>
    <w:rPr>
      <w:sz w:val="16"/>
      <w:szCs w:val="16"/>
    </w:rPr>
  </w:style>
  <w:style w:type="paragraph" w:styleId="CommentText">
    <w:name w:val="annotation text"/>
    <w:basedOn w:val="Normal"/>
    <w:link w:val="CommentTextChar"/>
    <w:rsid w:val="00316918"/>
  </w:style>
  <w:style w:type="character" w:customStyle="1" w:styleId="CommentTextChar">
    <w:name w:val="Comment Text Char"/>
    <w:basedOn w:val="DefaultParagraphFont"/>
    <w:link w:val="CommentText"/>
    <w:rsid w:val="00316918"/>
  </w:style>
  <w:style w:type="paragraph" w:styleId="CommentSubject">
    <w:name w:val="annotation subject"/>
    <w:basedOn w:val="CommentText"/>
    <w:next w:val="CommentText"/>
    <w:link w:val="CommentSubjectChar"/>
    <w:rsid w:val="00316918"/>
    <w:rPr>
      <w:b/>
      <w:bCs/>
    </w:rPr>
  </w:style>
  <w:style w:type="character" w:customStyle="1" w:styleId="CommentSubjectChar">
    <w:name w:val="Comment Subject Char"/>
    <w:link w:val="CommentSubject"/>
    <w:rsid w:val="00316918"/>
    <w:rPr>
      <w:b/>
      <w:bCs/>
    </w:rPr>
  </w:style>
  <w:style w:type="table" w:styleId="TableGrid">
    <w:name w:val="Table Grid"/>
    <w:basedOn w:val="TableNormal"/>
    <w:uiPriority w:val="59"/>
    <w:rsid w:val="008A10D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490A58"/>
  </w:style>
  <w:style w:type="paragraph" w:customStyle="1" w:styleId="s39">
    <w:name w:val="s39"/>
    <w:basedOn w:val="Normal"/>
    <w:rsid w:val="00A802C4"/>
    <w:pPr>
      <w:spacing w:before="100" w:beforeAutospacing="1" w:after="100" w:afterAutospacing="1"/>
    </w:pPr>
    <w:rPr>
      <w:rFonts w:ascii="Calibri" w:eastAsia="Calibri" w:hAnsi="Calibri" w:cs="Calibri"/>
      <w:sz w:val="22"/>
      <w:szCs w:val="22"/>
      <w:lang w:eastAsia="en-US"/>
    </w:rPr>
  </w:style>
  <w:style w:type="paragraph" w:customStyle="1" w:styleId="s40">
    <w:name w:val="s40"/>
    <w:basedOn w:val="Normal"/>
    <w:rsid w:val="00A802C4"/>
    <w:pPr>
      <w:spacing w:before="100" w:beforeAutospacing="1" w:after="100" w:afterAutospacing="1"/>
    </w:pPr>
    <w:rPr>
      <w:rFonts w:ascii="Calibri" w:eastAsia="Calibri" w:hAnsi="Calibri" w:cs="Calibri"/>
      <w:sz w:val="22"/>
      <w:szCs w:val="22"/>
      <w:lang w:eastAsia="en-US"/>
    </w:rPr>
  </w:style>
  <w:style w:type="paragraph" w:customStyle="1" w:styleId="s41">
    <w:name w:val="s41"/>
    <w:basedOn w:val="Normal"/>
    <w:rsid w:val="00A802C4"/>
    <w:pPr>
      <w:spacing w:before="100" w:beforeAutospacing="1" w:after="100" w:afterAutospacing="1"/>
    </w:pPr>
    <w:rPr>
      <w:rFonts w:ascii="Calibri" w:eastAsia="Calibri" w:hAnsi="Calibri" w:cs="Calibri"/>
      <w:sz w:val="22"/>
      <w:szCs w:val="22"/>
      <w:lang w:eastAsia="en-US"/>
    </w:rPr>
  </w:style>
  <w:style w:type="character" w:customStyle="1" w:styleId="s38">
    <w:name w:val="s38"/>
    <w:rsid w:val="00A802C4"/>
  </w:style>
  <w:style w:type="character" w:customStyle="1" w:styleId="s11">
    <w:name w:val="s11"/>
    <w:rsid w:val="00A80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617">
      <w:bodyDiv w:val="1"/>
      <w:marLeft w:val="0"/>
      <w:marRight w:val="0"/>
      <w:marTop w:val="0"/>
      <w:marBottom w:val="0"/>
      <w:divBdr>
        <w:top w:val="none" w:sz="0" w:space="0" w:color="auto"/>
        <w:left w:val="none" w:sz="0" w:space="0" w:color="auto"/>
        <w:bottom w:val="none" w:sz="0" w:space="0" w:color="auto"/>
        <w:right w:val="none" w:sz="0" w:space="0" w:color="auto"/>
      </w:divBdr>
    </w:div>
    <w:div w:id="267543807">
      <w:bodyDiv w:val="1"/>
      <w:marLeft w:val="0"/>
      <w:marRight w:val="0"/>
      <w:marTop w:val="0"/>
      <w:marBottom w:val="0"/>
      <w:divBdr>
        <w:top w:val="none" w:sz="0" w:space="0" w:color="auto"/>
        <w:left w:val="none" w:sz="0" w:space="0" w:color="auto"/>
        <w:bottom w:val="none" w:sz="0" w:space="0" w:color="auto"/>
        <w:right w:val="none" w:sz="0" w:space="0" w:color="auto"/>
      </w:divBdr>
    </w:div>
    <w:div w:id="484930714">
      <w:bodyDiv w:val="1"/>
      <w:marLeft w:val="0"/>
      <w:marRight w:val="0"/>
      <w:marTop w:val="0"/>
      <w:marBottom w:val="0"/>
      <w:divBdr>
        <w:top w:val="none" w:sz="0" w:space="0" w:color="auto"/>
        <w:left w:val="none" w:sz="0" w:space="0" w:color="auto"/>
        <w:bottom w:val="none" w:sz="0" w:space="0" w:color="auto"/>
        <w:right w:val="none" w:sz="0" w:space="0" w:color="auto"/>
      </w:divBdr>
      <w:divsChild>
        <w:div w:id="417334181">
          <w:marLeft w:val="0"/>
          <w:marRight w:val="0"/>
          <w:marTop w:val="0"/>
          <w:marBottom w:val="0"/>
          <w:divBdr>
            <w:top w:val="none" w:sz="0" w:space="0" w:color="auto"/>
            <w:left w:val="none" w:sz="0" w:space="0" w:color="auto"/>
            <w:bottom w:val="none" w:sz="0" w:space="0" w:color="auto"/>
            <w:right w:val="none" w:sz="0" w:space="0" w:color="auto"/>
          </w:divBdr>
        </w:div>
        <w:div w:id="841704626">
          <w:marLeft w:val="0"/>
          <w:marRight w:val="0"/>
          <w:marTop w:val="0"/>
          <w:marBottom w:val="0"/>
          <w:divBdr>
            <w:top w:val="none" w:sz="0" w:space="0" w:color="auto"/>
            <w:left w:val="none" w:sz="0" w:space="0" w:color="auto"/>
            <w:bottom w:val="none" w:sz="0" w:space="0" w:color="auto"/>
            <w:right w:val="none" w:sz="0" w:space="0" w:color="auto"/>
          </w:divBdr>
        </w:div>
        <w:div w:id="1414008967">
          <w:marLeft w:val="0"/>
          <w:marRight w:val="0"/>
          <w:marTop w:val="0"/>
          <w:marBottom w:val="0"/>
          <w:divBdr>
            <w:top w:val="none" w:sz="0" w:space="0" w:color="auto"/>
            <w:left w:val="none" w:sz="0" w:space="0" w:color="auto"/>
            <w:bottom w:val="none" w:sz="0" w:space="0" w:color="auto"/>
            <w:right w:val="none" w:sz="0" w:space="0" w:color="auto"/>
          </w:divBdr>
        </w:div>
      </w:divsChild>
    </w:div>
    <w:div w:id="621612293">
      <w:bodyDiv w:val="1"/>
      <w:marLeft w:val="0"/>
      <w:marRight w:val="0"/>
      <w:marTop w:val="0"/>
      <w:marBottom w:val="0"/>
      <w:divBdr>
        <w:top w:val="none" w:sz="0" w:space="0" w:color="auto"/>
        <w:left w:val="none" w:sz="0" w:space="0" w:color="auto"/>
        <w:bottom w:val="none" w:sz="0" w:space="0" w:color="auto"/>
        <w:right w:val="none" w:sz="0" w:space="0" w:color="auto"/>
      </w:divBdr>
      <w:divsChild>
        <w:div w:id="1311593102">
          <w:marLeft w:val="0"/>
          <w:marRight w:val="0"/>
          <w:marTop w:val="0"/>
          <w:marBottom w:val="0"/>
          <w:divBdr>
            <w:top w:val="none" w:sz="0" w:space="0" w:color="auto"/>
            <w:left w:val="none" w:sz="0" w:space="0" w:color="auto"/>
            <w:bottom w:val="none" w:sz="0" w:space="0" w:color="auto"/>
            <w:right w:val="none" w:sz="0" w:space="0" w:color="auto"/>
          </w:divBdr>
          <w:divsChild>
            <w:div w:id="1766808361">
              <w:marLeft w:val="0"/>
              <w:marRight w:val="0"/>
              <w:marTop w:val="0"/>
              <w:marBottom w:val="0"/>
              <w:divBdr>
                <w:top w:val="none" w:sz="0" w:space="0" w:color="auto"/>
                <w:left w:val="none" w:sz="0" w:space="0" w:color="auto"/>
                <w:bottom w:val="none" w:sz="0" w:space="0" w:color="auto"/>
                <w:right w:val="none" w:sz="0" w:space="0" w:color="auto"/>
              </w:divBdr>
              <w:divsChild>
                <w:div w:id="975453811">
                  <w:marLeft w:val="0"/>
                  <w:marRight w:val="0"/>
                  <w:marTop w:val="0"/>
                  <w:marBottom w:val="0"/>
                  <w:divBdr>
                    <w:top w:val="none" w:sz="0" w:space="0" w:color="auto"/>
                    <w:left w:val="none" w:sz="0" w:space="0" w:color="auto"/>
                    <w:bottom w:val="none" w:sz="0" w:space="0" w:color="auto"/>
                    <w:right w:val="none" w:sz="0" w:space="0" w:color="auto"/>
                  </w:divBdr>
                  <w:divsChild>
                    <w:div w:id="899246376">
                      <w:marLeft w:val="1575"/>
                      <w:marRight w:val="0"/>
                      <w:marTop w:val="0"/>
                      <w:marBottom w:val="150"/>
                      <w:divBdr>
                        <w:top w:val="none" w:sz="0" w:space="0" w:color="auto"/>
                        <w:left w:val="none" w:sz="0" w:space="0" w:color="auto"/>
                        <w:bottom w:val="none" w:sz="0" w:space="0" w:color="auto"/>
                        <w:right w:val="none" w:sz="0" w:space="0" w:color="auto"/>
                      </w:divBdr>
                      <w:divsChild>
                        <w:div w:id="1137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16017">
      <w:bodyDiv w:val="1"/>
      <w:marLeft w:val="0"/>
      <w:marRight w:val="0"/>
      <w:marTop w:val="0"/>
      <w:marBottom w:val="0"/>
      <w:divBdr>
        <w:top w:val="none" w:sz="0" w:space="0" w:color="auto"/>
        <w:left w:val="none" w:sz="0" w:space="0" w:color="auto"/>
        <w:bottom w:val="none" w:sz="0" w:space="0" w:color="auto"/>
        <w:right w:val="none" w:sz="0" w:space="0" w:color="auto"/>
      </w:divBdr>
    </w:div>
    <w:div w:id="733284851">
      <w:bodyDiv w:val="1"/>
      <w:marLeft w:val="0"/>
      <w:marRight w:val="0"/>
      <w:marTop w:val="0"/>
      <w:marBottom w:val="0"/>
      <w:divBdr>
        <w:top w:val="none" w:sz="0" w:space="0" w:color="auto"/>
        <w:left w:val="none" w:sz="0" w:space="0" w:color="auto"/>
        <w:bottom w:val="none" w:sz="0" w:space="0" w:color="auto"/>
        <w:right w:val="none" w:sz="0" w:space="0" w:color="auto"/>
      </w:divBdr>
      <w:divsChild>
        <w:div w:id="356663235">
          <w:marLeft w:val="0"/>
          <w:marRight w:val="0"/>
          <w:marTop w:val="0"/>
          <w:marBottom w:val="0"/>
          <w:divBdr>
            <w:top w:val="none" w:sz="0" w:space="0" w:color="auto"/>
            <w:left w:val="none" w:sz="0" w:space="0" w:color="auto"/>
            <w:bottom w:val="none" w:sz="0" w:space="0" w:color="auto"/>
            <w:right w:val="none" w:sz="0" w:space="0" w:color="auto"/>
          </w:divBdr>
          <w:divsChild>
            <w:div w:id="581066586">
              <w:marLeft w:val="0"/>
              <w:marRight w:val="0"/>
              <w:marTop w:val="0"/>
              <w:marBottom w:val="0"/>
              <w:divBdr>
                <w:top w:val="none" w:sz="0" w:space="0" w:color="auto"/>
                <w:left w:val="none" w:sz="0" w:space="0" w:color="auto"/>
                <w:bottom w:val="none" w:sz="0" w:space="0" w:color="auto"/>
                <w:right w:val="none" w:sz="0" w:space="0" w:color="auto"/>
              </w:divBdr>
              <w:divsChild>
                <w:div w:id="959536142">
                  <w:marLeft w:val="0"/>
                  <w:marRight w:val="0"/>
                  <w:marTop w:val="0"/>
                  <w:marBottom w:val="0"/>
                  <w:divBdr>
                    <w:top w:val="none" w:sz="0" w:space="0" w:color="auto"/>
                    <w:left w:val="none" w:sz="0" w:space="0" w:color="auto"/>
                    <w:bottom w:val="none" w:sz="0" w:space="0" w:color="auto"/>
                    <w:right w:val="none" w:sz="0" w:space="0" w:color="auto"/>
                  </w:divBdr>
                  <w:divsChild>
                    <w:div w:id="2026710640">
                      <w:marLeft w:val="1575"/>
                      <w:marRight w:val="0"/>
                      <w:marTop w:val="0"/>
                      <w:marBottom w:val="150"/>
                      <w:divBdr>
                        <w:top w:val="none" w:sz="0" w:space="0" w:color="auto"/>
                        <w:left w:val="none" w:sz="0" w:space="0" w:color="auto"/>
                        <w:bottom w:val="none" w:sz="0" w:space="0" w:color="auto"/>
                        <w:right w:val="none" w:sz="0" w:space="0" w:color="auto"/>
                      </w:divBdr>
                      <w:divsChild>
                        <w:div w:id="1658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6001">
      <w:bodyDiv w:val="1"/>
      <w:marLeft w:val="0"/>
      <w:marRight w:val="0"/>
      <w:marTop w:val="0"/>
      <w:marBottom w:val="0"/>
      <w:divBdr>
        <w:top w:val="none" w:sz="0" w:space="0" w:color="auto"/>
        <w:left w:val="none" w:sz="0" w:space="0" w:color="auto"/>
        <w:bottom w:val="none" w:sz="0" w:space="0" w:color="auto"/>
        <w:right w:val="none" w:sz="0" w:space="0" w:color="auto"/>
      </w:divBdr>
    </w:div>
    <w:div w:id="1113940588">
      <w:bodyDiv w:val="1"/>
      <w:marLeft w:val="0"/>
      <w:marRight w:val="0"/>
      <w:marTop w:val="0"/>
      <w:marBottom w:val="0"/>
      <w:divBdr>
        <w:top w:val="none" w:sz="0" w:space="0" w:color="auto"/>
        <w:left w:val="none" w:sz="0" w:space="0" w:color="auto"/>
        <w:bottom w:val="none" w:sz="0" w:space="0" w:color="auto"/>
        <w:right w:val="none" w:sz="0" w:space="0" w:color="auto"/>
      </w:divBdr>
    </w:div>
    <w:div w:id="1244144768">
      <w:bodyDiv w:val="1"/>
      <w:marLeft w:val="0"/>
      <w:marRight w:val="0"/>
      <w:marTop w:val="0"/>
      <w:marBottom w:val="0"/>
      <w:divBdr>
        <w:top w:val="none" w:sz="0" w:space="0" w:color="auto"/>
        <w:left w:val="none" w:sz="0" w:space="0" w:color="auto"/>
        <w:bottom w:val="none" w:sz="0" w:space="0" w:color="auto"/>
        <w:right w:val="none" w:sz="0" w:space="0" w:color="auto"/>
      </w:divBdr>
    </w:div>
    <w:div w:id="1382360475">
      <w:bodyDiv w:val="1"/>
      <w:marLeft w:val="0"/>
      <w:marRight w:val="0"/>
      <w:marTop w:val="0"/>
      <w:marBottom w:val="0"/>
      <w:divBdr>
        <w:top w:val="none" w:sz="0" w:space="0" w:color="auto"/>
        <w:left w:val="none" w:sz="0" w:space="0" w:color="auto"/>
        <w:bottom w:val="none" w:sz="0" w:space="0" w:color="auto"/>
        <w:right w:val="none" w:sz="0" w:space="0" w:color="auto"/>
      </w:divBdr>
    </w:div>
    <w:div w:id="1444030411">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843354337">
      <w:bodyDiv w:val="1"/>
      <w:marLeft w:val="0"/>
      <w:marRight w:val="0"/>
      <w:marTop w:val="0"/>
      <w:marBottom w:val="0"/>
      <w:divBdr>
        <w:top w:val="none" w:sz="0" w:space="0" w:color="auto"/>
        <w:left w:val="none" w:sz="0" w:space="0" w:color="auto"/>
        <w:bottom w:val="none" w:sz="0" w:space="0" w:color="auto"/>
        <w:right w:val="none" w:sz="0" w:space="0" w:color="auto"/>
      </w:divBdr>
    </w:div>
    <w:div w:id="1903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escoplc.com/inves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13C7B-C556-4C60-B839-545476DB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Draft: 16/01/06</vt:lpstr>
    </vt:vector>
  </TitlesOfParts>
  <Company>Tesco Stores Ltd</Company>
  <LinksUpToDate>false</LinksUpToDate>
  <CharactersWithSpaces>13557</CharactersWithSpaces>
  <SharedDoc>false</SharedDoc>
  <HLinks>
    <vt:vector size="6" baseType="variant">
      <vt:variant>
        <vt:i4>4980808</vt:i4>
      </vt:variant>
      <vt:variant>
        <vt:i4>0</vt:i4>
      </vt:variant>
      <vt:variant>
        <vt:i4>0</vt:i4>
      </vt:variant>
      <vt:variant>
        <vt:i4>5</vt:i4>
      </vt:variant>
      <vt:variant>
        <vt:lpwstr>http://www.tescoplc.com/investors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16/01/06</dc:title>
  <dc:creator>* Unknown *</dc:creator>
  <cp:lastModifiedBy>Jennifer Robertson</cp:lastModifiedBy>
  <cp:revision>2</cp:revision>
  <cp:lastPrinted>2015-01-07T19:01:00Z</cp:lastPrinted>
  <dcterms:created xsi:type="dcterms:W3CDTF">2015-01-28T09:22:00Z</dcterms:created>
  <dcterms:modified xsi:type="dcterms:W3CDTF">2015-01-28T09:22:00Z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