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511E" w:rsidRDefault="00212D74" w:rsidP="0057511E">
      <w:pPr>
        <w:pStyle w:val="StyleSection-heading12ptCustomColorRGB04369Centered"/>
        <w:spacing w:line="280" w:lineRule="exact"/>
        <w:jc w:val="center"/>
        <w:outlineLvl w:val="0"/>
        <w:rPr>
          <w:rFonts w:ascii="Calibri" w:hAnsi="Calibri" w:cs="Calibri"/>
          <w:sz w:val="26"/>
          <w:szCs w:val="26"/>
          <w:lang w:val="en-US"/>
        </w:rPr>
      </w:pPr>
      <w:bookmarkStart w:id="0" w:name="_GoBack"/>
      <w:bookmarkEnd w:id="0"/>
      <w:r w:rsidRPr="000C4A1C">
        <w:rPr>
          <w:rFonts w:ascii="Calibri" w:hAnsi="Calibri" w:cs="Calibri"/>
          <w:noProof/>
          <w:sz w:val="26"/>
          <w:szCs w:val="26"/>
          <w:lang w:eastAsia="en-GB"/>
        </w:rPr>
        <w:drawing>
          <wp:anchor distT="0" distB="0" distL="114300" distR="114300" simplePos="0" relativeHeight="251659264" behindDoc="0" locked="0" layoutInCell="1" allowOverlap="1">
            <wp:simplePos x="0" y="0"/>
            <wp:positionH relativeFrom="column">
              <wp:posOffset>-716168</wp:posOffset>
            </wp:positionH>
            <wp:positionV relativeFrom="paragraph">
              <wp:posOffset>-574040</wp:posOffset>
            </wp:positionV>
            <wp:extent cx="7582535" cy="10740390"/>
            <wp:effectExtent l="0" t="0" r="0" b="0"/>
            <wp:wrapNone/>
            <wp:docPr id="2" name="Picture 0" descr="FY Cov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Y Cover.jpg"/>
                    <pic:cNvPicPr/>
                  </pic:nvPicPr>
                  <pic:blipFill>
                    <a:blip r:embed="rId8" cstate="print"/>
                    <a:stretch>
                      <a:fillRect/>
                    </a:stretch>
                  </pic:blipFill>
                  <pic:spPr>
                    <a:xfrm>
                      <a:off x="0" y="0"/>
                      <a:ext cx="7582535" cy="10740390"/>
                    </a:xfrm>
                    <a:prstGeom prst="rect">
                      <a:avLst/>
                    </a:prstGeom>
                  </pic:spPr>
                </pic:pic>
              </a:graphicData>
            </a:graphic>
          </wp:anchor>
        </w:drawing>
      </w:r>
    </w:p>
    <w:p w:rsidR="0057511E" w:rsidRDefault="0057511E">
      <w:pPr>
        <w:spacing w:line="240" w:lineRule="auto"/>
        <w:jc w:val="left"/>
        <w:rPr>
          <w:rFonts w:ascii="Calibri" w:hAnsi="Calibri" w:cs="Calibri"/>
          <w:color w:val="002B45"/>
          <w:sz w:val="26"/>
          <w:szCs w:val="26"/>
          <w:lang w:val="en-US"/>
        </w:rPr>
      </w:pPr>
      <w:r>
        <w:rPr>
          <w:rFonts w:ascii="Calibri" w:hAnsi="Calibri" w:cs="Calibri"/>
          <w:sz w:val="26"/>
          <w:szCs w:val="26"/>
          <w:lang w:val="en-US"/>
        </w:rPr>
        <w:br w:type="page"/>
      </w:r>
    </w:p>
    <w:p w:rsidR="00212D74" w:rsidRPr="00177782" w:rsidRDefault="00212D74" w:rsidP="00744AF7">
      <w:pPr>
        <w:spacing w:before="120" w:afterLines="60" w:after="144" w:line="240" w:lineRule="auto"/>
        <w:jc w:val="center"/>
        <w:rPr>
          <w:rFonts w:ascii="Calibri" w:hAnsi="Calibri" w:cs="Calibri"/>
          <w:b/>
          <w:bCs/>
          <w:color w:val="00305C"/>
          <w:kern w:val="36"/>
          <w:sz w:val="32"/>
        </w:rPr>
      </w:pPr>
      <w:r w:rsidRPr="00177782">
        <w:rPr>
          <w:rFonts w:ascii="Calibri" w:hAnsi="Calibri" w:cs="Calibri"/>
          <w:b/>
          <w:bCs/>
          <w:color w:val="00305C"/>
          <w:kern w:val="36"/>
          <w:sz w:val="32"/>
        </w:rPr>
        <w:t xml:space="preserve">Tullow Oil plc – </w:t>
      </w:r>
      <w:r w:rsidR="006B4FE1">
        <w:rPr>
          <w:rFonts w:ascii="Calibri" w:hAnsi="Calibri" w:cs="Calibri"/>
          <w:b/>
          <w:bCs/>
          <w:color w:val="00305C"/>
          <w:kern w:val="36"/>
          <w:sz w:val="32"/>
        </w:rPr>
        <w:t>2013 Full Year Results</w:t>
      </w:r>
    </w:p>
    <w:p w:rsidR="000037E0" w:rsidRPr="00212D74" w:rsidRDefault="00B24AE8" w:rsidP="006571B5">
      <w:pPr>
        <w:spacing w:after="40" w:line="240" w:lineRule="auto"/>
        <w:jc w:val="center"/>
        <w:rPr>
          <w:rFonts w:ascii="Calibri" w:hAnsi="Calibri" w:cs="Calibri"/>
          <w:b/>
          <w:bCs/>
          <w:color w:val="00305C"/>
          <w:kern w:val="36"/>
          <w:sz w:val="24"/>
        </w:rPr>
      </w:pPr>
      <w:r w:rsidRPr="000A60D4">
        <w:rPr>
          <w:rFonts w:ascii="Calibri" w:hAnsi="Calibri" w:cs="Calibri"/>
          <w:b/>
          <w:bCs/>
          <w:color w:val="00305C"/>
          <w:kern w:val="36"/>
          <w:sz w:val="24"/>
        </w:rPr>
        <w:t>22</w:t>
      </w:r>
      <w:r w:rsidR="001808A9">
        <w:rPr>
          <w:rFonts w:ascii="Calibri" w:hAnsi="Calibri" w:cs="Calibri"/>
          <w:b/>
          <w:bCs/>
          <w:color w:val="00305C"/>
          <w:kern w:val="36"/>
          <w:sz w:val="24"/>
        </w:rPr>
        <w:t>2</w:t>
      </w:r>
      <w:r w:rsidRPr="000A60D4">
        <w:rPr>
          <w:rFonts w:ascii="Calibri" w:hAnsi="Calibri" w:cs="Calibri"/>
          <w:b/>
          <w:bCs/>
          <w:color w:val="00305C"/>
          <w:kern w:val="36"/>
          <w:sz w:val="24"/>
        </w:rPr>
        <w:t xml:space="preserve"> mmboe</w:t>
      </w:r>
      <w:r w:rsidR="000037E0" w:rsidRPr="000A60D4">
        <w:rPr>
          <w:rFonts w:ascii="Calibri" w:hAnsi="Calibri" w:cs="Calibri"/>
          <w:b/>
          <w:bCs/>
          <w:color w:val="00305C"/>
          <w:kern w:val="36"/>
          <w:sz w:val="24"/>
        </w:rPr>
        <w:t xml:space="preserve"> of</w:t>
      </w:r>
      <w:r w:rsidR="000037E0" w:rsidRPr="00212D74">
        <w:rPr>
          <w:rFonts w:ascii="Calibri" w:hAnsi="Calibri" w:cs="Calibri"/>
          <w:b/>
          <w:bCs/>
          <w:color w:val="00305C"/>
          <w:kern w:val="36"/>
          <w:sz w:val="24"/>
        </w:rPr>
        <w:t xml:space="preserve"> Contingent Resources added through successful exploration</w:t>
      </w:r>
      <w:r w:rsidR="00F81319">
        <w:rPr>
          <w:rFonts w:ascii="Calibri" w:hAnsi="Calibri" w:cs="Calibri"/>
          <w:b/>
          <w:bCs/>
          <w:color w:val="00305C"/>
          <w:kern w:val="36"/>
          <w:sz w:val="24"/>
        </w:rPr>
        <w:t xml:space="preserve"> and appraisal</w:t>
      </w:r>
    </w:p>
    <w:p w:rsidR="000037E0" w:rsidRPr="00212D74" w:rsidRDefault="000037E0" w:rsidP="006571B5">
      <w:pPr>
        <w:spacing w:after="40" w:line="240" w:lineRule="auto"/>
        <w:jc w:val="center"/>
        <w:rPr>
          <w:rFonts w:ascii="Calibri" w:hAnsi="Calibri" w:cs="Calibri"/>
          <w:b/>
          <w:bCs/>
          <w:color w:val="00305C"/>
          <w:kern w:val="36"/>
          <w:sz w:val="24"/>
        </w:rPr>
      </w:pPr>
      <w:r w:rsidRPr="00212D74">
        <w:rPr>
          <w:rFonts w:ascii="Calibri" w:hAnsi="Calibri" w:cs="Calibri"/>
          <w:b/>
          <w:bCs/>
          <w:color w:val="00305C"/>
          <w:kern w:val="36"/>
          <w:sz w:val="24"/>
        </w:rPr>
        <w:t xml:space="preserve">Revenue, gross profit and cash flow </w:t>
      </w:r>
      <w:r w:rsidR="005434CD">
        <w:rPr>
          <w:rFonts w:ascii="Calibri" w:hAnsi="Calibri" w:cs="Calibri"/>
          <w:b/>
          <w:bCs/>
          <w:color w:val="00305C"/>
          <w:kern w:val="36"/>
          <w:sz w:val="24"/>
        </w:rPr>
        <w:t>increase</w:t>
      </w:r>
      <w:r w:rsidRPr="00212D74">
        <w:rPr>
          <w:rFonts w:ascii="Calibri" w:hAnsi="Calibri" w:cs="Calibri"/>
          <w:b/>
          <w:bCs/>
          <w:color w:val="00305C"/>
          <w:kern w:val="36"/>
          <w:sz w:val="24"/>
        </w:rPr>
        <w:t xml:space="preserve">; funding sources diversified </w:t>
      </w:r>
    </w:p>
    <w:p w:rsidR="006571B5" w:rsidRPr="006571B5" w:rsidRDefault="000037E0" w:rsidP="006571B5">
      <w:pPr>
        <w:spacing w:after="40" w:line="240" w:lineRule="auto"/>
        <w:jc w:val="center"/>
        <w:rPr>
          <w:rFonts w:ascii="Calibri" w:hAnsi="Calibri" w:cs="Calibri"/>
          <w:b/>
          <w:bCs/>
          <w:color w:val="00305C"/>
          <w:kern w:val="36"/>
          <w:sz w:val="24"/>
        </w:rPr>
      </w:pPr>
      <w:r w:rsidRPr="00212D74">
        <w:rPr>
          <w:rFonts w:ascii="Calibri" w:hAnsi="Calibri" w:cs="Calibri"/>
          <w:b/>
          <w:bCs/>
          <w:color w:val="00305C"/>
          <w:kern w:val="36"/>
          <w:sz w:val="24"/>
        </w:rPr>
        <w:t xml:space="preserve">Major development progress in East and West Africa </w:t>
      </w:r>
    </w:p>
    <w:p w:rsidR="00DD1514" w:rsidRPr="009318F0" w:rsidRDefault="00CB1C5F" w:rsidP="006571B5">
      <w:pPr>
        <w:spacing w:before="120"/>
        <w:rPr>
          <w:rStyle w:val="StyleCustomColorRGB043691"/>
          <w:rFonts w:ascii="Calibri" w:hAnsi="Calibri" w:cs="Calibri"/>
          <w:color w:val="5F5F5F"/>
          <w:sz w:val="20"/>
          <w:szCs w:val="20"/>
          <w:highlight w:val="yellow"/>
        </w:rPr>
      </w:pPr>
      <w:r>
        <w:rPr>
          <w:rFonts w:ascii="Calibri" w:hAnsi="Calibri" w:cs="Calibri"/>
          <w:color w:val="002B45"/>
          <w:szCs w:val="19"/>
        </w:rPr>
        <w:t>12</w:t>
      </w:r>
      <w:r w:rsidR="00AB4117" w:rsidRPr="009318F0">
        <w:rPr>
          <w:rFonts w:ascii="Calibri" w:hAnsi="Calibri" w:cs="Calibri"/>
          <w:color w:val="002B45"/>
          <w:szCs w:val="19"/>
        </w:rPr>
        <w:t xml:space="preserve"> </w:t>
      </w:r>
      <w:r w:rsidR="00AB4117">
        <w:rPr>
          <w:rFonts w:ascii="Calibri" w:hAnsi="Calibri" w:cs="Calibri"/>
          <w:color w:val="002B45"/>
          <w:szCs w:val="19"/>
        </w:rPr>
        <w:t>February</w:t>
      </w:r>
      <w:r w:rsidR="00AB4117" w:rsidRPr="009318F0">
        <w:rPr>
          <w:rFonts w:ascii="Calibri" w:hAnsi="Calibri" w:cs="Calibri"/>
          <w:color w:val="002B45"/>
          <w:szCs w:val="19"/>
        </w:rPr>
        <w:t xml:space="preserve"> 201</w:t>
      </w:r>
      <w:r>
        <w:rPr>
          <w:rFonts w:ascii="Calibri" w:hAnsi="Calibri" w:cs="Calibri"/>
          <w:color w:val="002B45"/>
          <w:szCs w:val="19"/>
        </w:rPr>
        <w:t>4</w:t>
      </w:r>
      <w:r w:rsidR="00AB4117" w:rsidRPr="009318F0">
        <w:rPr>
          <w:rStyle w:val="StyleCustomColorRGB043691"/>
          <w:rFonts w:ascii="Calibri" w:hAnsi="Calibri" w:cs="Calibri"/>
          <w:color w:val="5F5F5F"/>
          <w:szCs w:val="19"/>
        </w:rPr>
        <w:t xml:space="preserve"> – Tullow Oil plc (Tullow), the independent oil and gas exploration and production </w:t>
      </w:r>
      <w:r w:rsidR="005434CD">
        <w:rPr>
          <w:rStyle w:val="StyleCustomColorRGB043691"/>
          <w:rFonts w:ascii="Calibri" w:hAnsi="Calibri" w:cs="Calibri"/>
          <w:color w:val="5F5F5F"/>
          <w:szCs w:val="19"/>
        </w:rPr>
        <w:t>G</w:t>
      </w:r>
      <w:r w:rsidR="00AB4117" w:rsidRPr="009318F0">
        <w:rPr>
          <w:rStyle w:val="StyleCustomColorRGB043691"/>
          <w:rFonts w:ascii="Calibri" w:hAnsi="Calibri" w:cs="Calibri"/>
          <w:color w:val="5F5F5F"/>
          <w:szCs w:val="19"/>
        </w:rPr>
        <w:t>roup, announces its results for</w:t>
      </w:r>
      <w:r>
        <w:rPr>
          <w:rStyle w:val="StyleCustomColorRGB043691"/>
          <w:rFonts w:ascii="Calibri" w:hAnsi="Calibri" w:cs="Calibri"/>
          <w:color w:val="5F5F5F"/>
          <w:szCs w:val="19"/>
        </w:rPr>
        <w:t xml:space="preserve"> the year ended 31 December 2013</w:t>
      </w:r>
      <w:r w:rsidR="00AB4117" w:rsidRPr="009318F0">
        <w:rPr>
          <w:rStyle w:val="StyleCustomColorRGB043691"/>
          <w:rFonts w:ascii="Calibri" w:hAnsi="Calibri" w:cs="Calibri"/>
          <w:color w:val="5F5F5F"/>
          <w:szCs w:val="19"/>
        </w:rPr>
        <w:t>.</w:t>
      </w:r>
      <w:r w:rsidR="00DD1514">
        <w:rPr>
          <w:rStyle w:val="StyleCustomColorRGB043691"/>
          <w:rFonts w:ascii="Calibri" w:hAnsi="Calibri" w:cs="Calibri"/>
          <w:color w:val="5F5F5F"/>
          <w:szCs w:val="19"/>
        </w:rPr>
        <w:t xml:space="preserve"> </w:t>
      </w:r>
      <w:r w:rsidR="00DD1514" w:rsidRPr="002A6330">
        <w:rPr>
          <w:rStyle w:val="StyleCustomColorRGB043691"/>
          <w:rFonts w:ascii="Calibri" w:hAnsi="Calibri" w:cs="Calibri"/>
          <w:color w:val="5F5F5F"/>
          <w:szCs w:val="19"/>
        </w:rPr>
        <w:t>Presentation, webcast and conference calls details</w:t>
      </w:r>
      <w:r w:rsidR="00D626F9">
        <w:rPr>
          <w:rStyle w:val="StyleCustomColorRGB043691"/>
          <w:rFonts w:ascii="Calibri" w:hAnsi="Calibri" w:cs="Calibri"/>
          <w:color w:val="5F5F5F"/>
          <w:szCs w:val="19"/>
        </w:rPr>
        <w:t xml:space="preserve"> are</w:t>
      </w:r>
      <w:r w:rsidR="00DD1514" w:rsidRPr="002A6330">
        <w:rPr>
          <w:rStyle w:val="StyleCustomColorRGB043691"/>
          <w:rFonts w:ascii="Calibri" w:hAnsi="Calibri" w:cs="Calibri"/>
          <w:color w:val="5F5F5F"/>
          <w:szCs w:val="19"/>
        </w:rPr>
        <w:t xml:space="preserve"> </w:t>
      </w:r>
      <w:r w:rsidR="00DD1514" w:rsidRPr="00736968">
        <w:rPr>
          <w:rStyle w:val="StyleCustomColorRGB043691"/>
          <w:rFonts w:ascii="Calibri" w:hAnsi="Calibri" w:cs="Calibri"/>
          <w:color w:val="5F5F5F"/>
          <w:szCs w:val="19"/>
        </w:rPr>
        <w:t xml:space="preserve">on </w:t>
      </w:r>
      <w:r w:rsidR="00DD1514" w:rsidRPr="002A6330">
        <w:rPr>
          <w:rStyle w:val="StyleCustomColorRGB043691"/>
          <w:rFonts w:ascii="Calibri" w:hAnsi="Calibri" w:cs="Calibri"/>
          <w:color w:val="5F5F5F"/>
          <w:szCs w:val="19"/>
        </w:rPr>
        <w:t xml:space="preserve">page </w:t>
      </w:r>
      <w:r w:rsidR="001808A9">
        <w:rPr>
          <w:rStyle w:val="StyleCustomColorRGB043691"/>
          <w:rFonts w:ascii="Calibri" w:hAnsi="Calibri" w:cs="Calibri"/>
          <w:color w:val="5F5F5F"/>
          <w:szCs w:val="19"/>
        </w:rPr>
        <w:t>27</w:t>
      </w:r>
      <w:r w:rsidR="00DD1514" w:rsidRPr="00736968">
        <w:rPr>
          <w:rStyle w:val="StyleCustomColorRGB043691"/>
          <w:rFonts w:ascii="Calibri" w:hAnsi="Calibri" w:cs="Calibri"/>
          <w:color w:val="5F5F5F"/>
          <w:szCs w:val="19"/>
        </w:rPr>
        <w:t xml:space="preserve"> </w:t>
      </w:r>
      <w:r w:rsidR="00DD1514">
        <w:rPr>
          <w:rStyle w:val="StyleCustomColorRGB043691"/>
          <w:rFonts w:ascii="Calibri" w:hAnsi="Calibri" w:cs="Calibri"/>
          <w:color w:val="5F5F5F"/>
          <w:szCs w:val="19"/>
        </w:rPr>
        <w:t xml:space="preserve">of this document </w:t>
      </w:r>
      <w:r w:rsidR="00DD1514" w:rsidRPr="00736968">
        <w:rPr>
          <w:rStyle w:val="StyleCustomColorRGB043691"/>
          <w:rFonts w:ascii="Calibri" w:hAnsi="Calibri" w:cs="Calibri"/>
          <w:color w:val="5F5F5F"/>
          <w:szCs w:val="19"/>
        </w:rPr>
        <w:t>and on the Group’s website</w:t>
      </w:r>
      <w:r w:rsidR="00DD1514">
        <w:rPr>
          <w:rStyle w:val="StyleCustomColorRGB043691"/>
          <w:rFonts w:ascii="Calibri" w:hAnsi="Calibri" w:cs="Calibri"/>
          <w:color w:val="5F5F5F"/>
          <w:szCs w:val="19"/>
        </w:rPr>
        <w:t>:</w:t>
      </w:r>
      <w:r w:rsidR="00DD1514" w:rsidRPr="00736968">
        <w:rPr>
          <w:rStyle w:val="StyleCustomColorRGB043691"/>
          <w:rFonts w:ascii="Calibri" w:hAnsi="Calibri" w:cs="Calibri"/>
          <w:szCs w:val="19"/>
        </w:rPr>
        <w:t xml:space="preserve"> </w:t>
      </w:r>
      <w:hyperlink r:id="rId9" w:history="1">
        <w:r w:rsidR="00DD1514" w:rsidRPr="00736968">
          <w:rPr>
            <w:rStyle w:val="Hyperlink"/>
            <w:rFonts w:ascii="Calibri" w:hAnsi="Calibri" w:cs="Calibri"/>
            <w:color w:val="002B45"/>
            <w:szCs w:val="19"/>
          </w:rPr>
          <w:t>www.tullowoil.com</w:t>
        </w:r>
      </w:hyperlink>
    </w:p>
    <w:p w:rsidR="00AB4117" w:rsidRDefault="00AB4117" w:rsidP="00AB4117">
      <w:pPr>
        <w:rPr>
          <w:rStyle w:val="StyleCustomColorRGB043691"/>
          <w:rFonts w:ascii="Calibri" w:hAnsi="Calibri" w:cs="Calibri"/>
          <w:color w:val="5F5F5F"/>
          <w:szCs w:val="19"/>
        </w:rPr>
      </w:pPr>
    </w:p>
    <w:p w:rsidR="00AB4117" w:rsidRPr="00212D74" w:rsidRDefault="00787286" w:rsidP="00AB4117">
      <w:pPr>
        <w:pStyle w:val="StyleHeadingCustomColorRGB1533154"/>
        <w:outlineLvl w:val="0"/>
        <w:rPr>
          <w:rFonts w:ascii="Calibri" w:hAnsi="Calibri" w:cs="Calibri"/>
          <w:b/>
          <w:color w:val="00305C"/>
          <w:szCs w:val="22"/>
          <w:lang w:val="en-US"/>
        </w:rPr>
      </w:pPr>
      <w:r>
        <w:rPr>
          <w:rFonts w:ascii="Calibri" w:hAnsi="Calibri" w:cs="Calibri"/>
          <w:b/>
          <w:color w:val="00305C"/>
          <w:szCs w:val="22"/>
        </w:rPr>
        <w:t>FULL YEAR RESULTS HIGHLIGHTS</w:t>
      </w:r>
    </w:p>
    <w:p w:rsidR="00DC7BC3" w:rsidRPr="00646F63" w:rsidRDefault="00DC7BC3" w:rsidP="00DC7BC3">
      <w:pPr>
        <w:pStyle w:val="StyleBulletedSymbolsymbolCustomColorRGB04369Left"/>
        <w:numPr>
          <w:ilvl w:val="0"/>
          <w:numId w:val="5"/>
        </w:numPr>
        <w:tabs>
          <w:tab w:val="clear" w:pos="715"/>
          <w:tab w:val="left" w:pos="0"/>
          <w:tab w:val="num" w:pos="284"/>
        </w:tabs>
        <w:spacing w:before="120"/>
        <w:ind w:left="284" w:hanging="284"/>
        <w:rPr>
          <w:rFonts w:ascii="Calibri" w:hAnsi="Calibri" w:cs="Calibri"/>
          <w:color w:val="5F5F5F"/>
          <w:szCs w:val="19"/>
        </w:rPr>
      </w:pPr>
      <w:r>
        <w:rPr>
          <w:rFonts w:ascii="Calibri" w:hAnsi="Calibri" w:cs="Calibri"/>
          <w:color w:val="5F5F5F"/>
          <w:szCs w:val="19"/>
        </w:rPr>
        <w:t xml:space="preserve">Group </w:t>
      </w:r>
      <w:r w:rsidR="005434CD">
        <w:rPr>
          <w:rFonts w:ascii="Calibri" w:hAnsi="Calibri" w:cs="Calibri"/>
          <w:color w:val="5F5F5F"/>
          <w:szCs w:val="19"/>
        </w:rPr>
        <w:t xml:space="preserve">2013 </w:t>
      </w:r>
      <w:r>
        <w:rPr>
          <w:rFonts w:ascii="Calibri" w:hAnsi="Calibri" w:cs="Calibri"/>
          <w:color w:val="5F5F5F"/>
          <w:szCs w:val="19"/>
        </w:rPr>
        <w:t xml:space="preserve">average working interest production of 84,200 boepd generates strong operating cash flow of $1.9 billion; </w:t>
      </w:r>
      <w:r w:rsidRPr="00DB3E33">
        <w:rPr>
          <w:rFonts w:asciiTheme="minorHAnsi" w:hAnsiTheme="minorHAnsi" w:cstheme="minorHAnsi"/>
          <w:color w:val="5F5F5F"/>
          <w:szCs w:val="19"/>
        </w:rPr>
        <w:t>2014</w:t>
      </w:r>
      <w:r>
        <w:rPr>
          <w:rFonts w:asciiTheme="minorHAnsi" w:hAnsiTheme="minorHAnsi" w:cstheme="minorHAnsi"/>
          <w:color w:val="5F5F5F"/>
          <w:szCs w:val="19"/>
        </w:rPr>
        <w:t xml:space="preserve"> </w:t>
      </w:r>
      <w:r>
        <w:rPr>
          <w:rFonts w:ascii="Calibri" w:hAnsi="Calibri" w:cs="Calibri"/>
          <w:color w:val="5F5F5F"/>
          <w:szCs w:val="19"/>
        </w:rPr>
        <w:t xml:space="preserve">Group average working interest </w:t>
      </w:r>
      <w:r>
        <w:rPr>
          <w:rFonts w:asciiTheme="minorHAnsi" w:hAnsiTheme="minorHAnsi" w:cstheme="minorHAnsi"/>
          <w:color w:val="5F5F5F"/>
          <w:szCs w:val="19"/>
        </w:rPr>
        <w:t xml:space="preserve">production is </w:t>
      </w:r>
      <w:r w:rsidRPr="00DB3E33">
        <w:rPr>
          <w:rFonts w:asciiTheme="minorHAnsi" w:hAnsiTheme="minorHAnsi" w:cstheme="minorHAnsi"/>
          <w:color w:val="5F5F5F"/>
          <w:szCs w:val="19"/>
        </w:rPr>
        <w:t>expected to be in the range 79,000-85,000 boepd</w:t>
      </w:r>
    </w:p>
    <w:p w:rsidR="00306BC9" w:rsidRPr="005C6772" w:rsidRDefault="005434CD" w:rsidP="00306BC9">
      <w:pPr>
        <w:pStyle w:val="StyleBulletedSymbolsymbolCustomColorRGB04369Left"/>
        <w:numPr>
          <w:ilvl w:val="0"/>
          <w:numId w:val="5"/>
        </w:numPr>
        <w:tabs>
          <w:tab w:val="clear" w:pos="715"/>
          <w:tab w:val="left" w:pos="0"/>
          <w:tab w:val="num" w:pos="284"/>
        </w:tabs>
        <w:spacing w:before="120"/>
        <w:ind w:left="284" w:hanging="284"/>
        <w:rPr>
          <w:rFonts w:ascii="Calibri" w:hAnsi="Calibri" w:cs="Calibri"/>
          <w:color w:val="5F5F5F"/>
          <w:szCs w:val="19"/>
        </w:rPr>
      </w:pPr>
      <w:r>
        <w:rPr>
          <w:rFonts w:ascii="Calibri" w:hAnsi="Calibri" w:cs="Calibri"/>
          <w:color w:val="5F5F5F"/>
          <w:szCs w:val="19"/>
        </w:rPr>
        <w:t xml:space="preserve">2013 </w:t>
      </w:r>
      <w:r w:rsidR="00306BC9">
        <w:rPr>
          <w:rFonts w:ascii="Calibri" w:hAnsi="Calibri" w:cs="Calibri"/>
          <w:color w:val="5F5F5F"/>
          <w:szCs w:val="19"/>
        </w:rPr>
        <w:t xml:space="preserve">Revenue and gross profit increase </w:t>
      </w:r>
      <w:r w:rsidR="009E0F79">
        <w:rPr>
          <w:rFonts w:ascii="Calibri" w:hAnsi="Calibri" w:cs="Calibri"/>
          <w:color w:val="5F5F5F"/>
          <w:szCs w:val="19"/>
        </w:rPr>
        <w:t xml:space="preserve">compared </w:t>
      </w:r>
      <w:r>
        <w:rPr>
          <w:rFonts w:ascii="Calibri" w:hAnsi="Calibri" w:cs="Calibri"/>
          <w:color w:val="5F5F5F"/>
          <w:szCs w:val="19"/>
        </w:rPr>
        <w:t>to prior year</w:t>
      </w:r>
      <w:r w:rsidR="009E0F79">
        <w:rPr>
          <w:rFonts w:ascii="Calibri" w:hAnsi="Calibri" w:cs="Calibri"/>
          <w:color w:val="5F5F5F"/>
          <w:szCs w:val="19"/>
        </w:rPr>
        <w:t xml:space="preserve">; </w:t>
      </w:r>
      <w:r w:rsidR="00306BC9">
        <w:rPr>
          <w:rFonts w:ascii="Calibri" w:hAnsi="Calibri" w:cs="Calibri"/>
          <w:color w:val="5F5F5F"/>
          <w:szCs w:val="19"/>
        </w:rPr>
        <w:t xml:space="preserve">profit after tax </w:t>
      </w:r>
      <w:r w:rsidR="00CB5CFF">
        <w:rPr>
          <w:rFonts w:ascii="Calibri" w:hAnsi="Calibri" w:cs="Calibri"/>
          <w:color w:val="5F5F5F"/>
          <w:szCs w:val="19"/>
        </w:rPr>
        <w:t>of $216 million</w:t>
      </w:r>
      <w:r w:rsidR="009E0F79">
        <w:rPr>
          <w:rFonts w:ascii="Calibri" w:hAnsi="Calibri" w:cs="Calibri"/>
          <w:color w:val="5F5F5F"/>
          <w:szCs w:val="19"/>
        </w:rPr>
        <w:t xml:space="preserve"> was</w:t>
      </w:r>
      <w:r w:rsidR="00CB5CFF">
        <w:rPr>
          <w:rFonts w:ascii="Calibri" w:hAnsi="Calibri" w:cs="Calibri"/>
          <w:color w:val="5F5F5F"/>
          <w:szCs w:val="19"/>
        </w:rPr>
        <w:t xml:space="preserve"> </w:t>
      </w:r>
      <w:r w:rsidR="00306BC9">
        <w:rPr>
          <w:rFonts w:ascii="Calibri" w:hAnsi="Calibri" w:cs="Calibri"/>
          <w:color w:val="5F5F5F"/>
          <w:szCs w:val="19"/>
        </w:rPr>
        <w:t xml:space="preserve">impacted by </w:t>
      </w:r>
      <w:r w:rsidR="00D07638">
        <w:rPr>
          <w:rFonts w:ascii="Calibri" w:hAnsi="Calibri" w:cs="Calibri"/>
          <w:color w:val="5F5F5F"/>
          <w:szCs w:val="19"/>
        </w:rPr>
        <w:t xml:space="preserve">both </w:t>
      </w:r>
      <w:r w:rsidR="009E0F79">
        <w:rPr>
          <w:rFonts w:ascii="Calibri" w:hAnsi="Calibri" w:cs="Calibri"/>
          <w:color w:val="5F5F5F"/>
          <w:szCs w:val="19"/>
        </w:rPr>
        <w:t>a decrease</w:t>
      </w:r>
      <w:r w:rsidR="00A86670">
        <w:rPr>
          <w:rFonts w:ascii="Calibri" w:hAnsi="Calibri" w:cs="Calibri"/>
          <w:color w:val="5F5F5F"/>
          <w:szCs w:val="19"/>
        </w:rPr>
        <w:t xml:space="preserve"> in profit on disposals of $67</w:t>
      </w:r>
      <w:r w:rsidR="00306BC9">
        <w:rPr>
          <w:rFonts w:ascii="Calibri" w:hAnsi="Calibri" w:cs="Calibri"/>
          <w:color w:val="5F5F5F"/>
          <w:szCs w:val="19"/>
        </w:rPr>
        <w:t>0 million and a</w:t>
      </w:r>
      <w:r w:rsidR="00D87220">
        <w:rPr>
          <w:rFonts w:ascii="Calibri" w:hAnsi="Calibri" w:cs="Calibri"/>
          <w:color w:val="5F5F5F"/>
          <w:szCs w:val="19"/>
        </w:rPr>
        <w:t xml:space="preserve"> $200</w:t>
      </w:r>
      <w:r w:rsidR="00DC7BC3">
        <w:rPr>
          <w:rFonts w:ascii="Calibri" w:hAnsi="Calibri" w:cs="Calibri"/>
          <w:color w:val="5F5F5F"/>
          <w:szCs w:val="19"/>
        </w:rPr>
        <w:t xml:space="preserve"> </w:t>
      </w:r>
      <w:r w:rsidR="00D87220">
        <w:rPr>
          <w:rFonts w:ascii="Calibri" w:hAnsi="Calibri" w:cs="Calibri"/>
          <w:color w:val="5F5F5F"/>
          <w:szCs w:val="19"/>
        </w:rPr>
        <w:t>m</w:t>
      </w:r>
      <w:r w:rsidR="00DC7BC3">
        <w:rPr>
          <w:rFonts w:ascii="Calibri" w:hAnsi="Calibri" w:cs="Calibri"/>
          <w:color w:val="5F5F5F"/>
          <w:szCs w:val="19"/>
        </w:rPr>
        <w:t>illion</w:t>
      </w:r>
      <w:r w:rsidR="00306BC9">
        <w:rPr>
          <w:rFonts w:ascii="Calibri" w:hAnsi="Calibri" w:cs="Calibri"/>
          <w:color w:val="5F5F5F"/>
          <w:szCs w:val="19"/>
        </w:rPr>
        <w:t xml:space="preserve"> increase in exploration </w:t>
      </w:r>
      <w:r w:rsidR="00D87220">
        <w:rPr>
          <w:rFonts w:ascii="Calibri" w:hAnsi="Calibri" w:cs="Calibri"/>
          <w:color w:val="5F5F5F"/>
          <w:szCs w:val="19"/>
        </w:rPr>
        <w:t>write-offs</w:t>
      </w:r>
      <w:r w:rsidR="00BA5AE7">
        <w:rPr>
          <w:rFonts w:ascii="Calibri" w:hAnsi="Calibri" w:cs="Calibri"/>
          <w:color w:val="5F5F5F"/>
          <w:szCs w:val="19"/>
        </w:rPr>
        <w:t xml:space="preserve"> </w:t>
      </w:r>
    </w:p>
    <w:p w:rsidR="005434CD" w:rsidRDefault="00DC7BC3" w:rsidP="005434CD">
      <w:pPr>
        <w:pStyle w:val="StyleBulletedSymbolsymbolCustomColorRGB04369Left"/>
        <w:numPr>
          <w:ilvl w:val="0"/>
          <w:numId w:val="5"/>
        </w:numPr>
        <w:tabs>
          <w:tab w:val="clear" w:pos="715"/>
          <w:tab w:val="num" w:pos="284"/>
        </w:tabs>
        <w:spacing w:before="120"/>
        <w:ind w:left="284" w:hanging="284"/>
        <w:rPr>
          <w:rFonts w:ascii="Calibri" w:hAnsi="Calibri" w:cs="Calibri"/>
          <w:color w:val="5F5F5F"/>
          <w:szCs w:val="19"/>
        </w:rPr>
      </w:pPr>
      <w:r>
        <w:rPr>
          <w:rFonts w:ascii="Calibri" w:hAnsi="Calibri" w:cs="Calibri"/>
          <w:color w:val="5F5F5F"/>
          <w:szCs w:val="19"/>
        </w:rPr>
        <w:t>B</w:t>
      </w:r>
      <w:r w:rsidRPr="005C6772">
        <w:rPr>
          <w:rFonts w:ascii="Calibri" w:hAnsi="Calibri" w:cs="Calibri"/>
          <w:color w:val="5F5F5F"/>
          <w:szCs w:val="19"/>
        </w:rPr>
        <w:t>alance sheet substantially strengthened through $650</w:t>
      </w:r>
      <w:r>
        <w:rPr>
          <w:rFonts w:ascii="Calibri" w:hAnsi="Calibri" w:cs="Calibri"/>
          <w:color w:val="5F5F5F"/>
          <w:szCs w:val="19"/>
        </w:rPr>
        <w:t xml:space="preserve"> </w:t>
      </w:r>
      <w:r w:rsidRPr="005C6772">
        <w:rPr>
          <w:rFonts w:ascii="Calibri" w:hAnsi="Calibri" w:cs="Calibri"/>
          <w:color w:val="5F5F5F"/>
          <w:szCs w:val="19"/>
        </w:rPr>
        <w:t>m</w:t>
      </w:r>
      <w:r>
        <w:rPr>
          <w:rFonts w:ascii="Calibri" w:hAnsi="Calibri" w:cs="Calibri"/>
          <w:color w:val="5F5F5F"/>
          <w:szCs w:val="19"/>
        </w:rPr>
        <w:t>illion</w:t>
      </w:r>
      <w:r w:rsidRPr="005C6772">
        <w:rPr>
          <w:rFonts w:ascii="Calibri" w:hAnsi="Calibri" w:cs="Calibri"/>
          <w:color w:val="5F5F5F"/>
          <w:szCs w:val="19"/>
        </w:rPr>
        <w:t xml:space="preserve"> debut bond</w:t>
      </w:r>
      <w:r>
        <w:rPr>
          <w:rFonts w:ascii="Calibri" w:hAnsi="Calibri" w:cs="Calibri"/>
          <w:color w:val="5F5F5F"/>
          <w:szCs w:val="19"/>
        </w:rPr>
        <w:t xml:space="preserve"> issue in November 2013; net debt at year-end 2013 of $1.9 billion with unutilised debt capacity of $2.4 billion</w:t>
      </w:r>
      <w:r w:rsidR="005434CD" w:rsidRPr="005434CD">
        <w:rPr>
          <w:rFonts w:ascii="Calibri" w:hAnsi="Calibri" w:cs="Calibri"/>
          <w:color w:val="5F5F5F"/>
          <w:szCs w:val="19"/>
        </w:rPr>
        <w:t xml:space="preserve"> </w:t>
      </w:r>
    </w:p>
    <w:p w:rsidR="005434CD" w:rsidRDefault="005434CD" w:rsidP="005434CD">
      <w:pPr>
        <w:pStyle w:val="StyleBulletedSymbolsymbolCustomColorRGB04369Left"/>
        <w:numPr>
          <w:ilvl w:val="0"/>
          <w:numId w:val="5"/>
        </w:numPr>
        <w:tabs>
          <w:tab w:val="clear" w:pos="715"/>
          <w:tab w:val="num" w:pos="284"/>
        </w:tabs>
        <w:spacing w:before="120"/>
        <w:ind w:left="284" w:hanging="284"/>
        <w:rPr>
          <w:rFonts w:ascii="Calibri" w:hAnsi="Calibri" w:cs="Calibri"/>
          <w:color w:val="5F5F5F"/>
          <w:szCs w:val="19"/>
        </w:rPr>
      </w:pPr>
      <w:r w:rsidRPr="000A60D4">
        <w:rPr>
          <w:rFonts w:ascii="Calibri" w:hAnsi="Calibri" w:cs="Calibri"/>
          <w:color w:val="5F5F5F"/>
          <w:szCs w:val="19"/>
        </w:rPr>
        <w:t>Government of Kenya supports development studies following commercial discoveries of at least 600 mmb</w:t>
      </w:r>
      <w:r w:rsidR="00AA1C84">
        <w:rPr>
          <w:rFonts w:ascii="Calibri" w:hAnsi="Calibri" w:cs="Calibri"/>
          <w:color w:val="5F5F5F"/>
          <w:szCs w:val="19"/>
        </w:rPr>
        <w:t>o</w:t>
      </w:r>
      <w:r w:rsidR="00860AAD">
        <w:rPr>
          <w:rFonts w:ascii="Calibri" w:hAnsi="Calibri" w:cs="Calibri"/>
          <w:color w:val="5F5F5F"/>
          <w:szCs w:val="19"/>
        </w:rPr>
        <w:t xml:space="preserve"> gross</w:t>
      </w:r>
      <w:r w:rsidR="00AA1C84">
        <w:rPr>
          <w:rFonts w:ascii="Calibri" w:hAnsi="Calibri" w:cs="Calibri"/>
          <w:color w:val="5F5F5F"/>
          <w:szCs w:val="19"/>
        </w:rPr>
        <w:t>; Government of Uganda signs Mo</w:t>
      </w:r>
      <w:r w:rsidRPr="000A60D4">
        <w:rPr>
          <w:rFonts w:ascii="Calibri" w:hAnsi="Calibri" w:cs="Calibri"/>
          <w:color w:val="5F5F5F"/>
          <w:szCs w:val="19"/>
        </w:rPr>
        <w:t>U with partners in relation to the Lake Albert Rift Basin Development Project</w:t>
      </w:r>
    </w:p>
    <w:p w:rsidR="00DC7BC3" w:rsidRPr="005434CD" w:rsidRDefault="005434CD" w:rsidP="005434CD">
      <w:pPr>
        <w:pStyle w:val="StyleBulletedSymbolsymbolCustomColorRGB04369Left"/>
        <w:numPr>
          <w:ilvl w:val="0"/>
          <w:numId w:val="5"/>
        </w:numPr>
        <w:tabs>
          <w:tab w:val="clear" w:pos="715"/>
          <w:tab w:val="num" w:pos="284"/>
        </w:tabs>
        <w:spacing w:before="120"/>
        <w:ind w:left="284" w:hanging="284"/>
        <w:rPr>
          <w:rFonts w:ascii="Calibri" w:hAnsi="Calibri" w:cs="Calibri"/>
          <w:color w:val="5F5F5F"/>
          <w:szCs w:val="19"/>
        </w:rPr>
      </w:pPr>
      <w:r w:rsidRPr="000A60D4">
        <w:rPr>
          <w:rStyle w:val="StyleCustomColorRGB043691"/>
          <w:rFonts w:ascii="Calibri" w:hAnsi="Calibri" w:cs="Calibri"/>
          <w:color w:val="5F5F5F"/>
          <w:szCs w:val="19"/>
        </w:rPr>
        <w:t xml:space="preserve">TEN </w:t>
      </w:r>
      <w:r w:rsidRPr="000A60D4">
        <w:rPr>
          <w:rFonts w:ascii="Calibri" w:hAnsi="Calibri" w:cs="Calibri"/>
          <w:color w:val="5F5F5F"/>
          <w:szCs w:val="19"/>
        </w:rPr>
        <w:t xml:space="preserve">Plan of Development approved by Government of Ghana and project is on schedule </w:t>
      </w:r>
      <w:r>
        <w:rPr>
          <w:rFonts w:ascii="Calibri" w:hAnsi="Calibri" w:cs="Calibri"/>
          <w:color w:val="5F5F5F"/>
          <w:szCs w:val="19"/>
        </w:rPr>
        <w:t>for first oil in mid-2016</w:t>
      </w:r>
    </w:p>
    <w:p w:rsidR="006571B5" w:rsidRPr="006571B5" w:rsidRDefault="006571B5" w:rsidP="006571B5">
      <w:pPr>
        <w:pStyle w:val="StyleBulletedSymbolsymbolCustomColorRGB04369Left"/>
        <w:numPr>
          <w:ilvl w:val="0"/>
          <w:numId w:val="5"/>
        </w:numPr>
        <w:tabs>
          <w:tab w:val="clear" w:pos="715"/>
          <w:tab w:val="num" w:pos="284"/>
        </w:tabs>
        <w:spacing w:before="120"/>
        <w:ind w:left="284" w:hanging="284"/>
        <w:rPr>
          <w:rStyle w:val="StyleCustomColorRGB043691"/>
          <w:rFonts w:ascii="Calibri" w:hAnsi="Calibri" w:cs="Calibri"/>
          <w:color w:val="5F5F5F"/>
          <w:szCs w:val="19"/>
        </w:rPr>
      </w:pPr>
      <w:r w:rsidRPr="006571B5">
        <w:rPr>
          <w:rStyle w:val="StyleCustomColorRGB043691"/>
          <w:rFonts w:ascii="Calibri" w:hAnsi="Calibri" w:cs="Calibri"/>
          <w:color w:val="5F5F5F"/>
          <w:szCs w:val="19"/>
        </w:rPr>
        <w:t xml:space="preserve">Frégate-1 wildcat well offshore Mauritania </w:t>
      </w:r>
      <w:r w:rsidR="00434676">
        <w:rPr>
          <w:rStyle w:val="StyleCustomColorRGB043691"/>
          <w:rFonts w:ascii="Calibri" w:hAnsi="Calibri" w:cs="Calibri"/>
          <w:color w:val="5F5F5F"/>
          <w:szCs w:val="19"/>
        </w:rPr>
        <w:t>opens a</w:t>
      </w:r>
      <w:r w:rsidR="00434676" w:rsidRPr="006571B5">
        <w:rPr>
          <w:rStyle w:val="StyleCustomColorRGB043691"/>
          <w:rFonts w:ascii="Calibri" w:hAnsi="Calibri" w:cs="Calibri"/>
          <w:color w:val="5F5F5F"/>
          <w:szCs w:val="19"/>
        </w:rPr>
        <w:t xml:space="preserve"> new oil play in Late Cretaceous turbidites</w:t>
      </w:r>
      <w:r w:rsidR="00434676">
        <w:rPr>
          <w:rStyle w:val="StyleCustomColorRGB043691"/>
          <w:rFonts w:ascii="Calibri" w:hAnsi="Calibri" w:cs="Calibri"/>
          <w:color w:val="5F5F5F"/>
          <w:szCs w:val="19"/>
        </w:rPr>
        <w:t>, after encountering</w:t>
      </w:r>
      <w:r w:rsidR="00ED6C10">
        <w:rPr>
          <w:rStyle w:val="StyleCustomColorRGB043691"/>
          <w:rFonts w:ascii="Calibri" w:hAnsi="Calibri" w:cs="Calibri"/>
          <w:color w:val="5F5F5F"/>
          <w:szCs w:val="19"/>
        </w:rPr>
        <w:t xml:space="preserve"> up to 30 metres of net gas-condensate and oil pay </w:t>
      </w:r>
      <w:r w:rsidR="00434676">
        <w:rPr>
          <w:rStyle w:val="StyleCustomColorRGB043691"/>
          <w:rFonts w:ascii="Calibri" w:hAnsi="Calibri" w:cs="Calibri"/>
          <w:color w:val="5F5F5F"/>
          <w:szCs w:val="19"/>
        </w:rPr>
        <w:t>in multiple sands</w:t>
      </w:r>
    </w:p>
    <w:p w:rsidR="00072E24" w:rsidRDefault="009E6294">
      <w:pPr>
        <w:pStyle w:val="StyleBulletedSymbolsymbolCustomColorRGB04369Left"/>
        <w:numPr>
          <w:ilvl w:val="0"/>
          <w:numId w:val="5"/>
        </w:numPr>
        <w:tabs>
          <w:tab w:val="clear" w:pos="715"/>
          <w:tab w:val="left" w:pos="0"/>
          <w:tab w:val="num" w:pos="284"/>
        </w:tabs>
        <w:spacing w:before="120"/>
        <w:ind w:left="284" w:hanging="284"/>
        <w:rPr>
          <w:rFonts w:ascii="Calibri" w:hAnsi="Calibri" w:cs="Calibri"/>
          <w:color w:val="5F5F5F"/>
          <w:szCs w:val="19"/>
        </w:rPr>
      </w:pPr>
      <w:r>
        <w:rPr>
          <w:rFonts w:ascii="Calibri" w:hAnsi="Calibri" w:cs="Calibri"/>
          <w:color w:val="5F5F5F"/>
          <w:szCs w:val="19"/>
        </w:rPr>
        <w:t xml:space="preserve">Exploration </w:t>
      </w:r>
      <w:r w:rsidR="00F81319">
        <w:rPr>
          <w:rFonts w:ascii="Calibri" w:hAnsi="Calibri" w:cs="Calibri"/>
          <w:color w:val="5F5F5F"/>
          <w:szCs w:val="19"/>
        </w:rPr>
        <w:t xml:space="preserve">and appraisal </w:t>
      </w:r>
      <w:r>
        <w:rPr>
          <w:rFonts w:ascii="Calibri" w:hAnsi="Calibri" w:cs="Calibri"/>
          <w:color w:val="5F5F5F"/>
          <w:szCs w:val="19"/>
        </w:rPr>
        <w:t xml:space="preserve">success, particularly in </w:t>
      </w:r>
      <w:r w:rsidR="002D6EC6">
        <w:rPr>
          <w:rFonts w:ascii="Calibri" w:hAnsi="Calibri" w:cs="Calibri"/>
          <w:color w:val="5F5F5F"/>
          <w:szCs w:val="19"/>
        </w:rPr>
        <w:t>East Africa</w:t>
      </w:r>
      <w:r>
        <w:rPr>
          <w:rFonts w:ascii="Calibri" w:hAnsi="Calibri" w:cs="Calibri"/>
          <w:color w:val="5F5F5F"/>
          <w:szCs w:val="19"/>
        </w:rPr>
        <w:t xml:space="preserve"> and Norway, adds </w:t>
      </w:r>
      <w:r w:rsidR="000A60D4">
        <w:rPr>
          <w:rFonts w:ascii="Calibri" w:hAnsi="Calibri" w:cs="Calibri"/>
          <w:color w:val="5F5F5F"/>
          <w:szCs w:val="19"/>
        </w:rPr>
        <w:t>22</w:t>
      </w:r>
      <w:r w:rsidR="001808A9">
        <w:rPr>
          <w:rFonts w:ascii="Calibri" w:hAnsi="Calibri" w:cs="Calibri"/>
          <w:color w:val="5F5F5F"/>
          <w:szCs w:val="19"/>
        </w:rPr>
        <w:t>2</w:t>
      </w:r>
      <w:r>
        <w:rPr>
          <w:rFonts w:ascii="Calibri" w:hAnsi="Calibri" w:cs="Calibri"/>
          <w:color w:val="5F5F5F"/>
          <w:szCs w:val="19"/>
        </w:rPr>
        <w:t xml:space="preserve"> mmbo</w:t>
      </w:r>
      <w:r w:rsidR="00A5650F">
        <w:rPr>
          <w:rFonts w:ascii="Calibri" w:hAnsi="Calibri" w:cs="Calibri"/>
          <w:color w:val="5F5F5F"/>
          <w:szCs w:val="19"/>
        </w:rPr>
        <w:t>e</w:t>
      </w:r>
      <w:r>
        <w:rPr>
          <w:rFonts w:ascii="Calibri" w:hAnsi="Calibri" w:cs="Calibri"/>
          <w:color w:val="5F5F5F"/>
          <w:szCs w:val="19"/>
        </w:rPr>
        <w:t xml:space="preserve"> to Contingent Resources in 2013; </w:t>
      </w:r>
      <w:r w:rsidR="00787E70">
        <w:rPr>
          <w:rFonts w:ascii="Calibri" w:hAnsi="Calibri" w:cs="Calibri"/>
          <w:color w:val="5F5F5F"/>
          <w:szCs w:val="19"/>
        </w:rPr>
        <w:t>n</w:t>
      </w:r>
      <w:r>
        <w:rPr>
          <w:rFonts w:ascii="Calibri" w:hAnsi="Calibri" w:cs="Calibri"/>
          <w:color w:val="5F5F5F"/>
          <w:szCs w:val="19"/>
        </w:rPr>
        <w:t xml:space="preserve">ew acreage acquired in Suriname, Norway, Namibia and Guyana </w:t>
      </w:r>
      <w:r w:rsidR="00D87220">
        <w:rPr>
          <w:rFonts w:ascii="Calibri" w:hAnsi="Calibri" w:cs="Calibri"/>
          <w:color w:val="5F5F5F"/>
          <w:szCs w:val="19"/>
        </w:rPr>
        <w:t>adds to high-quality portfolio</w:t>
      </w:r>
    </w:p>
    <w:p w:rsidR="00072E24" w:rsidRPr="000A60D4" w:rsidRDefault="00787E70" w:rsidP="000A60D4">
      <w:pPr>
        <w:pStyle w:val="StyleBulletedSymbolsymbolCustomColorRGB04369Left"/>
        <w:numPr>
          <w:ilvl w:val="0"/>
          <w:numId w:val="5"/>
        </w:numPr>
        <w:tabs>
          <w:tab w:val="clear" w:pos="715"/>
          <w:tab w:val="left" w:pos="0"/>
          <w:tab w:val="num" w:pos="284"/>
        </w:tabs>
        <w:spacing w:before="120"/>
        <w:ind w:left="284" w:hanging="284"/>
        <w:rPr>
          <w:rFonts w:ascii="Calibri" w:hAnsi="Calibri" w:cs="Calibri"/>
          <w:color w:val="5F5F5F"/>
          <w:szCs w:val="19"/>
        </w:rPr>
      </w:pPr>
      <w:r w:rsidRPr="000A60D4">
        <w:rPr>
          <w:rFonts w:ascii="Calibri" w:hAnsi="Calibri" w:cs="Calibri"/>
          <w:color w:val="5F5F5F"/>
          <w:szCs w:val="19"/>
        </w:rPr>
        <w:t>S</w:t>
      </w:r>
      <w:r w:rsidR="009E6294" w:rsidRPr="000A60D4">
        <w:rPr>
          <w:rFonts w:ascii="Calibri" w:hAnsi="Calibri" w:cs="Calibri"/>
          <w:color w:val="5F5F5F"/>
          <w:szCs w:val="19"/>
        </w:rPr>
        <w:t xml:space="preserve">ignificant E&amp;A campaign planned for 2014 with high-impact </w:t>
      </w:r>
      <w:r w:rsidR="00D87220" w:rsidRPr="000A60D4">
        <w:rPr>
          <w:rFonts w:ascii="Calibri" w:hAnsi="Calibri" w:cs="Calibri"/>
          <w:color w:val="5F5F5F"/>
          <w:szCs w:val="19"/>
        </w:rPr>
        <w:t>campaigns onshore</w:t>
      </w:r>
      <w:r w:rsidR="009E6294" w:rsidRPr="000A60D4">
        <w:rPr>
          <w:rFonts w:ascii="Calibri" w:hAnsi="Calibri" w:cs="Calibri"/>
          <w:color w:val="5F5F5F"/>
          <w:szCs w:val="19"/>
        </w:rPr>
        <w:t xml:space="preserve"> in Kenya and Ethiopia and offshore in</w:t>
      </w:r>
      <w:r w:rsidR="000A60D4">
        <w:rPr>
          <w:rFonts w:ascii="Calibri" w:hAnsi="Calibri" w:cs="Calibri"/>
          <w:color w:val="5F5F5F"/>
          <w:szCs w:val="19"/>
        </w:rPr>
        <w:t xml:space="preserve"> Norway, Mauritania and Guinea</w:t>
      </w:r>
    </w:p>
    <w:p w:rsidR="008A5EFE" w:rsidRDefault="008A5EFE" w:rsidP="00AB4117">
      <w:pPr>
        <w:pStyle w:val="StyleHeadingCustomColorRGB1533154"/>
        <w:outlineLvl w:val="0"/>
        <w:rPr>
          <w:rFonts w:ascii="Calibri" w:hAnsi="Calibri" w:cs="Calibri"/>
          <w:b/>
          <w:szCs w:val="22"/>
        </w:rPr>
      </w:pPr>
    </w:p>
    <w:p w:rsidR="00AB4117" w:rsidRPr="00787286" w:rsidRDefault="004D5CD9" w:rsidP="004D5CD9">
      <w:pPr>
        <w:spacing w:line="240" w:lineRule="auto"/>
        <w:jc w:val="left"/>
        <w:rPr>
          <w:bCs/>
          <w:color w:val="00305C"/>
          <w:sz w:val="22"/>
        </w:rPr>
      </w:pPr>
      <w:r w:rsidRPr="00787286">
        <w:rPr>
          <w:rFonts w:ascii="Calibri" w:hAnsi="Calibri"/>
          <w:b/>
          <w:bCs/>
          <w:color w:val="00305C"/>
          <w:sz w:val="22"/>
          <w:szCs w:val="22"/>
        </w:rPr>
        <w:t>FINANCIAL OVERVIEW</w:t>
      </w:r>
    </w:p>
    <w:tbl>
      <w:tblPr>
        <w:tblW w:w="9498" w:type="dxa"/>
        <w:tblBorders>
          <w:bottom w:val="single" w:sz="4" w:space="0" w:color="A6A6A6"/>
          <w:insideH w:val="single" w:sz="4" w:space="0" w:color="A6A6A6"/>
        </w:tblBorders>
        <w:tblCellMar>
          <w:left w:w="0" w:type="dxa"/>
          <w:right w:w="0" w:type="dxa"/>
        </w:tblCellMar>
        <w:tblLook w:val="01E0" w:firstRow="1" w:lastRow="1" w:firstColumn="1" w:lastColumn="1" w:noHBand="0" w:noVBand="0"/>
      </w:tblPr>
      <w:tblGrid>
        <w:gridCol w:w="5245"/>
        <w:gridCol w:w="1701"/>
        <w:gridCol w:w="1418"/>
        <w:gridCol w:w="1134"/>
      </w:tblGrid>
      <w:tr w:rsidR="00AB4117" w:rsidRPr="009318F0" w:rsidTr="006B4FE1">
        <w:trPr>
          <w:trHeight w:val="240"/>
        </w:trPr>
        <w:tc>
          <w:tcPr>
            <w:tcW w:w="5245" w:type="dxa"/>
            <w:tcMar>
              <w:top w:w="57" w:type="dxa"/>
              <w:left w:w="0" w:type="dxa"/>
              <w:bottom w:w="57" w:type="dxa"/>
              <w:right w:w="0" w:type="dxa"/>
            </w:tcMar>
            <w:vAlign w:val="bottom"/>
          </w:tcPr>
          <w:p w:rsidR="00AB4117" w:rsidRDefault="00AB4117" w:rsidP="00AB4117">
            <w:pPr>
              <w:pStyle w:val="StyleCustomColorRGB04369Before3pt"/>
              <w:spacing w:before="0"/>
              <w:jc w:val="right"/>
              <w:rPr>
                <w:rFonts w:ascii="Calibri" w:hAnsi="Calibri" w:cs="Calibri"/>
                <w:color w:val="003366"/>
                <w:sz w:val="20"/>
                <w:lang w:val="en-US"/>
              </w:rPr>
            </w:pPr>
          </w:p>
        </w:tc>
        <w:tc>
          <w:tcPr>
            <w:tcW w:w="1701" w:type="dxa"/>
            <w:shd w:val="clear" w:color="auto" w:fill="F2F2F2"/>
            <w:tcMar>
              <w:top w:w="57" w:type="dxa"/>
              <w:left w:w="0" w:type="dxa"/>
              <w:bottom w:w="57" w:type="dxa"/>
              <w:right w:w="0" w:type="dxa"/>
            </w:tcMar>
            <w:vAlign w:val="bottom"/>
          </w:tcPr>
          <w:p w:rsidR="00AB4117" w:rsidRPr="009318F0" w:rsidRDefault="00AB4117" w:rsidP="00212D74">
            <w:pPr>
              <w:ind w:right="113"/>
              <w:jc w:val="right"/>
              <w:rPr>
                <w:rFonts w:ascii="Calibri" w:hAnsi="Calibri" w:cs="Calibri"/>
                <w:b/>
                <w:color w:val="002B45"/>
                <w:sz w:val="20"/>
                <w:szCs w:val="20"/>
                <w:lang w:val="en-US"/>
              </w:rPr>
            </w:pPr>
            <w:r w:rsidRPr="009318F0">
              <w:rPr>
                <w:rFonts w:ascii="Calibri" w:hAnsi="Calibri" w:cs="Calibri"/>
                <w:b/>
                <w:color w:val="002B45"/>
                <w:sz w:val="20"/>
                <w:szCs w:val="20"/>
                <w:lang w:val="en-US"/>
              </w:rPr>
              <w:t>201</w:t>
            </w:r>
            <w:r w:rsidR="00CB1C5F">
              <w:rPr>
                <w:rFonts w:ascii="Calibri" w:hAnsi="Calibri" w:cs="Calibri"/>
                <w:b/>
                <w:color w:val="002B45"/>
                <w:sz w:val="20"/>
                <w:szCs w:val="20"/>
                <w:lang w:val="en-US"/>
              </w:rPr>
              <w:t>3</w:t>
            </w:r>
          </w:p>
        </w:tc>
        <w:tc>
          <w:tcPr>
            <w:tcW w:w="1418" w:type="dxa"/>
            <w:tcMar>
              <w:top w:w="57" w:type="dxa"/>
              <w:left w:w="0" w:type="dxa"/>
              <w:bottom w:w="57" w:type="dxa"/>
              <w:right w:w="0" w:type="dxa"/>
            </w:tcMar>
            <w:vAlign w:val="bottom"/>
          </w:tcPr>
          <w:p w:rsidR="00AB4117" w:rsidRPr="009318F0" w:rsidRDefault="00AB4117" w:rsidP="006B4FE1">
            <w:pPr>
              <w:ind w:right="113"/>
              <w:jc w:val="right"/>
              <w:rPr>
                <w:rFonts w:ascii="Calibri" w:hAnsi="Calibri" w:cs="Calibri"/>
                <w:b/>
                <w:color w:val="002B45"/>
                <w:sz w:val="20"/>
                <w:szCs w:val="20"/>
                <w:lang w:val="en-US"/>
              </w:rPr>
            </w:pPr>
            <w:r w:rsidRPr="009318F0">
              <w:rPr>
                <w:rFonts w:ascii="Calibri" w:hAnsi="Calibri" w:cs="Calibri"/>
                <w:b/>
                <w:color w:val="002B45"/>
                <w:sz w:val="20"/>
                <w:szCs w:val="20"/>
                <w:lang w:val="en-US"/>
              </w:rPr>
              <w:t>20</w:t>
            </w:r>
            <w:r>
              <w:rPr>
                <w:rFonts w:ascii="Calibri" w:hAnsi="Calibri" w:cs="Calibri"/>
                <w:b/>
                <w:color w:val="002B45"/>
                <w:sz w:val="20"/>
                <w:szCs w:val="20"/>
                <w:lang w:val="en-US"/>
              </w:rPr>
              <w:t>1</w:t>
            </w:r>
            <w:r w:rsidR="00CB1C5F">
              <w:rPr>
                <w:rFonts w:ascii="Calibri" w:hAnsi="Calibri" w:cs="Calibri"/>
                <w:b/>
                <w:color w:val="002B45"/>
                <w:sz w:val="20"/>
                <w:szCs w:val="20"/>
                <w:lang w:val="en-US"/>
              </w:rPr>
              <w:t>2</w:t>
            </w:r>
          </w:p>
        </w:tc>
        <w:tc>
          <w:tcPr>
            <w:tcW w:w="1134" w:type="dxa"/>
            <w:tcMar>
              <w:top w:w="57" w:type="dxa"/>
              <w:left w:w="0" w:type="dxa"/>
              <w:bottom w:w="57" w:type="dxa"/>
              <w:right w:w="0" w:type="dxa"/>
            </w:tcMar>
            <w:vAlign w:val="bottom"/>
          </w:tcPr>
          <w:p w:rsidR="00AB4117" w:rsidRDefault="00AB4117" w:rsidP="006B4FE1">
            <w:pPr>
              <w:ind w:right="113"/>
              <w:jc w:val="right"/>
              <w:rPr>
                <w:rFonts w:ascii="Calibri" w:hAnsi="Calibri" w:cs="Calibri"/>
                <w:b/>
                <w:color w:val="002B45"/>
                <w:sz w:val="20"/>
                <w:szCs w:val="20"/>
                <w:lang w:val="en-US"/>
              </w:rPr>
            </w:pPr>
            <w:r w:rsidRPr="009318F0">
              <w:rPr>
                <w:rFonts w:ascii="Calibri" w:hAnsi="Calibri" w:cs="Calibri"/>
                <w:b/>
                <w:color w:val="002B45"/>
                <w:sz w:val="20"/>
                <w:szCs w:val="20"/>
                <w:lang w:val="en-US"/>
              </w:rPr>
              <w:t>Change</w:t>
            </w:r>
          </w:p>
        </w:tc>
      </w:tr>
      <w:tr w:rsidR="008A3064" w:rsidRPr="0055761B" w:rsidTr="006B4FE1">
        <w:trPr>
          <w:trHeight w:val="255"/>
        </w:trPr>
        <w:tc>
          <w:tcPr>
            <w:tcW w:w="5245" w:type="dxa"/>
            <w:tcMar>
              <w:top w:w="57" w:type="dxa"/>
              <w:left w:w="0" w:type="dxa"/>
              <w:bottom w:w="57" w:type="dxa"/>
              <w:right w:w="0" w:type="dxa"/>
            </w:tcMar>
            <w:vAlign w:val="center"/>
          </w:tcPr>
          <w:p w:rsidR="008A3064" w:rsidRPr="0055761B" w:rsidRDefault="008A3064" w:rsidP="00AB4117">
            <w:pPr>
              <w:rPr>
                <w:rFonts w:asciiTheme="minorHAnsi" w:hAnsiTheme="minorHAnsi" w:cstheme="minorHAnsi"/>
                <w:color w:val="5F5F5F"/>
                <w:szCs w:val="19"/>
              </w:rPr>
            </w:pPr>
            <w:r w:rsidRPr="0055761B">
              <w:rPr>
                <w:rFonts w:asciiTheme="minorHAnsi" w:hAnsiTheme="minorHAnsi" w:cstheme="minorHAnsi"/>
                <w:color w:val="5F5F5F"/>
                <w:szCs w:val="19"/>
              </w:rPr>
              <w:t>Sales revenue ($m)</w:t>
            </w:r>
          </w:p>
        </w:tc>
        <w:tc>
          <w:tcPr>
            <w:tcW w:w="1701" w:type="dxa"/>
            <w:shd w:val="clear" w:color="auto" w:fill="F2F2F2"/>
            <w:tcMar>
              <w:top w:w="57" w:type="dxa"/>
              <w:left w:w="0" w:type="dxa"/>
              <w:bottom w:w="57" w:type="dxa"/>
              <w:right w:w="0" w:type="dxa"/>
            </w:tcMar>
            <w:vAlign w:val="bottom"/>
          </w:tcPr>
          <w:p w:rsidR="008A3064" w:rsidRPr="0055761B" w:rsidRDefault="008A3064" w:rsidP="00212D74">
            <w:pPr>
              <w:ind w:right="113"/>
              <w:jc w:val="right"/>
              <w:rPr>
                <w:rFonts w:asciiTheme="minorHAnsi" w:hAnsiTheme="minorHAnsi" w:cstheme="minorHAnsi"/>
                <w:color w:val="5F5F5F"/>
                <w:szCs w:val="19"/>
              </w:rPr>
            </w:pPr>
            <w:r w:rsidRPr="00506998">
              <w:rPr>
                <w:rFonts w:asciiTheme="minorHAnsi" w:hAnsiTheme="minorHAnsi" w:cstheme="minorHAnsi"/>
                <w:color w:val="5F5F5F"/>
                <w:szCs w:val="19"/>
              </w:rPr>
              <w:t>2,647</w:t>
            </w:r>
          </w:p>
        </w:tc>
        <w:tc>
          <w:tcPr>
            <w:tcW w:w="1418" w:type="dxa"/>
            <w:tcMar>
              <w:top w:w="57" w:type="dxa"/>
              <w:left w:w="0" w:type="dxa"/>
              <w:bottom w:w="57" w:type="dxa"/>
              <w:right w:w="0" w:type="dxa"/>
            </w:tcMar>
            <w:vAlign w:val="bottom"/>
          </w:tcPr>
          <w:p w:rsidR="008A3064" w:rsidRPr="0055761B" w:rsidRDefault="008A3064" w:rsidP="006B4FE1">
            <w:pPr>
              <w:ind w:right="113"/>
              <w:jc w:val="right"/>
              <w:rPr>
                <w:rFonts w:asciiTheme="minorHAnsi" w:hAnsiTheme="minorHAnsi" w:cstheme="minorHAnsi"/>
                <w:color w:val="5F5F5F"/>
                <w:szCs w:val="19"/>
              </w:rPr>
            </w:pPr>
            <w:r w:rsidRPr="00506998">
              <w:rPr>
                <w:rFonts w:asciiTheme="minorHAnsi" w:hAnsiTheme="minorHAnsi" w:cstheme="minorHAnsi"/>
                <w:color w:val="5F5F5F"/>
                <w:szCs w:val="19"/>
              </w:rPr>
              <w:t>2,344</w:t>
            </w:r>
          </w:p>
        </w:tc>
        <w:tc>
          <w:tcPr>
            <w:tcW w:w="1134" w:type="dxa"/>
            <w:tcMar>
              <w:top w:w="57" w:type="dxa"/>
              <w:left w:w="0" w:type="dxa"/>
              <w:bottom w:w="57" w:type="dxa"/>
              <w:right w:w="0" w:type="dxa"/>
            </w:tcMar>
            <w:vAlign w:val="bottom"/>
          </w:tcPr>
          <w:p w:rsidR="008A3064" w:rsidRPr="0055761B" w:rsidRDefault="008A3064" w:rsidP="006B4FE1">
            <w:pPr>
              <w:ind w:right="113"/>
              <w:jc w:val="right"/>
              <w:rPr>
                <w:rFonts w:asciiTheme="minorHAnsi" w:hAnsiTheme="minorHAnsi" w:cstheme="minorHAnsi"/>
                <w:color w:val="5F5F5F"/>
                <w:szCs w:val="19"/>
              </w:rPr>
            </w:pPr>
            <w:r w:rsidRPr="00506998">
              <w:rPr>
                <w:rFonts w:asciiTheme="minorHAnsi" w:hAnsiTheme="minorHAnsi" w:cstheme="minorHAnsi"/>
                <w:color w:val="5F5F5F"/>
                <w:szCs w:val="19"/>
              </w:rPr>
              <w:t>13%</w:t>
            </w:r>
          </w:p>
        </w:tc>
      </w:tr>
      <w:tr w:rsidR="008A3064" w:rsidRPr="0055761B" w:rsidTr="006B4FE1">
        <w:trPr>
          <w:trHeight w:val="255"/>
        </w:trPr>
        <w:tc>
          <w:tcPr>
            <w:tcW w:w="5245" w:type="dxa"/>
            <w:tcMar>
              <w:top w:w="57" w:type="dxa"/>
              <w:left w:w="0" w:type="dxa"/>
              <w:bottom w:w="57" w:type="dxa"/>
              <w:right w:w="0" w:type="dxa"/>
            </w:tcMar>
            <w:vAlign w:val="center"/>
          </w:tcPr>
          <w:p w:rsidR="008A3064" w:rsidRPr="0055761B" w:rsidRDefault="008A3064" w:rsidP="00AB4117">
            <w:pPr>
              <w:rPr>
                <w:rFonts w:asciiTheme="minorHAnsi" w:hAnsiTheme="minorHAnsi" w:cstheme="minorHAnsi"/>
                <w:color w:val="5F5F5F"/>
                <w:szCs w:val="19"/>
              </w:rPr>
            </w:pPr>
            <w:r>
              <w:rPr>
                <w:rFonts w:asciiTheme="minorHAnsi" w:hAnsiTheme="minorHAnsi" w:cstheme="minorHAnsi"/>
                <w:color w:val="5F5F5F"/>
                <w:szCs w:val="19"/>
              </w:rPr>
              <w:t>Gross profit ($m)</w:t>
            </w:r>
          </w:p>
        </w:tc>
        <w:tc>
          <w:tcPr>
            <w:tcW w:w="1701" w:type="dxa"/>
            <w:shd w:val="clear" w:color="auto" w:fill="F2F2F2"/>
            <w:tcMar>
              <w:top w:w="57" w:type="dxa"/>
              <w:left w:w="0" w:type="dxa"/>
              <w:bottom w:w="57" w:type="dxa"/>
              <w:right w:w="0" w:type="dxa"/>
            </w:tcMar>
            <w:vAlign w:val="bottom"/>
          </w:tcPr>
          <w:p w:rsidR="008A3064" w:rsidRPr="0055761B" w:rsidRDefault="008A3064" w:rsidP="00212D74">
            <w:pPr>
              <w:ind w:right="113"/>
              <w:jc w:val="right"/>
              <w:rPr>
                <w:rFonts w:asciiTheme="minorHAnsi" w:hAnsiTheme="minorHAnsi" w:cstheme="minorHAnsi"/>
                <w:color w:val="5F5F5F"/>
                <w:szCs w:val="19"/>
              </w:rPr>
            </w:pPr>
            <w:r w:rsidRPr="00506998">
              <w:rPr>
                <w:rFonts w:asciiTheme="minorHAnsi" w:hAnsiTheme="minorHAnsi" w:cstheme="minorHAnsi"/>
                <w:color w:val="5F5F5F"/>
                <w:szCs w:val="19"/>
              </w:rPr>
              <w:t>1,440</w:t>
            </w:r>
          </w:p>
        </w:tc>
        <w:tc>
          <w:tcPr>
            <w:tcW w:w="1418" w:type="dxa"/>
            <w:tcMar>
              <w:top w:w="57" w:type="dxa"/>
              <w:left w:w="0" w:type="dxa"/>
              <w:bottom w:w="57" w:type="dxa"/>
              <w:right w:w="0" w:type="dxa"/>
            </w:tcMar>
            <w:vAlign w:val="bottom"/>
          </w:tcPr>
          <w:p w:rsidR="008A3064" w:rsidRPr="0055761B" w:rsidRDefault="008A3064" w:rsidP="006B4FE1">
            <w:pPr>
              <w:ind w:right="113"/>
              <w:jc w:val="right"/>
              <w:rPr>
                <w:rFonts w:asciiTheme="minorHAnsi" w:hAnsiTheme="minorHAnsi" w:cstheme="minorHAnsi"/>
                <w:color w:val="5F5F5F"/>
                <w:szCs w:val="19"/>
              </w:rPr>
            </w:pPr>
            <w:r w:rsidRPr="00506998">
              <w:rPr>
                <w:rFonts w:asciiTheme="minorHAnsi" w:hAnsiTheme="minorHAnsi" w:cstheme="minorHAnsi"/>
                <w:color w:val="5F5F5F"/>
                <w:szCs w:val="19"/>
              </w:rPr>
              <w:t>1,345</w:t>
            </w:r>
          </w:p>
        </w:tc>
        <w:tc>
          <w:tcPr>
            <w:tcW w:w="1134" w:type="dxa"/>
            <w:tcMar>
              <w:top w:w="57" w:type="dxa"/>
              <w:left w:w="0" w:type="dxa"/>
              <w:bottom w:w="57" w:type="dxa"/>
              <w:right w:w="0" w:type="dxa"/>
            </w:tcMar>
            <w:vAlign w:val="bottom"/>
          </w:tcPr>
          <w:p w:rsidR="008A3064" w:rsidRPr="0055761B" w:rsidRDefault="008A3064" w:rsidP="006B4FE1">
            <w:pPr>
              <w:ind w:right="113"/>
              <w:jc w:val="right"/>
              <w:rPr>
                <w:rFonts w:asciiTheme="minorHAnsi" w:hAnsiTheme="minorHAnsi" w:cstheme="minorHAnsi"/>
                <w:color w:val="5F5F5F"/>
                <w:szCs w:val="19"/>
              </w:rPr>
            </w:pPr>
            <w:r w:rsidRPr="00506998">
              <w:rPr>
                <w:rFonts w:asciiTheme="minorHAnsi" w:hAnsiTheme="minorHAnsi" w:cstheme="minorHAnsi"/>
                <w:color w:val="5F5F5F"/>
                <w:szCs w:val="19"/>
              </w:rPr>
              <w:t>7%</w:t>
            </w:r>
          </w:p>
        </w:tc>
      </w:tr>
      <w:tr w:rsidR="008A3064" w:rsidRPr="0055761B" w:rsidTr="006B4FE1">
        <w:trPr>
          <w:trHeight w:val="255"/>
        </w:trPr>
        <w:tc>
          <w:tcPr>
            <w:tcW w:w="5245" w:type="dxa"/>
            <w:tcMar>
              <w:top w:w="57" w:type="dxa"/>
              <w:left w:w="0" w:type="dxa"/>
              <w:bottom w:w="57" w:type="dxa"/>
              <w:right w:w="0" w:type="dxa"/>
            </w:tcMar>
            <w:vAlign w:val="center"/>
          </w:tcPr>
          <w:p w:rsidR="008A3064" w:rsidRPr="0055761B" w:rsidRDefault="008A3064" w:rsidP="00AB4117">
            <w:pPr>
              <w:rPr>
                <w:rFonts w:asciiTheme="minorHAnsi" w:hAnsiTheme="minorHAnsi" w:cstheme="minorHAnsi"/>
                <w:color w:val="5F5F5F"/>
                <w:szCs w:val="19"/>
              </w:rPr>
            </w:pPr>
            <w:r w:rsidRPr="0055761B">
              <w:rPr>
                <w:rFonts w:asciiTheme="minorHAnsi" w:hAnsiTheme="minorHAnsi" w:cstheme="minorHAnsi"/>
                <w:color w:val="5F5F5F"/>
                <w:szCs w:val="19"/>
              </w:rPr>
              <w:t>Operating profit ($m)</w:t>
            </w:r>
          </w:p>
        </w:tc>
        <w:tc>
          <w:tcPr>
            <w:tcW w:w="1701" w:type="dxa"/>
            <w:shd w:val="clear" w:color="auto" w:fill="F2F2F2"/>
            <w:tcMar>
              <w:top w:w="57" w:type="dxa"/>
              <w:left w:w="0" w:type="dxa"/>
              <w:bottom w:w="57" w:type="dxa"/>
              <w:right w:w="0" w:type="dxa"/>
            </w:tcMar>
            <w:vAlign w:val="bottom"/>
          </w:tcPr>
          <w:p w:rsidR="008A3064" w:rsidRPr="0055761B" w:rsidRDefault="00255645" w:rsidP="00212D74">
            <w:pPr>
              <w:ind w:right="113"/>
              <w:jc w:val="right"/>
              <w:rPr>
                <w:rFonts w:asciiTheme="minorHAnsi" w:hAnsiTheme="minorHAnsi" w:cstheme="minorHAnsi"/>
                <w:color w:val="5F5F5F"/>
                <w:szCs w:val="19"/>
              </w:rPr>
            </w:pPr>
            <w:r>
              <w:rPr>
                <w:rFonts w:asciiTheme="minorHAnsi" w:hAnsiTheme="minorHAnsi" w:cstheme="minorHAnsi"/>
                <w:color w:val="5F5F5F"/>
                <w:szCs w:val="19"/>
              </w:rPr>
              <w:t>381</w:t>
            </w:r>
          </w:p>
        </w:tc>
        <w:tc>
          <w:tcPr>
            <w:tcW w:w="1418" w:type="dxa"/>
            <w:tcMar>
              <w:top w:w="57" w:type="dxa"/>
              <w:left w:w="0" w:type="dxa"/>
              <w:bottom w:w="57" w:type="dxa"/>
              <w:right w:w="0" w:type="dxa"/>
            </w:tcMar>
            <w:vAlign w:val="bottom"/>
          </w:tcPr>
          <w:p w:rsidR="008A3064" w:rsidRPr="0055761B" w:rsidRDefault="008A3064" w:rsidP="006B4FE1">
            <w:pPr>
              <w:ind w:right="113"/>
              <w:jc w:val="right"/>
              <w:rPr>
                <w:rFonts w:asciiTheme="minorHAnsi" w:hAnsiTheme="minorHAnsi" w:cstheme="minorHAnsi"/>
                <w:color w:val="5F5F5F"/>
                <w:szCs w:val="19"/>
              </w:rPr>
            </w:pPr>
            <w:r w:rsidRPr="00506998">
              <w:rPr>
                <w:rFonts w:asciiTheme="minorHAnsi" w:hAnsiTheme="minorHAnsi" w:cstheme="minorHAnsi"/>
                <w:color w:val="5F5F5F"/>
                <w:szCs w:val="19"/>
              </w:rPr>
              <w:t>1,185</w:t>
            </w:r>
          </w:p>
        </w:tc>
        <w:tc>
          <w:tcPr>
            <w:tcW w:w="1134" w:type="dxa"/>
            <w:tcMar>
              <w:top w:w="57" w:type="dxa"/>
              <w:left w:w="0" w:type="dxa"/>
              <w:bottom w:w="57" w:type="dxa"/>
              <w:right w:w="0" w:type="dxa"/>
            </w:tcMar>
            <w:vAlign w:val="bottom"/>
          </w:tcPr>
          <w:p w:rsidR="008A3064" w:rsidRPr="0055761B" w:rsidRDefault="00255645" w:rsidP="006B4FE1">
            <w:pPr>
              <w:ind w:right="113"/>
              <w:jc w:val="right"/>
              <w:rPr>
                <w:rFonts w:asciiTheme="minorHAnsi" w:hAnsiTheme="minorHAnsi" w:cstheme="minorHAnsi"/>
                <w:color w:val="5F5F5F"/>
                <w:szCs w:val="19"/>
              </w:rPr>
            </w:pPr>
            <w:r>
              <w:rPr>
                <w:rFonts w:asciiTheme="minorHAnsi" w:hAnsiTheme="minorHAnsi" w:cstheme="minorHAnsi"/>
                <w:color w:val="5F5F5F"/>
                <w:szCs w:val="19"/>
              </w:rPr>
              <w:t>-68</w:t>
            </w:r>
            <w:r w:rsidR="008A3064" w:rsidRPr="00506998">
              <w:rPr>
                <w:rFonts w:asciiTheme="minorHAnsi" w:hAnsiTheme="minorHAnsi" w:cstheme="minorHAnsi"/>
                <w:color w:val="5F5F5F"/>
                <w:szCs w:val="19"/>
              </w:rPr>
              <w:t>%</w:t>
            </w:r>
          </w:p>
        </w:tc>
      </w:tr>
      <w:tr w:rsidR="008A3064" w:rsidRPr="0055761B" w:rsidTr="006B4FE1">
        <w:trPr>
          <w:trHeight w:val="255"/>
        </w:trPr>
        <w:tc>
          <w:tcPr>
            <w:tcW w:w="5245" w:type="dxa"/>
            <w:tcMar>
              <w:top w:w="57" w:type="dxa"/>
              <w:left w:w="0" w:type="dxa"/>
              <w:bottom w:w="57" w:type="dxa"/>
              <w:right w:w="0" w:type="dxa"/>
            </w:tcMar>
            <w:vAlign w:val="center"/>
          </w:tcPr>
          <w:p w:rsidR="008A3064" w:rsidRPr="0055761B" w:rsidRDefault="008A3064" w:rsidP="00AB4117">
            <w:pPr>
              <w:rPr>
                <w:rFonts w:asciiTheme="minorHAnsi" w:hAnsiTheme="minorHAnsi" w:cstheme="minorHAnsi"/>
                <w:color w:val="5F5F5F"/>
                <w:szCs w:val="19"/>
              </w:rPr>
            </w:pPr>
            <w:r w:rsidRPr="0055761B">
              <w:rPr>
                <w:rFonts w:asciiTheme="minorHAnsi" w:hAnsiTheme="minorHAnsi" w:cstheme="minorHAnsi"/>
                <w:color w:val="5F5F5F"/>
                <w:szCs w:val="19"/>
              </w:rPr>
              <w:t>Profit before tax ($m)</w:t>
            </w:r>
          </w:p>
        </w:tc>
        <w:tc>
          <w:tcPr>
            <w:tcW w:w="1701" w:type="dxa"/>
            <w:shd w:val="clear" w:color="auto" w:fill="F2F2F2"/>
            <w:tcMar>
              <w:top w:w="57" w:type="dxa"/>
              <w:left w:w="0" w:type="dxa"/>
              <w:bottom w:w="57" w:type="dxa"/>
              <w:right w:w="0" w:type="dxa"/>
            </w:tcMar>
            <w:vAlign w:val="bottom"/>
          </w:tcPr>
          <w:p w:rsidR="008A3064" w:rsidRPr="0055761B" w:rsidRDefault="008A3064" w:rsidP="00212D74">
            <w:pPr>
              <w:ind w:right="113"/>
              <w:jc w:val="right"/>
              <w:rPr>
                <w:rFonts w:asciiTheme="minorHAnsi" w:hAnsiTheme="minorHAnsi" w:cstheme="minorHAnsi"/>
                <w:color w:val="5F5F5F"/>
                <w:szCs w:val="19"/>
              </w:rPr>
            </w:pPr>
            <w:r w:rsidRPr="00506998">
              <w:rPr>
                <w:rFonts w:asciiTheme="minorHAnsi" w:hAnsiTheme="minorHAnsi" w:cstheme="minorHAnsi"/>
                <w:color w:val="5F5F5F"/>
                <w:szCs w:val="19"/>
              </w:rPr>
              <w:t>313</w:t>
            </w:r>
          </w:p>
        </w:tc>
        <w:tc>
          <w:tcPr>
            <w:tcW w:w="1418" w:type="dxa"/>
            <w:tcMar>
              <w:top w:w="57" w:type="dxa"/>
              <w:left w:w="0" w:type="dxa"/>
              <w:bottom w:w="57" w:type="dxa"/>
              <w:right w:w="0" w:type="dxa"/>
            </w:tcMar>
            <w:vAlign w:val="bottom"/>
          </w:tcPr>
          <w:p w:rsidR="008A3064" w:rsidRPr="0055761B" w:rsidRDefault="008A3064" w:rsidP="006B4FE1">
            <w:pPr>
              <w:ind w:right="113"/>
              <w:jc w:val="right"/>
              <w:rPr>
                <w:rFonts w:asciiTheme="minorHAnsi" w:hAnsiTheme="minorHAnsi" w:cstheme="minorHAnsi"/>
                <w:color w:val="5F5F5F"/>
                <w:szCs w:val="19"/>
              </w:rPr>
            </w:pPr>
            <w:r w:rsidRPr="00506998">
              <w:rPr>
                <w:rFonts w:asciiTheme="minorHAnsi" w:hAnsiTheme="minorHAnsi" w:cstheme="minorHAnsi"/>
                <w:color w:val="5F5F5F"/>
                <w:szCs w:val="19"/>
              </w:rPr>
              <w:t>1,116</w:t>
            </w:r>
          </w:p>
        </w:tc>
        <w:tc>
          <w:tcPr>
            <w:tcW w:w="1134" w:type="dxa"/>
            <w:tcMar>
              <w:top w:w="57" w:type="dxa"/>
              <w:left w:w="0" w:type="dxa"/>
              <w:bottom w:w="57" w:type="dxa"/>
              <w:right w:w="0" w:type="dxa"/>
            </w:tcMar>
            <w:vAlign w:val="bottom"/>
          </w:tcPr>
          <w:p w:rsidR="008A3064" w:rsidRPr="0055761B" w:rsidRDefault="008A3064" w:rsidP="006B4FE1">
            <w:pPr>
              <w:ind w:right="113"/>
              <w:jc w:val="right"/>
              <w:rPr>
                <w:rFonts w:asciiTheme="minorHAnsi" w:hAnsiTheme="minorHAnsi" w:cstheme="minorHAnsi"/>
                <w:color w:val="5F5F5F"/>
                <w:szCs w:val="19"/>
              </w:rPr>
            </w:pPr>
            <w:r w:rsidRPr="00506998">
              <w:rPr>
                <w:rFonts w:asciiTheme="minorHAnsi" w:hAnsiTheme="minorHAnsi" w:cstheme="minorHAnsi"/>
                <w:color w:val="5F5F5F"/>
                <w:szCs w:val="19"/>
              </w:rPr>
              <w:t>-72%</w:t>
            </w:r>
          </w:p>
        </w:tc>
      </w:tr>
      <w:tr w:rsidR="008A3064" w:rsidRPr="0055761B" w:rsidTr="006B4FE1">
        <w:trPr>
          <w:trHeight w:val="255"/>
        </w:trPr>
        <w:tc>
          <w:tcPr>
            <w:tcW w:w="5245" w:type="dxa"/>
            <w:tcMar>
              <w:top w:w="57" w:type="dxa"/>
              <w:left w:w="0" w:type="dxa"/>
              <w:bottom w:w="57" w:type="dxa"/>
              <w:right w:w="0" w:type="dxa"/>
            </w:tcMar>
            <w:vAlign w:val="center"/>
          </w:tcPr>
          <w:p w:rsidR="008A3064" w:rsidRPr="0055761B" w:rsidRDefault="008A3064" w:rsidP="00AB4117">
            <w:pPr>
              <w:rPr>
                <w:rFonts w:asciiTheme="minorHAnsi" w:hAnsiTheme="minorHAnsi" w:cstheme="minorHAnsi"/>
                <w:color w:val="5F5F5F"/>
                <w:szCs w:val="19"/>
              </w:rPr>
            </w:pPr>
            <w:r w:rsidRPr="0055761B">
              <w:rPr>
                <w:rFonts w:asciiTheme="minorHAnsi" w:hAnsiTheme="minorHAnsi" w:cstheme="minorHAnsi"/>
                <w:color w:val="5F5F5F"/>
                <w:szCs w:val="19"/>
              </w:rPr>
              <w:t>Profit after tax ($m)</w:t>
            </w:r>
          </w:p>
        </w:tc>
        <w:tc>
          <w:tcPr>
            <w:tcW w:w="1701" w:type="dxa"/>
            <w:shd w:val="clear" w:color="auto" w:fill="F2F2F2"/>
            <w:tcMar>
              <w:top w:w="57" w:type="dxa"/>
              <w:left w:w="0" w:type="dxa"/>
              <w:bottom w:w="57" w:type="dxa"/>
              <w:right w:w="0" w:type="dxa"/>
            </w:tcMar>
            <w:vAlign w:val="bottom"/>
          </w:tcPr>
          <w:p w:rsidR="008A3064" w:rsidRPr="0055761B" w:rsidRDefault="008A3064" w:rsidP="00212D74">
            <w:pPr>
              <w:ind w:right="113"/>
              <w:jc w:val="right"/>
              <w:rPr>
                <w:rFonts w:asciiTheme="minorHAnsi" w:hAnsiTheme="minorHAnsi" w:cstheme="minorHAnsi"/>
                <w:color w:val="5F5F5F"/>
                <w:szCs w:val="19"/>
              </w:rPr>
            </w:pPr>
            <w:r w:rsidRPr="00506998">
              <w:rPr>
                <w:rFonts w:asciiTheme="minorHAnsi" w:hAnsiTheme="minorHAnsi" w:cstheme="minorHAnsi"/>
                <w:color w:val="5F5F5F"/>
                <w:szCs w:val="19"/>
              </w:rPr>
              <w:t>216</w:t>
            </w:r>
          </w:p>
        </w:tc>
        <w:tc>
          <w:tcPr>
            <w:tcW w:w="1418" w:type="dxa"/>
            <w:tcMar>
              <w:top w:w="57" w:type="dxa"/>
              <w:left w:w="0" w:type="dxa"/>
              <w:bottom w:w="57" w:type="dxa"/>
              <w:right w:w="0" w:type="dxa"/>
            </w:tcMar>
            <w:vAlign w:val="bottom"/>
          </w:tcPr>
          <w:p w:rsidR="008A3064" w:rsidRPr="0055761B" w:rsidRDefault="008A3064" w:rsidP="006B4FE1">
            <w:pPr>
              <w:ind w:right="113"/>
              <w:jc w:val="right"/>
              <w:rPr>
                <w:rFonts w:asciiTheme="minorHAnsi" w:hAnsiTheme="minorHAnsi" w:cstheme="minorHAnsi"/>
                <w:color w:val="5F5F5F"/>
                <w:szCs w:val="19"/>
              </w:rPr>
            </w:pPr>
            <w:r w:rsidRPr="00506998">
              <w:rPr>
                <w:rFonts w:asciiTheme="minorHAnsi" w:hAnsiTheme="minorHAnsi" w:cstheme="minorHAnsi"/>
                <w:color w:val="5F5F5F"/>
                <w:szCs w:val="19"/>
              </w:rPr>
              <w:t>666</w:t>
            </w:r>
          </w:p>
        </w:tc>
        <w:tc>
          <w:tcPr>
            <w:tcW w:w="1134" w:type="dxa"/>
            <w:tcMar>
              <w:top w:w="57" w:type="dxa"/>
              <w:left w:w="0" w:type="dxa"/>
              <w:bottom w:w="57" w:type="dxa"/>
              <w:right w:w="0" w:type="dxa"/>
            </w:tcMar>
            <w:vAlign w:val="bottom"/>
          </w:tcPr>
          <w:p w:rsidR="008A3064" w:rsidRPr="0055761B" w:rsidRDefault="008A3064" w:rsidP="006B4FE1">
            <w:pPr>
              <w:ind w:right="113"/>
              <w:jc w:val="right"/>
              <w:rPr>
                <w:rFonts w:asciiTheme="minorHAnsi" w:hAnsiTheme="minorHAnsi" w:cstheme="minorHAnsi"/>
                <w:color w:val="5F5F5F"/>
                <w:szCs w:val="19"/>
              </w:rPr>
            </w:pPr>
            <w:r w:rsidRPr="00506998">
              <w:rPr>
                <w:rFonts w:asciiTheme="minorHAnsi" w:hAnsiTheme="minorHAnsi" w:cstheme="minorHAnsi"/>
                <w:color w:val="5F5F5F"/>
                <w:szCs w:val="19"/>
              </w:rPr>
              <w:t>-68%</w:t>
            </w:r>
          </w:p>
        </w:tc>
      </w:tr>
      <w:tr w:rsidR="008A3064" w:rsidRPr="0055761B" w:rsidTr="006B4FE1">
        <w:trPr>
          <w:trHeight w:val="271"/>
        </w:trPr>
        <w:tc>
          <w:tcPr>
            <w:tcW w:w="5245" w:type="dxa"/>
            <w:tcMar>
              <w:top w:w="57" w:type="dxa"/>
              <w:left w:w="0" w:type="dxa"/>
              <w:bottom w:w="57" w:type="dxa"/>
              <w:right w:w="0" w:type="dxa"/>
            </w:tcMar>
            <w:vAlign w:val="center"/>
          </w:tcPr>
          <w:p w:rsidR="008A3064" w:rsidRPr="0055761B" w:rsidRDefault="008A3064" w:rsidP="00CA3F78">
            <w:pPr>
              <w:rPr>
                <w:rFonts w:asciiTheme="minorHAnsi" w:hAnsiTheme="minorHAnsi" w:cstheme="minorHAnsi"/>
                <w:color w:val="5F5F5F"/>
                <w:szCs w:val="19"/>
              </w:rPr>
            </w:pPr>
            <w:r w:rsidRPr="0055761B">
              <w:rPr>
                <w:rFonts w:asciiTheme="minorHAnsi" w:hAnsiTheme="minorHAnsi" w:cstheme="minorHAnsi"/>
                <w:color w:val="5F5F5F"/>
                <w:szCs w:val="19"/>
              </w:rPr>
              <w:t>Basic earnings per share (cents)</w:t>
            </w:r>
          </w:p>
        </w:tc>
        <w:tc>
          <w:tcPr>
            <w:tcW w:w="1701" w:type="dxa"/>
            <w:shd w:val="clear" w:color="auto" w:fill="F2F2F2"/>
            <w:tcMar>
              <w:top w:w="57" w:type="dxa"/>
              <w:left w:w="0" w:type="dxa"/>
              <w:bottom w:w="57" w:type="dxa"/>
              <w:right w:w="0" w:type="dxa"/>
            </w:tcMar>
            <w:vAlign w:val="bottom"/>
          </w:tcPr>
          <w:p w:rsidR="008A3064" w:rsidRPr="0055761B" w:rsidRDefault="008A3064" w:rsidP="00212D74">
            <w:pPr>
              <w:ind w:right="113"/>
              <w:jc w:val="right"/>
              <w:rPr>
                <w:rFonts w:asciiTheme="minorHAnsi" w:hAnsiTheme="minorHAnsi" w:cstheme="minorHAnsi"/>
                <w:color w:val="5F5F5F"/>
                <w:szCs w:val="19"/>
              </w:rPr>
            </w:pPr>
            <w:r w:rsidRPr="00506998">
              <w:rPr>
                <w:rFonts w:asciiTheme="minorHAnsi" w:hAnsiTheme="minorHAnsi" w:cstheme="minorHAnsi"/>
                <w:color w:val="5F5F5F"/>
                <w:szCs w:val="19"/>
              </w:rPr>
              <w:t>18.6</w:t>
            </w:r>
          </w:p>
        </w:tc>
        <w:tc>
          <w:tcPr>
            <w:tcW w:w="1418" w:type="dxa"/>
            <w:tcMar>
              <w:top w:w="57" w:type="dxa"/>
              <w:left w:w="0" w:type="dxa"/>
              <w:bottom w:w="57" w:type="dxa"/>
              <w:right w:w="0" w:type="dxa"/>
            </w:tcMar>
            <w:vAlign w:val="bottom"/>
          </w:tcPr>
          <w:p w:rsidR="008A3064" w:rsidRPr="0055761B" w:rsidRDefault="008A3064" w:rsidP="006B4FE1">
            <w:pPr>
              <w:ind w:right="113"/>
              <w:jc w:val="right"/>
              <w:rPr>
                <w:rFonts w:asciiTheme="minorHAnsi" w:hAnsiTheme="minorHAnsi" w:cstheme="minorHAnsi"/>
                <w:color w:val="5F5F5F"/>
                <w:szCs w:val="19"/>
              </w:rPr>
            </w:pPr>
            <w:r w:rsidRPr="00506998">
              <w:rPr>
                <w:rFonts w:asciiTheme="minorHAnsi" w:hAnsiTheme="minorHAnsi" w:cstheme="minorHAnsi"/>
                <w:color w:val="5F5F5F"/>
                <w:szCs w:val="19"/>
              </w:rPr>
              <w:t>68.8</w:t>
            </w:r>
          </w:p>
        </w:tc>
        <w:tc>
          <w:tcPr>
            <w:tcW w:w="1134" w:type="dxa"/>
            <w:tcMar>
              <w:top w:w="57" w:type="dxa"/>
              <w:left w:w="0" w:type="dxa"/>
              <w:bottom w:w="57" w:type="dxa"/>
              <w:right w:w="0" w:type="dxa"/>
            </w:tcMar>
            <w:vAlign w:val="bottom"/>
          </w:tcPr>
          <w:p w:rsidR="008A3064" w:rsidRPr="0055761B" w:rsidRDefault="008A3064" w:rsidP="006B4FE1">
            <w:pPr>
              <w:ind w:right="113"/>
              <w:jc w:val="right"/>
              <w:rPr>
                <w:rFonts w:asciiTheme="minorHAnsi" w:hAnsiTheme="minorHAnsi" w:cstheme="minorHAnsi"/>
                <w:color w:val="5F5F5F"/>
                <w:szCs w:val="19"/>
              </w:rPr>
            </w:pPr>
            <w:r w:rsidRPr="00506998">
              <w:rPr>
                <w:rFonts w:asciiTheme="minorHAnsi" w:hAnsiTheme="minorHAnsi" w:cstheme="minorHAnsi"/>
                <w:color w:val="5F5F5F"/>
                <w:szCs w:val="19"/>
              </w:rPr>
              <w:t>-73%</w:t>
            </w:r>
          </w:p>
        </w:tc>
      </w:tr>
      <w:tr w:rsidR="008A3064" w:rsidRPr="0055761B" w:rsidTr="006B4FE1">
        <w:trPr>
          <w:trHeight w:val="255"/>
        </w:trPr>
        <w:tc>
          <w:tcPr>
            <w:tcW w:w="5245" w:type="dxa"/>
            <w:tcMar>
              <w:top w:w="57" w:type="dxa"/>
              <w:left w:w="0" w:type="dxa"/>
              <w:bottom w:w="57" w:type="dxa"/>
              <w:right w:w="0" w:type="dxa"/>
            </w:tcMar>
            <w:vAlign w:val="center"/>
          </w:tcPr>
          <w:p w:rsidR="008A3064" w:rsidRPr="0055761B" w:rsidRDefault="008A3064" w:rsidP="00CA3F78">
            <w:pPr>
              <w:rPr>
                <w:rFonts w:asciiTheme="minorHAnsi" w:hAnsiTheme="minorHAnsi" w:cstheme="minorHAnsi"/>
                <w:color w:val="5F5F5F"/>
                <w:szCs w:val="19"/>
              </w:rPr>
            </w:pPr>
            <w:r w:rsidRPr="0055761B">
              <w:rPr>
                <w:rFonts w:asciiTheme="minorHAnsi" w:hAnsiTheme="minorHAnsi" w:cstheme="minorHAnsi"/>
                <w:color w:val="5F5F5F"/>
                <w:szCs w:val="19"/>
              </w:rPr>
              <w:t>Full year dividend per share (pence)</w:t>
            </w:r>
          </w:p>
        </w:tc>
        <w:tc>
          <w:tcPr>
            <w:tcW w:w="1701" w:type="dxa"/>
            <w:shd w:val="clear" w:color="auto" w:fill="F2F2F2"/>
            <w:tcMar>
              <w:top w:w="57" w:type="dxa"/>
              <w:left w:w="0" w:type="dxa"/>
              <w:bottom w:w="57" w:type="dxa"/>
              <w:right w:w="0" w:type="dxa"/>
            </w:tcMar>
            <w:vAlign w:val="bottom"/>
          </w:tcPr>
          <w:p w:rsidR="008A3064" w:rsidRPr="0055761B" w:rsidRDefault="008A3064" w:rsidP="00212D74">
            <w:pPr>
              <w:ind w:right="113"/>
              <w:jc w:val="right"/>
              <w:rPr>
                <w:rFonts w:asciiTheme="minorHAnsi" w:hAnsiTheme="minorHAnsi" w:cstheme="minorHAnsi"/>
                <w:color w:val="5F5F5F"/>
                <w:szCs w:val="19"/>
              </w:rPr>
            </w:pPr>
            <w:r w:rsidRPr="00506998">
              <w:rPr>
                <w:rFonts w:asciiTheme="minorHAnsi" w:hAnsiTheme="minorHAnsi" w:cstheme="minorHAnsi"/>
                <w:color w:val="5F5F5F"/>
                <w:szCs w:val="19"/>
              </w:rPr>
              <w:t>12.0</w:t>
            </w:r>
          </w:p>
        </w:tc>
        <w:tc>
          <w:tcPr>
            <w:tcW w:w="1418" w:type="dxa"/>
            <w:tcMar>
              <w:top w:w="57" w:type="dxa"/>
              <w:left w:w="0" w:type="dxa"/>
              <w:bottom w:w="57" w:type="dxa"/>
              <w:right w:w="0" w:type="dxa"/>
            </w:tcMar>
            <w:vAlign w:val="bottom"/>
          </w:tcPr>
          <w:p w:rsidR="008A3064" w:rsidRPr="0055761B" w:rsidRDefault="008A3064" w:rsidP="006B4FE1">
            <w:pPr>
              <w:ind w:right="113"/>
              <w:jc w:val="right"/>
              <w:rPr>
                <w:rFonts w:asciiTheme="minorHAnsi" w:hAnsiTheme="minorHAnsi" w:cstheme="minorHAnsi"/>
                <w:color w:val="5F5F5F"/>
                <w:szCs w:val="19"/>
              </w:rPr>
            </w:pPr>
            <w:r w:rsidRPr="00506998">
              <w:rPr>
                <w:rFonts w:asciiTheme="minorHAnsi" w:hAnsiTheme="minorHAnsi" w:cstheme="minorHAnsi"/>
                <w:color w:val="5F5F5F"/>
                <w:szCs w:val="19"/>
              </w:rPr>
              <w:t>12.0</w:t>
            </w:r>
          </w:p>
        </w:tc>
        <w:tc>
          <w:tcPr>
            <w:tcW w:w="1134" w:type="dxa"/>
            <w:tcMar>
              <w:top w:w="57" w:type="dxa"/>
              <w:left w:w="0" w:type="dxa"/>
              <w:bottom w:w="57" w:type="dxa"/>
              <w:right w:w="0" w:type="dxa"/>
            </w:tcMar>
            <w:vAlign w:val="bottom"/>
          </w:tcPr>
          <w:p w:rsidR="008A3064" w:rsidRPr="0055761B" w:rsidRDefault="008A3064" w:rsidP="006B4FE1">
            <w:pPr>
              <w:ind w:right="113"/>
              <w:jc w:val="right"/>
              <w:rPr>
                <w:rFonts w:asciiTheme="minorHAnsi" w:hAnsiTheme="minorHAnsi" w:cstheme="minorHAnsi"/>
                <w:color w:val="5F5F5F"/>
                <w:szCs w:val="19"/>
              </w:rPr>
            </w:pPr>
            <w:r w:rsidRPr="00506998">
              <w:rPr>
                <w:rFonts w:asciiTheme="minorHAnsi" w:hAnsiTheme="minorHAnsi" w:cstheme="minorHAnsi"/>
                <w:color w:val="5F5F5F"/>
                <w:szCs w:val="19"/>
              </w:rPr>
              <w:t>0%</w:t>
            </w:r>
          </w:p>
        </w:tc>
      </w:tr>
      <w:tr w:rsidR="008A3064" w:rsidRPr="0055761B" w:rsidTr="006B4FE1">
        <w:trPr>
          <w:trHeight w:val="255"/>
        </w:trPr>
        <w:tc>
          <w:tcPr>
            <w:tcW w:w="5245" w:type="dxa"/>
            <w:tcMar>
              <w:top w:w="57" w:type="dxa"/>
              <w:left w:w="0" w:type="dxa"/>
              <w:bottom w:w="57" w:type="dxa"/>
              <w:right w:w="0" w:type="dxa"/>
            </w:tcMar>
            <w:vAlign w:val="center"/>
          </w:tcPr>
          <w:p w:rsidR="008A3064" w:rsidRPr="0055761B" w:rsidRDefault="008A3064" w:rsidP="00CA3F78">
            <w:pPr>
              <w:rPr>
                <w:rFonts w:asciiTheme="minorHAnsi" w:hAnsiTheme="minorHAnsi" w:cstheme="minorHAnsi"/>
                <w:color w:val="5F5F5F"/>
                <w:szCs w:val="19"/>
              </w:rPr>
            </w:pPr>
            <w:r w:rsidRPr="0055761B">
              <w:rPr>
                <w:rFonts w:asciiTheme="minorHAnsi" w:hAnsiTheme="minorHAnsi" w:cstheme="minorHAnsi"/>
                <w:color w:val="5F5F5F"/>
                <w:szCs w:val="19"/>
              </w:rPr>
              <w:t>Operating cash flow before working capital ($m)</w:t>
            </w:r>
          </w:p>
        </w:tc>
        <w:tc>
          <w:tcPr>
            <w:tcW w:w="1701" w:type="dxa"/>
            <w:shd w:val="clear" w:color="auto" w:fill="F2F2F2"/>
            <w:tcMar>
              <w:top w:w="57" w:type="dxa"/>
              <w:left w:w="0" w:type="dxa"/>
              <w:bottom w:w="57" w:type="dxa"/>
              <w:right w:w="0" w:type="dxa"/>
            </w:tcMar>
            <w:vAlign w:val="bottom"/>
          </w:tcPr>
          <w:p w:rsidR="008A3064" w:rsidRPr="0055761B" w:rsidRDefault="00255645" w:rsidP="00212D74">
            <w:pPr>
              <w:ind w:right="113"/>
              <w:jc w:val="right"/>
              <w:rPr>
                <w:rFonts w:asciiTheme="minorHAnsi" w:hAnsiTheme="minorHAnsi" w:cstheme="minorHAnsi"/>
                <w:color w:val="5F5F5F"/>
                <w:szCs w:val="19"/>
              </w:rPr>
            </w:pPr>
            <w:r>
              <w:rPr>
                <w:rFonts w:asciiTheme="minorHAnsi" w:hAnsiTheme="minorHAnsi" w:cstheme="minorHAnsi"/>
                <w:color w:val="5F5F5F"/>
                <w:szCs w:val="19"/>
              </w:rPr>
              <w:t>1,901</w:t>
            </w:r>
          </w:p>
        </w:tc>
        <w:tc>
          <w:tcPr>
            <w:tcW w:w="1418" w:type="dxa"/>
            <w:tcMar>
              <w:top w:w="57" w:type="dxa"/>
              <w:left w:w="0" w:type="dxa"/>
              <w:bottom w:w="57" w:type="dxa"/>
              <w:right w:w="0" w:type="dxa"/>
            </w:tcMar>
            <w:vAlign w:val="bottom"/>
          </w:tcPr>
          <w:p w:rsidR="008A3064" w:rsidRPr="0055761B" w:rsidRDefault="008A3064" w:rsidP="006B4FE1">
            <w:pPr>
              <w:ind w:right="113"/>
              <w:jc w:val="right"/>
              <w:rPr>
                <w:rFonts w:asciiTheme="minorHAnsi" w:hAnsiTheme="minorHAnsi" w:cstheme="minorHAnsi"/>
                <w:color w:val="5F5F5F"/>
                <w:szCs w:val="19"/>
              </w:rPr>
            </w:pPr>
            <w:r w:rsidRPr="00506998">
              <w:rPr>
                <w:rFonts w:asciiTheme="minorHAnsi" w:hAnsiTheme="minorHAnsi" w:cstheme="minorHAnsi"/>
                <w:color w:val="5F5F5F"/>
                <w:szCs w:val="19"/>
              </w:rPr>
              <w:t>1,777</w:t>
            </w:r>
          </w:p>
        </w:tc>
        <w:tc>
          <w:tcPr>
            <w:tcW w:w="1134" w:type="dxa"/>
            <w:tcMar>
              <w:top w:w="57" w:type="dxa"/>
              <w:left w:w="0" w:type="dxa"/>
              <w:bottom w:w="57" w:type="dxa"/>
              <w:right w:w="0" w:type="dxa"/>
            </w:tcMar>
            <w:vAlign w:val="bottom"/>
          </w:tcPr>
          <w:p w:rsidR="008A3064" w:rsidRPr="0055761B" w:rsidRDefault="00255645" w:rsidP="006B4FE1">
            <w:pPr>
              <w:ind w:right="113"/>
              <w:jc w:val="right"/>
              <w:rPr>
                <w:rFonts w:asciiTheme="minorHAnsi" w:hAnsiTheme="minorHAnsi" w:cstheme="minorHAnsi"/>
                <w:color w:val="5F5F5F"/>
                <w:szCs w:val="19"/>
              </w:rPr>
            </w:pPr>
            <w:r>
              <w:rPr>
                <w:rFonts w:asciiTheme="minorHAnsi" w:hAnsiTheme="minorHAnsi" w:cstheme="minorHAnsi"/>
                <w:color w:val="5F5F5F"/>
                <w:szCs w:val="19"/>
              </w:rPr>
              <w:t>7</w:t>
            </w:r>
            <w:r w:rsidR="008A3064" w:rsidRPr="00506998">
              <w:rPr>
                <w:rFonts w:asciiTheme="minorHAnsi" w:hAnsiTheme="minorHAnsi" w:cstheme="minorHAnsi"/>
                <w:color w:val="5F5F5F"/>
                <w:szCs w:val="19"/>
              </w:rPr>
              <w:t>%</w:t>
            </w:r>
          </w:p>
        </w:tc>
      </w:tr>
      <w:tr w:rsidR="008A3064" w:rsidRPr="0055761B" w:rsidTr="006B4FE1">
        <w:trPr>
          <w:trHeight w:val="255"/>
        </w:trPr>
        <w:tc>
          <w:tcPr>
            <w:tcW w:w="5245" w:type="dxa"/>
            <w:tcMar>
              <w:top w:w="57" w:type="dxa"/>
              <w:left w:w="0" w:type="dxa"/>
              <w:bottom w:w="57" w:type="dxa"/>
              <w:right w:w="0" w:type="dxa"/>
            </w:tcMar>
            <w:vAlign w:val="center"/>
          </w:tcPr>
          <w:p w:rsidR="008A3064" w:rsidRPr="0055761B" w:rsidRDefault="008A3064" w:rsidP="00CA3F78">
            <w:pPr>
              <w:rPr>
                <w:rFonts w:asciiTheme="minorHAnsi" w:hAnsiTheme="minorHAnsi" w:cstheme="minorHAnsi"/>
                <w:color w:val="5F5F5F"/>
                <w:szCs w:val="19"/>
              </w:rPr>
            </w:pPr>
            <w:r w:rsidRPr="0055761B">
              <w:rPr>
                <w:rFonts w:asciiTheme="minorHAnsi" w:hAnsiTheme="minorHAnsi" w:cstheme="minorHAnsi"/>
                <w:color w:val="5F5F5F"/>
                <w:szCs w:val="19"/>
              </w:rPr>
              <w:t>Working interest production (boepd)</w:t>
            </w:r>
          </w:p>
        </w:tc>
        <w:tc>
          <w:tcPr>
            <w:tcW w:w="1701" w:type="dxa"/>
            <w:shd w:val="clear" w:color="auto" w:fill="F2F2F2"/>
            <w:tcMar>
              <w:top w:w="57" w:type="dxa"/>
              <w:left w:w="0" w:type="dxa"/>
              <w:bottom w:w="57" w:type="dxa"/>
              <w:right w:w="0" w:type="dxa"/>
            </w:tcMar>
            <w:vAlign w:val="bottom"/>
          </w:tcPr>
          <w:p w:rsidR="008A3064" w:rsidRPr="0055761B" w:rsidRDefault="008A3064" w:rsidP="00212D74">
            <w:pPr>
              <w:ind w:right="113"/>
              <w:jc w:val="right"/>
              <w:rPr>
                <w:rFonts w:asciiTheme="minorHAnsi" w:hAnsiTheme="minorHAnsi" w:cstheme="minorHAnsi"/>
                <w:color w:val="5F5F5F"/>
                <w:szCs w:val="19"/>
              </w:rPr>
            </w:pPr>
            <w:r w:rsidRPr="00506998">
              <w:rPr>
                <w:rFonts w:asciiTheme="minorHAnsi" w:hAnsiTheme="minorHAnsi" w:cstheme="minorHAnsi"/>
                <w:color w:val="5F5F5F"/>
                <w:szCs w:val="19"/>
              </w:rPr>
              <w:t>84,200</w:t>
            </w:r>
          </w:p>
        </w:tc>
        <w:tc>
          <w:tcPr>
            <w:tcW w:w="1418" w:type="dxa"/>
            <w:tcMar>
              <w:top w:w="57" w:type="dxa"/>
              <w:left w:w="0" w:type="dxa"/>
              <w:bottom w:w="57" w:type="dxa"/>
              <w:right w:w="0" w:type="dxa"/>
            </w:tcMar>
            <w:vAlign w:val="bottom"/>
          </w:tcPr>
          <w:p w:rsidR="008A3064" w:rsidRPr="0055761B" w:rsidRDefault="008A3064" w:rsidP="006B4FE1">
            <w:pPr>
              <w:ind w:right="113"/>
              <w:jc w:val="right"/>
              <w:rPr>
                <w:rFonts w:asciiTheme="minorHAnsi" w:hAnsiTheme="minorHAnsi" w:cstheme="minorHAnsi"/>
                <w:color w:val="5F5F5F"/>
                <w:szCs w:val="19"/>
              </w:rPr>
            </w:pPr>
            <w:r w:rsidRPr="00506998">
              <w:rPr>
                <w:rFonts w:asciiTheme="minorHAnsi" w:hAnsiTheme="minorHAnsi" w:cstheme="minorHAnsi"/>
                <w:color w:val="5F5F5F"/>
                <w:szCs w:val="19"/>
              </w:rPr>
              <w:t>79,200</w:t>
            </w:r>
          </w:p>
        </w:tc>
        <w:tc>
          <w:tcPr>
            <w:tcW w:w="1134" w:type="dxa"/>
            <w:tcMar>
              <w:top w:w="57" w:type="dxa"/>
              <w:left w:w="0" w:type="dxa"/>
              <w:bottom w:w="57" w:type="dxa"/>
              <w:right w:w="0" w:type="dxa"/>
            </w:tcMar>
            <w:vAlign w:val="bottom"/>
          </w:tcPr>
          <w:p w:rsidR="008A3064" w:rsidRPr="0055761B" w:rsidRDefault="008A3064" w:rsidP="006B4FE1">
            <w:pPr>
              <w:ind w:right="113"/>
              <w:jc w:val="right"/>
              <w:rPr>
                <w:rFonts w:asciiTheme="minorHAnsi" w:hAnsiTheme="minorHAnsi" w:cstheme="minorHAnsi"/>
                <w:color w:val="5F5F5F"/>
                <w:szCs w:val="19"/>
              </w:rPr>
            </w:pPr>
            <w:r w:rsidRPr="00506998">
              <w:rPr>
                <w:rFonts w:asciiTheme="minorHAnsi" w:hAnsiTheme="minorHAnsi" w:cstheme="minorHAnsi"/>
                <w:color w:val="5F5F5F"/>
                <w:szCs w:val="19"/>
              </w:rPr>
              <w:t>6%</w:t>
            </w:r>
          </w:p>
        </w:tc>
      </w:tr>
      <w:tr w:rsidR="008A3064" w:rsidRPr="0055761B" w:rsidTr="006B4FE1">
        <w:trPr>
          <w:trHeight w:val="255"/>
        </w:trPr>
        <w:tc>
          <w:tcPr>
            <w:tcW w:w="5245" w:type="dxa"/>
            <w:tcMar>
              <w:top w:w="57" w:type="dxa"/>
              <w:left w:w="0" w:type="dxa"/>
              <w:bottom w:w="57" w:type="dxa"/>
              <w:right w:w="0" w:type="dxa"/>
            </w:tcMar>
            <w:vAlign w:val="center"/>
          </w:tcPr>
          <w:p w:rsidR="008A3064" w:rsidRPr="0055761B" w:rsidRDefault="008A3064" w:rsidP="00CA3F78">
            <w:pPr>
              <w:rPr>
                <w:rFonts w:asciiTheme="minorHAnsi" w:hAnsiTheme="minorHAnsi" w:cstheme="minorHAnsi"/>
                <w:color w:val="5F5F5F"/>
                <w:szCs w:val="19"/>
              </w:rPr>
            </w:pPr>
            <w:r w:rsidRPr="0055761B">
              <w:rPr>
                <w:rFonts w:asciiTheme="minorHAnsi" w:hAnsiTheme="minorHAnsi" w:cstheme="minorHAnsi"/>
                <w:color w:val="5F5F5F"/>
                <w:szCs w:val="19"/>
              </w:rPr>
              <w:t>Realised oil price per barrel ($)</w:t>
            </w:r>
          </w:p>
        </w:tc>
        <w:tc>
          <w:tcPr>
            <w:tcW w:w="1701" w:type="dxa"/>
            <w:shd w:val="clear" w:color="auto" w:fill="F2F2F2"/>
            <w:tcMar>
              <w:top w:w="57" w:type="dxa"/>
              <w:left w:w="0" w:type="dxa"/>
              <w:bottom w:w="57" w:type="dxa"/>
              <w:right w:w="0" w:type="dxa"/>
            </w:tcMar>
            <w:vAlign w:val="bottom"/>
          </w:tcPr>
          <w:p w:rsidR="008A3064" w:rsidRPr="0055761B" w:rsidRDefault="008A3064" w:rsidP="00212D74">
            <w:pPr>
              <w:ind w:right="113"/>
              <w:jc w:val="right"/>
              <w:rPr>
                <w:rFonts w:asciiTheme="minorHAnsi" w:hAnsiTheme="minorHAnsi" w:cstheme="minorHAnsi"/>
                <w:color w:val="5F5F5F"/>
                <w:szCs w:val="19"/>
              </w:rPr>
            </w:pPr>
            <w:r w:rsidRPr="00506998">
              <w:rPr>
                <w:rFonts w:asciiTheme="minorHAnsi" w:hAnsiTheme="minorHAnsi" w:cstheme="minorHAnsi"/>
                <w:color w:val="5F5F5F"/>
                <w:szCs w:val="19"/>
              </w:rPr>
              <w:t>105.7</w:t>
            </w:r>
          </w:p>
        </w:tc>
        <w:tc>
          <w:tcPr>
            <w:tcW w:w="1418" w:type="dxa"/>
            <w:tcMar>
              <w:top w:w="57" w:type="dxa"/>
              <w:left w:w="0" w:type="dxa"/>
              <w:bottom w:w="57" w:type="dxa"/>
              <w:right w:w="0" w:type="dxa"/>
            </w:tcMar>
            <w:vAlign w:val="bottom"/>
          </w:tcPr>
          <w:p w:rsidR="008A3064" w:rsidRPr="0055761B" w:rsidRDefault="008A3064" w:rsidP="006B4FE1">
            <w:pPr>
              <w:ind w:right="113"/>
              <w:jc w:val="right"/>
              <w:rPr>
                <w:rFonts w:asciiTheme="minorHAnsi" w:hAnsiTheme="minorHAnsi" w:cstheme="minorHAnsi"/>
                <w:color w:val="5F5F5F"/>
                <w:szCs w:val="19"/>
              </w:rPr>
            </w:pPr>
            <w:r w:rsidRPr="00506998">
              <w:rPr>
                <w:rFonts w:asciiTheme="minorHAnsi" w:hAnsiTheme="minorHAnsi" w:cstheme="minorHAnsi"/>
                <w:color w:val="5F5F5F"/>
                <w:szCs w:val="19"/>
              </w:rPr>
              <w:t>108.0</w:t>
            </w:r>
          </w:p>
        </w:tc>
        <w:tc>
          <w:tcPr>
            <w:tcW w:w="1134" w:type="dxa"/>
            <w:tcMar>
              <w:top w:w="57" w:type="dxa"/>
              <w:left w:w="0" w:type="dxa"/>
              <w:bottom w:w="57" w:type="dxa"/>
              <w:right w:w="0" w:type="dxa"/>
            </w:tcMar>
            <w:vAlign w:val="bottom"/>
          </w:tcPr>
          <w:p w:rsidR="008A3064" w:rsidRPr="0055761B" w:rsidRDefault="008A3064" w:rsidP="006B4FE1">
            <w:pPr>
              <w:ind w:right="113"/>
              <w:jc w:val="right"/>
              <w:rPr>
                <w:rFonts w:asciiTheme="minorHAnsi" w:hAnsiTheme="minorHAnsi" w:cstheme="minorHAnsi"/>
                <w:color w:val="5F5F5F"/>
                <w:szCs w:val="19"/>
              </w:rPr>
            </w:pPr>
            <w:r w:rsidRPr="00506998">
              <w:rPr>
                <w:rFonts w:asciiTheme="minorHAnsi" w:hAnsiTheme="minorHAnsi" w:cstheme="minorHAnsi"/>
                <w:color w:val="5F5F5F"/>
                <w:szCs w:val="19"/>
              </w:rPr>
              <w:t>-2%</w:t>
            </w:r>
          </w:p>
        </w:tc>
      </w:tr>
      <w:tr w:rsidR="008A3064" w:rsidRPr="0055761B" w:rsidTr="006B4FE1">
        <w:trPr>
          <w:trHeight w:val="255"/>
        </w:trPr>
        <w:tc>
          <w:tcPr>
            <w:tcW w:w="5245" w:type="dxa"/>
            <w:tcMar>
              <w:top w:w="57" w:type="dxa"/>
              <w:left w:w="0" w:type="dxa"/>
              <w:bottom w:w="57" w:type="dxa"/>
              <w:right w:w="0" w:type="dxa"/>
            </w:tcMar>
            <w:vAlign w:val="center"/>
          </w:tcPr>
          <w:p w:rsidR="008A3064" w:rsidRPr="0055761B" w:rsidRDefault="008A3064" w:rsidP="00CA3F78">
            <w:pPr>
              <w:rPr>
                <w:rFonts w:asciiTheme="minorHAnsi" w:hAnsiTheme="minorHAnsi" w:cstheme="minorHAnsi"/>
                <w:color w:val="5F5F5F"/>
                <w:szCs w:val="19"/>
              </w:rPr>
            </w:pPr>
            <w:r w:rsidRPr="0055761B">
              <w:rPr>
                <w:rFonts w:asciiTheme="minorHAnsi" w:hAnsiTheme="minorHAnsi" w:cstheme="minorHAnsi"/>
                <w:color w:val="5F5F5F"/>
                <w:szCs w:val="19"/>
              </w:rPr>
              <w:t>Realised gas price per therm (pence)</w:t>
            </w:r>
          </w:p>
        </w:tc>
        <w:tc>
          <w:tcPr>
            <w:tcW w:w="1701" w:type="dxa"/>
            <w:shd w:val="clear" w:color="auto" w:fill="F2F2F2"/>
            <w:tcMar>
              <w:top w:w="57" w:type="dxa"/>
              <w:left w:w="0" w:type="dxa"/>
              <w:bottom w:w="57" w:type="dxa"/>
              <w:right w:w="0" w:type="dxa"/>
            </w:tcMar>
            <w:vAlign w:val="bottom"/>
          </w:tcPr>
          <w:p w:rsidR="008A3064" w:rsidRPr="0055761B" w:rsidRDefault="008A3064" w:rsidP="00212D74">
            <w:pPr>
              <w:ind w:right="113"/>
              <w:jc w:val="right"/>
              <w:rPr>
                <w:rFonts w:asciiTheme="minorHAnsi" w:hAnsiTheme="minorHAnsi" w:cstheme="minorHAnsi"/>
                <w:color w:val="5F5F5F"/>
                <w:szCs w:val="19"/>
              </w:rPr>
            </w:pPr>
            <w:r w:rsidRPr="00506998">
              <w:rPr>
                <w:rFonts w:asciiTheme="minorHAnsi" w:hAnsiTheme="minorHAnsi" w:cstheme="minorHAnsi"/>
                <w:color w:val="5F5F5F"/>
                <w:szCs w:val="19"/>
              </w:rPr>
              <w:t>65.6</w:t>
            </w:r>
          </w:p>
        </w:tc>
        <w:tc>
          <w:tcPr>
            <w:tcW w:w="1418" w:type="dxa"/>
            <w:tcMar>
              <w:top w:w="57" w:type="dxa"/>
              <w:left w:w="0" w:type="dxa"/>
              <w:bottom w:w="57" w:type="dxa"/>
              <w:right w:w="0" w:type="dxa"/>
            </w:tcMar>
            <w:vAlign w:val="bottom"/>
          </w:tcPr>
          <w:p w:rsidR="008A3064" w:rsidRPr="0055761B" w:rsidRDefault="008A3064" w:rsidP="006B4FE1">
            <w:pPr>
              <w:ind w:right="113"/>
              <w:jc w:val="right"/>
              <w:rPr>
                <w:rFonts w:asciiTheme="minorHAnsi" w:hAnsiTheme="minorHAnsi" w:cstheme="minorHAnsi"/>
                <w:color w:val="5F5F5F"/>
                <w:szCs w:val="19"/>
              </w:rPr>
            </w:pPr>
            <w:r w:rsidRPr="00506998">
              <w:rPr>
                <w:rFonts w:asciiTheme="minorHAnsi" w:hAnsiTheme="minorHAnsi" w:cstheme="minorHAnsi"/>
                <w:color w:val="5F5F5F"/>
                <w:szCs w:val="19"/>
              </w:rPr>
              <w:t>58.5</w:t>
            </w:r>
          </w:p>
        </w:tc>
        <w:tc>
          <w:tcPr>
            <w:tcW w:w="1134" w:type="dxa"/>
            <w:tcMar>
              <w:top w:w="57" w:type="dxa"/>
              <w:left w:w="0" w:type="dxa"/>
              <w:bottom w:w="57" w:type="dxa"/>
              <w:right w:w="0" w:type="dxa"/>
            </w:tcMar>
            <w:vAlign w:val="bottom"/>
          </w:tcPr>
          <w:p w:rsidR="008A3064" w:rsidRPr="0055761B" w:rsidRDefault="008A3064" w:rsidP="006B4FE1">
            <w:pPr>
              <w:ind w:right="113"/>
              <w:jc w:val="right"/>
              <w:rPr>
                <w:rFonts w:asciiTheme="minorHAnsi" w:hAnsiTheme="minorHAnsi" w:cstheme="minorHAnsi"/>
                <w:color w:val="5F5F5F"/>
                <w:szCs w:val="19"/>
              </w:rPr>
            </w:pPr>
            <w:r w:rsidRPr="00506998">
              <w:rPr>
                <w:rFonts w:asciiTheme="minorHAnsi" w:hAnsiTheme="minorHAnsi" w:cstheme="minorHAnsi"/>
                <w:color w:val="5F5F5F"/>
                <w:szCs w:val="19"/>
              </w:rPr>
              <w:t>12%</w:t>
            </w:r>
          </w:p>
        </w:tc>
      </w:tr>
    </w:tbl>
    <w:p w:rsidR="00AB4117" w:rsidRPr="00A608AE" w:rsidRDefault="00AB4117" w:rsidP="00AB4117">
      <w:pPr>
        <w:pStyle w:val="StyleHeadingCustomColorRGB1533154"/>
        <w:rPr>
          <w:rFonts w:ascii="Calibri" w:hAnsi="Calibri" w:cs="Calibri"/>
          <w:sz w:val="20"/>
        </w:rPr>
      </w:pPr>
    </w:p>
    <w:p w:rsidR="00D87220" w:rsidRPr="00F75FEE" w:rsidRDefault="00AB4117" w:rsidP="00547C02">
      <w:pPr>
        <w:pStyle w:val="StyleHeadingCustomColorRGB1533154"/>
        <w:rPr>
          <w:rFonts w:ascii="Calibri" w:hAnsi="Calibri" w:cs="Calibri"/>
          <w:b/>
          <w:i/>
          <w:iCs/>
          <w:color w:val="5F5F5F"/>
          <w:sz w:val="20"/>
          <w:lang w:val="en-US"/>
        </w:rPr>
      </w:pPr>
      <w:r w:rsidRPr="00F75FEE">
        <w:rPr>
          <w:rFonts w:ascii="Calibri" w:hAnsi="Calibri" w:cs="Calibri"/>
          <w:b/>
          <w:sz w:val="20"/>
        </w:rPr>
        <w:t>C</w:t>
      </w:r>
      <w:r w:rsidR="00787286" w:rsidRPr="00F75FEE">
        <w:rPr>
          <w:rFonts w:ascii="Calibri" w:hAnsi="Calibri" w:cs="Calibri"/>
          <w:b/>
          <w:sz w:val="20"/>
        </w:rPr>
        <w:t xml:space="preserve">OMMENTING TODAY, </w:t>
      </w:r>
      <w:r w:rsidRPr="00F75FEE">
        <w:rPr>
          <w:rFonts w:ascii="Calibri" w:hAnsi="Calibri" w:cs="Calibri"/>
          <w:b/>
          <w:sz w:val="20"/>
        </w:rPr>
        <w:t>A</w:t>
      </w:r>
      <w:r w:rsidR="00787286" w:rsidRPr="00F75FEE">
        <w:rPr>
          <w:rFonts w:ascii="Calibri" w:hAnsi="Calibri" w:cs="Calibri"/>
          <w:b/>
          <w:sz w:val="20"/>
        </w:rPr>
        <w:t>IDAN HEAVEY</w:t>
      </w:r>
      <w:r w:rsidRPr="00F75FEE">
        <w:rPr>
          <w:rFonts w:ascii="Calibri" w:hAnsi="Calibri" w:cs="Calibri"/>
          <w:b/>
          <w:sz w:val="20"/>
        </w:rPr>
        <w:t xml:space="preserve">, </w:t>
      </w:r>
      <w:r w:rsidR="00787286" w:rsidRPr="00F75FEE">
        <w:rPr>
          <w:rFonts w:ascii="Calibri" w:hAnsi="Calibri" w:cs="Calibri"/>
          <w:b/>
          <w:sz w:val="20"/>
        </w:rPr>
        <w:t>CHIEF EXECUTIVE</w:t>
      </w:r>
      <w:r w:rsidRPr="00F75FEE">
        <w:rPr>
          <w:rFonts w:ascii="Calibri" w:hAnsi="Calibri" w:cs="Calibri"/>
          <w:b/>
          <w:sz w:val="20"/>
        </w:rPr>
        <w:t xml:space="preserve">, </w:t>
      </w:r>
      <w:r w:rsidR="00787286" w:rsidRPr="00F75FEE">
        <w:rPr>
          <w:rFonts w:ascii="Calibri" w:hAnsi="Calibri" w:cs="Calibri"/>
          <w:b/>
          <w:sz w:val="20"/>
        </w:rPr>
        <w:t>SAID</w:t>
      </w:r>
      <w:r w:rsidRPr="00F75FEE">
        <w:rPr>
          <w:rFonts w:ascii="Calibri" w:hAnsi="Calibri" w:cs="Calibri"/>
          <w:b/>
          <w:sz w:val="20"/>
        </w:rPr>
        <w:t>:</w:t>
      </w:r>
    </w:p>
    <w:p w:rsidR="00BE7F1E" w:rsidRPr="00547C02" w:rsidRDefault="00547C02" w:rsidP="00BE7F1E">
      <w:pPr>
        <w:autoSpaceDE w:val="0"/>
        <w:autoSpaceDN w:val="0"/>
        <w:spacing w:line="264" w:lineRule="auto"/>
        <w:rPr>
          <w:rFonts w:ascii="Calibri" w:hAnsi="Calibri" w:cs="Calibri"/>
          <w:i/>
          <w:iCs/>
          <w:color w:val="5F5F5F"/>
          <w:szCs w:val="19"/>
          <w:lang w:val="en-US"/>
        </w:rPr>
      </w:pPr>
      <w:r>
        <w:rPr>
          <w:rFonts w:ascii="Calibri" w:hAnsi="Calibri" w:cs="Calibri"/>
          <w:i/>
          <w:iCs/>
          <w:color w:val="5F5F5F"/>
          <w:szCs w:val="19"/>
          <w:lang w:val="en-US"/>
        </w:rPr>
        <w:t>“</w:t>
      </w:r>
      <w:r w:rsidR="00D87220" w:rsidRPr="00547C02">
        <w:rPr>
          <w:rFonts w:ascii="Calibri" w:hAnsi="Calibri" w:cs="Calibri"/>
          <w:i/>
          <w:iCs/>
          <w:color w:val="5F5F5F"/>
          <w:szCs w:val="19"/>
          <w:lang w:val="en-US"/>
        </w:rPr>
        <w:t xml:space="preserve">Tullow performed well in 2013. </w:t>
      </w:r>
      <w:r w:rsidR="00FF383D" w:rsidRPr="00547C02">
        <w:rPr>
          <w:rFonts w:ascii="Calibri" w:hAnsi="Calibri" w:cs="Calibri"/>
          <w:i/>
          <w:iCs/>
          <w:color w:val="5F5F5F"/>
          <w:szCs w:val="19"/>
          <w:lang w:val="en-US"/>
        </w:rPr>
        <w:t xml:space="preserve">The business generated almost $2 billion of operating cash flow and has </w:t>
      </w:r>
      <w:r w:rsidR="00FF383D">
        <w:rPr>
          <w:rFonts w:ascii="Calibri" w:hAnsi="Calibri" w:cs="Calibri"/>
          <w:i/>
          <w:iCs/>
          <w:color w:val="5F5F5F"/>
          <w:szCs w:val="19"/>
          <w:lang w:val="en-US"/>
        </w:rPr>
        <w:t xml:space="preserve">established </w:t>
      </w:r>
      <w:r w:rsidR="00FF383D" w:rsidRPr="00547C02">
        <w:rPr>
          <w:rFonts w:ascii="Calibri" w:hAnsi="Calibri" w:cs="Calibri"/>
          <w:i/>
          <w:iCs/>
          <w:color w:val="5F5F5F"/>
          <w:szCs w:val="19"/>
          <w:lang w:val="en-US"/>
        </w:rPr>
        <w:t xml:space="preserve">a flexible and </w:t>
      </w:r>
      <w:r w:rsidR="00255645">
        <w:rPr>
          <w:rFonts w:ascii="Calibri" w:hAnsi="Calibri" w:cs="Calibri"/>
          <w:i/>
          <w:iCs/>
          <w:color w:val="5F5F5F"/>
          <w:szCs w:val="19"/>
          <w:lang w:val="en-US"/>
        </w:rPr>
        <w:t>strong</w:t>
      </w:r>
      <w:r w:rsidR="00FF383D" w:rsidRPr="00547C02">
        <w:rPr>
          <w:rFonts w:ascii="Calibri" w:hAnsi="Calibri" w:cs="Calibri"/>
          <w:i/>
          <w:iCs/>
          <w:color w:val="5F5F5F"/>
          <w:szCs w:val="19"/>
          <w:lang w:val="en-US"/>
        </w:rPr>
        <w:t xml:space="preserve"> balance sheet.</w:t>
      </w:r>
      <w:r w:rsidR="00FF383D">
        <w:rPr>
          <w:rFonts w:ascii="Calibri" w:hAnsi="Calibri" w:cs="Calibri"/>
          <w:i/>
          <w:iCs/>
          <w:color w:val="5F5F5F"/>
          <w:szCs w:val="19"/>
          <w:lang w:val="en-US"/>
        </w:rPr>
        <w:t xml:space="preserve"> </w:t>
      </w:r>
      <w:r w:rsidR="00D87220" w:rsidRPr="00547C02">
        <w:rPr>
          <w:rFonts w:ascii="Calibri" w:hAnsi="Calibri" w:cs="Calibri"/>
          <w:i/>
          <w:iCs/>
          <w:color w:val="5F5F5F"/>
          <w:szCs w:val="19"/>
          <w:lang w:val="en-US"/>
        </w:rPr>
        <w:t xml:space="preserve">The Group delivered another year of exploration </w:t>
      </w:r>
      <w:r w:rsidR="005434CD">
        <w:rPr>
          <w:rFonts w:ascii="Calibri" w:hAnsi="Calibri" w:cs="Calibri"/>
          <w:i/>
          <w:iCs/>
          <w:color w:val="5F5F5F"/>
          <w:szCs w:val="19"/>
          <w:lang w:val="en-US"/>
        </w:rPr>
        <w:t xml:space="preserve">and appraisal </w:t>
      </w:r>
      <w:r w:rsidR="00D87220" w:rsidRPr="00547C02">
        <w:rPr>
          <w:rFonts w:ascii="Calibri" w:hAnsi="Calibri" w:cs="Calibri"/>
          <w:i/>
          <w:iCs/>
          <w:color w:val="5F5F5F"/>
          <w:szCs w:val="19"/>
          <w:lang w:val="en-US"/>
        </w:rPr>
        <w:t>success</w:t>
      </w:r>
      <w:r w:rsidR="00BE7F1E" w:rsidRPr="00547C02">
        <w:rPr>
          <w:rFonts w:ascii="Calibri" w:hAnsi="Calibri" w:cs="Calibri"/>
          <w:i/>
          <w:iCs/>
          <w:color w:val="5F5F5F"/>
          <w:szCs w:val="19"/>
          <w:lang w:val="en-US"/>
        </w:rPr>
        <w:t xml:space="preserve"> and </w:t>
      </w:r>
      <w:r w:rsidR="00D87220" w:rsidRPr="00547C02">
        <w:rPr>
          <w:rFonts w:ascii="Calibri" w:hAnsi="Calibri" w:cs="Calibri"/>
          <w:i/>
          <w:iCs/>
          <w:color w:val="5F5F5F"/>
          <w:szCs w:val="19"/>
          <w:lang w:val="en-US"/>
        </w:rPr>
        <w:t xml:space="preserve">production growth and made significant progress with </w:t>
      </w:r>
      <w:r w:rsidR="00BE7F1E" w:rsidRPr="00547C02">
        <w:rPr>
          <w:rFonts w:ascii="Calibri" w:hAnsi="Calibri" w:cs="Calibri"/>
          <w:i/>
          <w:iCs/>
          <w:color w:val="5F5F5F"/>
          <w:szCs w:val="19"/>
          <w:lang w:val="en-US"/>
        </w:rPr>
        <w:t xml:space="preserve">its </w:t>
      </w:r>
      <w:r w:rsidR="00333194">
        <w:rPr>
          <w:rFonts w:ascii="Calibri" w:hAnsi="Calibri" w:cs="Calibri"/>
          <w:i/>
          <w:iCs/>
          <w:color w:val="5F5F5F"/>
          <w:szCs w:val="19"/>
          <w:lang w:val="en-US"/>
        </w:rPr>
        <w:t>key</w:t>
      </w:r>
      <w:r w:rsidR="00BE7F1E" w:rsidRPr="00547C02">
        <w:rPr>
          <w:rFonts w:ascii="Calibri" w:hAnsi="Calibri" w:cs="Calibri"/>
          <w:i/>
          <w:iCs/>
          <w:color w:val="5F5F5F"/>
          <w:szCs w:val="19"/>
          <w:lang w:val="en-US"/>
        </w:rPr>
        <w:t xml:space="preserve"> development</w:t>
      </w:r>
      <w:r w:rsidR="00333194">
        <w:rPr>
          <w:rFonts w:ascii="Calibri" w:hAnsi="Calibri" w:cs="Calibri"/>
          <w:i/>
          <w:iCs/>
          <w:color w:val="5F5F5F"/>
          <w:szCs w:val="19"/>
          <w:lang w:val="en-US"/>
        </w:rPr>
        <w:t>s</w:t>
      </w:r>
      <w:r w:rsidR="00BE7F1E" w:rsidRPr="00547C02">
        <w:rPr>
          <w:rFonts w:ascii="Calibri" w:hAnsi="Calibri" w:cs="Calibri"/>
          <w:i/>
          <w:iCs/>
          <w:color w:val="5F5F5F"/>
          <w:szCs w:val="19"/>
          <w:lang w:val="en-US"/>
        </w:rPr>
        <w:t xml:space="preserve"> in Ghana, </w:t>
      </w:r>
      <w:r w:rsidR="005434CD" w:rsidRPr="00547C02">
        <w:rPr>
          <w:rFonts w:ascii="Calibri" w:hAnsi="Calibri" w:cs="Calibri"/>
          <w:i/>
          <w:iCs/>
          <w:color w:val="5F5F5F"/>
          <w:szCs w:val="19"/>
          <w:lang w:val="en-US"/>
        </w:rPr>
        <w:t>Kenya</w:t>
      </w:r>
      <w:r w:rsidR="005434CD">
        <w:rPr>
          <w:rFonts w:ascii="Calibri" w:hAnsi="Calibri" w:cs="Calibri"/>
          <w:i/>
          <w:iCs/>
          <w:color w:val="5F5F5F"/>
          <w:szCs w:val="19"/>
          <w:lang w:val="en-US"/>
        </w:rPr>
        <w:t xml:space="preserve"> </w:t>
      </w:r>
      <w:r w:rsidR="00BE7F1E" w:rsidRPr="00547C02">
        <w:rPr>
          <w:rFonts w:ascii="Calibri" w:hAnsi="Calibri" w:cs="Calibri"/>
          <w:i/>
          <w:iCs/>
          <w:color w:val="5F5F5F"/>
          <w:szCs w:val="19"/>
          <w:lang w:val="en-US"/>
        </w:rPr>
        <w:t xml:space="preserve">and </w:t>
      </w:r>
      <w:r w:rsidR="005434CD" w:rsidRPr="00547C02">
        <w:rPr>
          <w:rFonts w:ascii="Calibri" w:hAnsi="Calibri" w:cs="Calibri"/>
          <w:i/>
          <w:iCs/>
          <w:color w:val="5F5F5F"/>
          <w:szCs w:val="19"/>
          <w:lang w:val="en-US"/>
        </w:rPr>
        <w:t xml:space="preserve">Uganda </w:t>
      </w:r>
      <w:r w:rsidR="00F62CCE">
        <w:rPr>
          <w:rFonts w:ascii="Calibri" w:hAnsi="Calibri" w:cs="Calibri"/>
          <w:i/>
          <w:iCs/>
          <w:color w:val="5F5F5F"/>
          <w:szCs w:val="19"/>
          <w:lang w:val="en-US"/>
        </w:rPr>
        <w:t xml:space="preserve">which </w:t>
      </w:r>
      <w:r w:rsidR="00333194">
        <w:rPr>
          <w:rFonts w:ascii="Calibri" w:hAnsi="Calibri" w:cs="Calibri"/>
          <w:i/>
          <w:iCs/>
          <w:color w:val="5F5F5F"/>
          <w:szCs w:val="19"/>
          <w:lang w:val="en-US"/>
        </w:rPr>
        <w:t xml:space="preserve">will deliver major increases in cash flow over the next </w:t>
      </w:r>
      <w:r w:rsidR="00FD4BF6">
        <w:rPr>
          <w:rFonts w:ascii="Calibri" w:hAnsi="Calibri" w:cs="Calibri"/>
          <w:i/>
          <w:iCs/>
          <w:color w:val="5F5F5F"/>
          <w:szCs w:val="19"/>
          <w:lang w:val="en-US"/>
        </w:rPr>
        <w:t>3</w:t>
      </w:r>
      <w:r w:rsidR="00333194">
        <w:rPr>
          <w:rFonts w:ascii="Calibri" w:hAnsi="Calibri" w:cs="Calibri"/>
          <w:i/>
          <w:iCs/>
          <w:color w:val="5F5F5F"/>
          <w:szCs w:val="19"/>
          <w:lang w:val="en-US"/>
        </w:rPr>
        <w:t>-5 years</w:t>
      </w:r>
      <w:r w:rsidR="00BE7F1E" w:rsidRPr="00547C02">
        <w:rPr>
          <w:rFonts w:ascii="Calibri" w:hAnsi="Calibri" w:cs="Calibri"/>
          <w:i/>
          <w:iCs/>
          <w:color w:val="5F5F5F"/>
          <w:szCs w:val="19"/>
          <w:lang w:val="en-US"/>
        </w:rPr>
        <w:t xml:space="preserve">. An ambitious exploration and appraisal programme is planned for 2014 which is targeting opportunities in our core plays in Africa and the Atlantic margins. As with previous years, we are aiming for resource additions of </w:t>
      </w:r>
      <w:r w:rsidR="00A5650F">
        <w:rPr>
          <w:rFonts w:ascii="Calibri" w:hAnsi="Calibri" w:cs="Calibri"/>
          <w:i/>
          <w:iCs/>
          <w:color w:val="5F5F5F"/>
          <w:szCs w:val="19"/>
          <w:lang w:val="en-US"/>
        </w:rPr>
        <w:t xml:space="preserve">over </w:t>
      </w:r>
      <w:r w:rsidR="00BE7F1E" w:rsidRPr="00547C02">
        <w:rPr>
          <w:rFonts w:ascii="Calibri" w:hAnsi="Calibri" w:cs="Calibri"/>
          <w:i/>
          <w:iCs/>
          <w:color w:val="5F5F5F"/>
          <w:szCs w:val="19"/>
          <w:lang w:val="en-US"/>
        </w:rPr>
        <w:t>200 mmbo</w:t>
      </w:r>
      <w:r w:rsidR="00A5650F">
        <w:rPr>
          <w:rFonts w:ascii="Calibri" w:hAnsi="Calibri" w:cs="Calibri"/>
          <w:i/>
          <w:iCs/>
          <w:color w:val="5F5F5F"/>
          <w:szCs w:val="19"/>
          <w:lang w:val="en-US"/>
        </w:rPr>
        <w:t>e</w:t>
      </w:r>
      <w:r w:rsidR="00BE7F1E" w:rsidRPr="00547C02">
        <w:rPr>
          <w:rFonts w:ascii="Calibri" w:hAnsi="Calibri" w:cs="Calibri"/>
          <w:i/>
          <w:iCs/>
          <w:color w:val="5F5F5F"/>
          <w:szCs w:val="19"/>
          <w:lang w:val="en-US"/>
        </w:rPr>
        <w:t xml:space="preserve"> and </w:t>
      </w:r>
      <w:r w:rsidR="005434CD">
        <w:rPr>
          <w:rFonts w:ascii="Calibri" w:hAnsi="Calibri" w:cs="Calibri"/>
          <w:i/>
          <w:iCs/>
          <w:color w:val="5F5F5F"/>
          <w:szCs w:val="19"/>
          <w:lang w:val="en-US"/>
        </w:rPr>
        <w:t xml:space="preserve">we </w:t>
      </w:r>
      <w:r w:rsidR="00BE7F1E" w:rsidRPr="00547C02">
        <w:rPr>
          <w:rFonts w:ascii="Calibri" w:hAnsi="Calibri" w:cs="Calibri"/>
          <w:i/>
          <w:iCs/>
          <w:color w:val="5F5F5F"/>
          <w:szCs w:val="19"/>
          <w:lang w:val="en-US"/>
        </w:rPr>
        <w:t>are well placed for an exciting year of growth in 2014 with an enviable portfolio of assets and opportunities.”</w:t>
      </w:r>
    </w:p>
    <w:p w:rsidR="00E931A2" w:rsidRDefault="00E931A2" w:rsidP="00212D74">
      <w:pPr>
        <w:pStyle w:val="StyleSection-heading16ptCustomColorRGB1533154"/>
        <w:spacing w:after="120"/>
        <w:rPr>
          <w:rFonts w:ascii="Calibri" w:hAnsi="Calibri" w:cs="Calibri"/>
          <w:b/>
          <w:color w:val="00305C"/>
        </w:rPr>
      </w:pPr>
    </w:p>
    <w:p w:rsidR="00BD26BA" w:rsidRPr="002347D5" w:rsidRDefault="00B022BE" w:rsidP="00212D74">
      <w:pPr>
        <w:pStyle w:val="StyleSection-heading16ptCustomColorRGB1533154"/>
        <w:spacing w:after="120"/>
        <w:rPr>
          <w:rStyle w:val="StyleCustomColorRGB043691"/>
          <w:rFonts w:ascii="Calibri" w:hAnsi="Calibri" w:cs="Calibri"/>
          <w:b/>
          <w:color w:val="00305C"/>
        </w:rPr>
      </w:pPr>
      <w:r w:rsidRPr="002347D5">
        <w:rPr>
          <w:rFonts w:ascii="Calibri" w:hAnsi="Calibri" w:cs="Calibri"/>
          <w:b/>
          <w:color w:val="00305C"/>
        </w:rPr>
        <w:t>201</w:t>
      </w:r>
      <w:r w:rsidR="00CB1C5F" w:rsidRPr="002347D5">
        <w:rPr>
          <w:rFonts w:ascii="Calibri" w:hAnsi="Calibri" w:cs="Calibri"/>
          <w:b/>
          <w:color w:val="00305C"/>
        </w:rPr>
        <w:t>3</w:t>
      </w:r>
      <w:r w:rsidRPr="002347D5">
        <w:rPr>
          <w:rFonts w:ascii="Calibri" w:hAnsi="Calibri" w:cs="Calibri"/>
          <w:b/>
          <w:color w:val="00305C"/>
        </w:rPr>
        <w:t xml:space="preserve"> </w:t>
      </w:r>
      <w:r w:rsidR="009E0F79">
        <w:rPr>
          <w:rFonts w:ascii="Calibri" w:hAnsi="Calibri" w:cs="Calibri"/>
          <w:b/>
          <w:color w:val="00305C"/>
        </w:rPr>
        <w:t xml:space="preserve">Full Year Results </w:t>
      </w:r>
      <w:r w:rsidRPr="002347D5">
        <w:rPr>
          <w:rFonts w:ascii="Calibri" w:hAnsi="Calibri" w:cs="Calibri"/>
          <w:b/>
          <w:color w:val="00305C"/>
        </w:rPr>
        <w:t>overview</w:t>
      </w:r>
    </w:p>
    <w:p w:rsidR="00072E24" w:rsidRDefault="009E6294">
      <w:pPr>
        <w:tabs>
          <w:tab w:val="left" w:pos="6075"/>
        </w:tabs>
        <w:spacing w:after="120"/>
        <w:rPr>
          <w:rFonts w:asciiTheme="minorHAnsi" w:hAnsiTheme="minorHAnsi" w:cstheme="minorHAnsi"/>
          <w:color w:val="5F5F5F"/>
          <w:szCs w:val="19"/>
        </w:rPr>
      </w:pPr>
      <w:r w:rsidRPr="009E6294">
        <w:rPr>
          <w:rFonts w:asciiTheme="minorHAnsi" w:hAnsiTheme="minorHAnsi" w:cstheme="minorHAnsi"/>
          <w:color w:val="5F5F5F"/>
          <w:szCs w:val="19"/>
        </w:rPr>
        <w:t xml:space="preserve">Tullow’s 2013 financial results delivered solid revenue, gross profit and cash flow growth, principally due to increased production from the Jubilee field in Ghana and </w:t>
      </w:r>
      <w:r w:rsidR="00DC7BC3">
        <w:rPr>
          <w:rFonts w:asciiTheme="minorHAnsi" w:hAnsiTheme="minorHAnsi" w:cstheme="minorHAnsi"/>
          <w:color w:val="5F5F5F"/>
          <w:szCs w:val="19"/>
        </w:rPr>
        <w:t>firm</w:t>
      </w:r>
      <w:r w:rsidRPr="009E6294">
        <w:rPr>
          <w:rFonts w:asciiTheme="minorHAnsi" w:hAnsiTheme="minorHAnsi" w:cstheme="minorHAnsi"/>
          <w:color w:val="5F5F5F"/>
          <w:szCs w:val="19"/>
        </w:rPr>
        <w:t xml:space="preserve"> oil and gas prices. Profit from continuing activities after tax decreased 68% to $216 million (2012: $666 million) and basic earnings per share were similarly impacted, mainly as a result of a combination of the following:</w:t>
      </w:r>
    </w:p>
    <w:p w:rsidR="00B24F86" w:rsidRPr="002347D5" w:rsidRDefault="00B24F86" w:rsidP="002347D5">
      <w:pPr>
        <w:pStyle w:val="StyleBulletedSymbolsymbolCustomColorRGB04369Left"/>
        <w:numPr>
          <w:ilvl w:val="0"/>
          <w:numId w:val="5"/>
        </w:numPr>
        <w:tabs>
          <w:tab w:val="clear" w:pos="715"/>
          <w:tab w:val="left" w:pos="0"/>
          <w:tab w:val="num" w:pos="284"/>
        </w:tabs>
        <w:spacing w:before="120"/>
        <w:ind w:left="284" w:hanging="284"/>
        <w:rPr>
          <w:rFonts w:ascii="Calibri" w:hAnsi="Calibri" w:cs="Calibri"/>
          <w:color w:val="5F5F5F"/>
          <w:szCs w:val="19"/>
        </w:rPr>
      </w:pPr>
      <w:r w:rsidRPr="002347D5">
        <w:rPr>
          <w:rFonts w:ascii="Calibri" w:hAnsi="Calibri" w:cs="Calibri"/>
          <w:color w:val="5F5F5F"/>
          <w:szCs w:val="19"/>
        </w:rPr>
        <w:t>A decrease in profits on disposal of $</w:t>
      </w:r>
      <w:r w:rsidR="00255645">
        <w:rPr>
          <w:rFonts w:ascii="Calibri" w:hAnsi="Calibri" w:cs="Calibri"/>
          <w:color w:val="5F5F5F"/>
          <w:szCs w:val="19"/>
        </w:rPr>
        <w:t>670</w:t>
      </w:r>
      <w:r w:rsidRPr="002347D5">
        <w:rPr>
          <w:rFonts w:ascii="Calibri" w:hAnsi="Calibri" w:cs="Calibri"/>
          <w:color w:val="5F5F5F"/>
          <w:szCs w:val="19"/>
        </w:rPr>
        <w:t xml:space="preserve"> million compared with 2012, which included the gain on the $2.9 billion Uganda farm-down announced in February 2012;</w:t>
      </w:r>
    </w:p>
    <w:p w:rsidR="00B24F86" w:rsidRPr="002347D5" w:rsidRDefault="00B24F86" w:rsidP="002347D5">
      <w:pPr>
        <w:pStyle w:val="StyleBulletedSymbolsymbolCustomColorRGB04369Left"/>
        <w:numPr>
          <w:ilvl w:val="0"/>
          <w:numId w:val="5"/>
        </w:numPr>
        <w:tabs>
          <w:tab w:val="clear" w:pos="715"/>
          <w:tab w:val="left" w:pos="0"/>
          <w:tab w:val="num" w:pos="284"/>
        </w:tabs>
        <w:spacing w:before="120"/>
        <w:ind w:left="284" w:hanging="284"/>
        <w:rPr>
          <w:rFonts w:ascii="Calibri" w:hAnsi="Calibri" w:cs="Calibri"/>
          <w:color w:val="5F5F5F"/>
          <w:szCs w:val="19"/>
        </w:rPr>
      </w:pPr>
      <w:r w:rsidRPr="002347D5">
        <w:rPr>
          <w:rFonts w:ascii="Calibri" w:hAnsi="Calibri" w:cs="Calibri"/>
          <w:color w:val="5F5F5F"/>
          <w:szCs w:val="19"/>
        </w:rPr>
        <w:t>An increase in exploration write-offs of $200 million to $871 million (2012: $671 million);</w:t>
      </w:r>
    </w:p>
    <w:p w:rsidR="00B24F86" w:rsidRPr="002347D5" w:rsidRDefault="00B24F86" w:rsidP="002347D5">
      <w:pPr>
        <w:pStyle w:val="StyleBulletedSymbolsymbolCustomColorRGB04369Left"/>
        <w:numPr>
          <w:ilvl w:val="0"/>
          <w:numId w:val="5"/>
        </w:numPr>
        <w:tabs>
          <w:tab w:val="clear" w:pos="715"/>
          <w:tab w:val="left" w:pos="0"/>
          <w:tab w:val="num" w:pos="284"/>
        </w:tabs>
        <w:spacing w:before="120"/>
        <w:ind w:left="284" w:hanging="284"/>
        <w:rPr>
          <w:rFonts w:ascii="Calibri" w:hAnsi="Calibri" w:cs="Calibri"/>
          <w:color w:val="5F5F5F"/>
          <w:szCs w:val="19"/>
        </w:rPr>
      </w:pPr>
      <w:r w:rsidRPr="002347D5">
        <w:rPr>
          <w:rFonts w:ascii="Calibri" w:hAnsi="Calibri" w:cs="Calibri"/>
          <w:color w:val="5F5F5F"/>
          <w:szCs w:val="19"/>
        </w:rPr>
        <w:t>A reduction in the income tax charge of $35</w:t>
      </w:r>
      <w:r w:rsidR="001808A9">
        <w:rPr>
          <w:rFonts w:ascii="Calibri" w:hAnsi="Calibri" w:cs="Calibri"/>
          <w:color w:val="5F5F5F"/>
          <w:szCs w:val="19"/>
        </w:rPr>
        <w:t>3</w:t>
      </w:r>
      <w:r w:rsidRPr="002347D5">
        <w:rPr>
          <w:rFonts w:ascii="Calibri" w:hAnsi="Calibri" w:cs="Calibri"/>
          <w:color w:val="5F5F5F"/>
          <w:szCs w:val="19"/>
        </w:rPr>
        <w:t xml:space="preserve"> million to $97 million (2012: $450 million) reflecting lower profit before tax</w:t>
      </w:r>
      <w:r w:rsidR="00072765">
        <w:rPr>
          <w:rFonts w:ascii="Calibri" w:hAnsi="Calibri" w:cs="Calibri"/>
          <w:color w:val="5F5F5F"/>
          <w:szCs w:val="19"/>
        </w:rPr>
        <w:t>, the $142 million tax charge in 2012 on the Uganda farm</w:t>
      </w:r>
      <w:r w:rsidR="00A86670">
        <w:rPr>
          <w:rFonts w:ascii="Calibri" w:hAnsi="Calibri" w:cs="Calibri"/>
          <w:color w:val="5F5F5F"/>
          <w:szCs w:val="19"/>
        </w:rPr>
        <w:t>-</w:t>
      </w:r>
      <w:r w:rsidR="00072765">
        <w:rPr>
          <w:rFonts w:ascii="Calibri" w:hAnsi="Calibri" w:cs="Calibri"/>
          <w:color w:val="5F5F5F"/>
          <w:szCs w:val="19"/>
        </w:rPr>
        <w:t>down</w:t>
      </w:r>
      <w:r w:rsidRPr="002347D5">
        <w:rPr>
          <w:rFonts w:ascii="Calibri" w:hAnsi="Calibri" w:cs="Calibri"/>
          <w:color w:val="5F5F5F"/>
          <w:szCs w:val="19"/>
        </w:rPr>
        <w:t xml:space="preserve"> and the benefit of Norwegian deferred tax credits in relation to exploration write-offs; and</w:t>
      </w:r>
    </w:p>
    <w:p w:rsidR="00072E24" w:rsidRPr="002347D5" w:rsidRDefault="009E6294" w:rsidP="002347D5">
      <w:pPr>
        <w:pStyle w:val="StyleBulletedSymbolsymbolCustomColorRGB04369Left"/>
        <w:numPr>
          <w:ilvl w:val="0"/>
          <w:numId w:val="5"/>
        </w:numPr>
        <w:tabs>
          <w:tab w:val="clear" w:pos="715"/>
          <w:tab w:val="left" w:pos="0"/>
          <w:tab w:val="num" w:pos="284"/>
        </w:tabs>
        <w:spacing w:before="120"/>
        <w:ind w:left="284" w:hanging="284"/>
        <w:rPr>
          <w:rFonts w:ascii="Calibri" w:hAnsi="Calibri" w:cs="Calibri"/>
          <w:color w:val="5F5F5F"/>
          <w:szCs w:val="19"/>
        </w:rPr>
      </w:pPr>
      <w:r w:rsidRPr="002347D5">
        <w:rPr>
          <w:rFonts w:ascii="Calibri" w:hAnsi="Calibri" w:cs="Calibri"/>
          <w:color w:val="5F5F5F"/>
          <w:szCs w:val="19"/>
        </w:rPr>
        <w:t>A $100 million, 7% increase in gross profit to $1.4 billion (2012: $1.3 billion) reflecting a 9% increase in sales volumes  and a 13% increase in sales revenue to $2.6 billion in 2013 (2012: $2.3 billion)</w:t>
      </w:r>
      <w:r w:rsidR="00A86670">
        <w:rPr>
          <w:rFonts w:ascii="Calibri" w:hAnsi="Calibri" w:cs="Calibri"/>
          <w:color w:val="5F5F5F"/>
          <w:szCs w:val="19"/>
        </w:rPr>
        <w:t>.</w:t>
      </w:r>
    </w:p>
    <w:p w:rsidR="00072E24" w:rsidRDefault="00072E24">
      <w:pPr>
        <w:tabs>
          <w:tab w:val="left" w:pos="6075"/>
        </w:tabs>
        <w:jc w:val="center"/>
        <w:rPr>
          <w:rFonts w:asciiTheme="minorHAnsi" w:hAnsiTheme="minorHAnsi" w:cstheme="minorHAnsi"/>
          <w:color w:val="5F5F5F"/>
          <w:szCs w:val="19"/>
        </w:rPr>
      </w:pPr>
    </w:p>
    <w:p w:rsidR="00072E24" w:rsidRPr="002347D5" w:rsidRDefault="009E6294" w:rsidP="006B4FE1">
      <w:pPr>
        <w:autoSpaceDE w:val="0"/>
        <w:autoSpaceDN w:val="0"/>
        <w:adjustRightInd w:val="0"/>
        <w:spacing w:after="40"/>
        <w:rPr>
          <w:rFonts w:asciiTheme="minorHAnsi" w:hAnsiTheme="minorHAnsi" w:cstheme="minorHAnsi"/>
          <w:b/>
          <w:color w:val="00305C"/>
          <w:sz w:val="22"/>
          <w:szCs w:val="22"/>
        </w:rPr>
      </w:pPr>
      <w:r w:rsidRPr="002347D5">
        <w:rPr>
          <w:rFonts w:asciiTheme="minorHAnsi" w:hAnsiTheme="minorHAnsi" w:cstheme="minorHAnsi"/>
          <w:b/>
          <w:color w:val="00305C"/>
          <w:sz w:val="22"/>
          <w:szCs w:val="22"/>
        </w:rPr>
        <w:t>Significant exploration success</w:t>
      </w:r>
    </w:p>
    <w:p w:rsidR="00072E24" w:rsidRDefault="009E6294">
      <w:pPr>
        <w:spacing w:after="160"/>
        <w:rPr>
          <w:rFonts w:asciiTheme="minorHAnsi" w:hAnsiTheme="minorHAnsi" w:cstheme="minorHAnsi"/>
          <w:color w:val="5F5F5F"/>
          <w:szCs w:val="19"/>
        </w:rPr>
      </w:pPr>
      <w:r w:rsidRPr="009E6294">
        <w:rPr>
          <w:rFonts w:asciiTheme="minorHAnsi" w:hAnsiTheme="minorHAnsi" w:cstheme="minorHAnsi"/>
          <w:color w:val="5F5F5F"/>
          <w:szCs w:val="19"/>
        </w:rPr>
        <w:t>Tullow had significant exploration success onshore in East Africa and offshore Norway</w:t>
      </w:r>
      <w:r w:rsidR="00FE49E7">
        <w:rPr>
          <w:rFonts w:asciiTheme="minorHAnsi" w:hAnsiTheme="minorHAnsi" w:cstheme="minorHAnsi"/>
          <w:color w:val="5F5F5F"/>
          <w:szCs w:val="19"/>
        </w:rPr>
        <w:t xml:space="preserve"> during the year</w:t>
      </w:r>
      <w:r w:rsidRPr="009E6294">
        <w:rPr>
          <w:rFonts w:asciiTheme="minorHAnsi" w:hAnsiTheme="minorHAnsi" w:cstheme="minorHAnsi"/>
          <w:color w:val="5F5F5F"/>
          <w:szCs w:val="19"/>
        </w:rPr>
        <w:t xml:space="preserve">. The Group </w:t>
      </w:r>
      <w:r w:rsidR="00BF2E49">
        <w:rPr>
          <w:rFonts w:asciiTheme="minorHAnsi" w:hAnsiTheme="minorHAnsi" w:cstheme="minorHAnsi"/>
          <w:color w:val="5F5F5F"/>
          <w:szCs w:val="19"/>
        </w:rPr>
        <w:t>surpassed</w:t>
      </w:r>
      <w:r w:rsidR="00BF2E49" w:rsidRPr="009E6294">
        <w:rPr>
          <w:rFonts w:asciiTheme="minorHAnsi" w:hAnsiTheme="minorHAnsi" w:cstheme="minorHAnsi"/>
          <w:color w:val="5F5F5F"/>
          <w:szCs w:val="19"/>
        </w:rPr>
        <w:t xml:space="preserve"> </w:t>
      </w:r>
      <w:r w:rsidRPr="009E6294">
        <w:rPr>
          <w:rFonts w:asciiTheme="minorHAnsi" w:hAnsiTheme="minorHAnsi" w:cstheme="minorHAnsi"/>
          <w:color w:val="5F5F5F"/>
          <w:szCs w:val="19"/>
        </w:rPr>
        <w:t>its target of contingent resource additions of 200 mmbo</w:t>
      </w:r>
      <w:r w:rsidR="00A5650F">
        <w:rPr>
          <w:rFonts w:asciiTheme="minorHAnsi" w:hAnsiTheme="minorHAnsi" w:cstheme="minorHAnsi"/>
          <w:color w:val="5F5F5F"/>
          <w:szCs w:val="19"/>
        </w:rPr>
        <w:t>e</w:t>
      </w:r>
      <w:r w:rsidRPr="009E6294">
        <w:rPr>
          <w:rFonts w:asciiTheme="minorHAnsi" w:hAnsiTheme="minorHAnsi" w:cstheme="minorHAnsi"/>
          <w:color w:val="5F5F5F"/>
          <w:szCs w:val="19"/>
        </w:rPr>
        <w:t xml:space="preserve"> per annum. In Kenya, Tullow has now discovered upwards of 600 mmbo </w:t>
      </w:r>
      <w:r w:rsidR="00A5650F">
        <w:rPr>
          <w:rFonts w:asciiTheme="minorHAnsi" w:hAnsiTheme="minorHAnsi" w:cstheme="minorHAnsi"/>
          <w:color w:val="5F5F5F"/>
          <w:szCs w:val="19"/>
        </w:rPr>
        <w:t xml:space="preserve">gross </w:t>
      </w:r>
      <w:r w:rsidR="00434676">
        <w:rPr>
          <w:rFonts w:asciiTheme="minorHAnsi" w:hAnsiTheme="minorHAnsi" w:cstheme="minorHAnsi"/>
          <w:color w:val="5F5F5F"/>
          <w:szCs w:val="19"/>
        </w:rPr>
        <w:t>from seven out of seven s</w:t>
      </w:r>
      <w:r w:rsidR="00744AF7">
        <w:rPr>
          <w:rFonts w:asciiTheme="minorHAnsi" w:hAnsiTheme="minorHAnsi" w:cstheme="minorHAnsi"/>
          <w:color w:val="5F5F5F"/>
          <w:szCs w:val="19"/>
        </w:rPr>
        <w:t xml:space="preserve">uccessful wells </w:t>
      </w:r>
      <w:r w:rsidRPr="009E6294">
        <w:rPr>
          <w:rFonts w:asciiTheme="minorHAnsi" w:hAnsiTheme="minorHAnsi" w:cstheme="minorHAnsi"/>
          <w:color w:val="5F5F5F"/>
          <w:szCs w:val="19"/>
        </w:rPr>
        <w:t>in one basin</w:t>
      </w:r>
      <w:r w:rsidR="00A5650F">
        <w:rPr>
          <w:rFonts w:asciiTheme="minorHAnsi" w:hAnsiTheme="minorHAnsi" w:cstheme="minorHAnsi"/>
          <w:color w:val="5F5F5F"/>
          <w:szCs w:val="19"/>
        </w:rPr>
        <w:t xml:space="preserve"> since March 2012</w:t>
      </w:r>
      <w:r w:rsidR="0097043F">
        <w:rPr>
          <w:rFonts w:asciiTheme="minorHAnsi" w:hAnsiTheme="minorHAnsi" w:cstheme="minorHAnsi"/>
          <w:color w:val="5F5F5F"/>
          <w:szCs w:val="19"/>
        </w:rPr>
        <w:t xml:space="preserve"> and ha</w:t>
      </w:r>
      <w:r w:rsidR="00BF2E49">
        <w:rPr>
          <w:rFonts w:asciiTheme="minorHAnsi" w:hAnsiTheme="minorHAnsi" w:cstheme="minorHAnsi"/>
          <w:color w:val="5F5F5F"/>
          <w:szCs w:val="19"/>
        </w:rPr>
        <w:t>s</w:t>
      </w:r>
      <w:r w:rsidR="0097043F">
        <w:rPr>
          <w:rFonts w:asciiTheme="minorHAnsi" w:hAnsiTheme="minorHAnsi" w:cstheme="minorHAnsi"/>
          <w:color w:val="5F5F5F"/>
          <w:szCs w:val="19"/>
        </w:rPr>
        <w:t xml:space="preserve"> </w:t>
      </w:r>
      <w:r w:rsidR="003821FE">
        <w:rPr>
          <w:rFonts w:asciiTheme="minorHAnsi" w:hAnsiTheme="minorHAnsi" w:cstheme="minorHAnsi"/>
          <w:color w:val="5F5F5F"/>
          <w:szCs w:val="19"/>
        </w:rPr>
        <w:t xml:space="preserve">ten </w:t>
      </w:r>
      <w:r w:rsidRPr="009E6294">
        <w:rPr>
          <w:rFonts w:asciiTheme="minorHAnsi" w:hAnsiTheme="minorHAnsi" w:cstheme="minorHAnsi"/>
          <w:color w:val="5F5F5F"/>
          <w:szCs w:val="19"/>
        </w:rPr>
        <w:t xml:space="preserve">further </w:t>
      </w:r>
      <w:r w:rsidR="00BF2E49">
        <w:rPr>
          <w:rFonts w:asciiTheme="minorHAnsi" w:hAnsiTheme="minorHAnsi" w:cstheme="minorHAnsi"/>
          <w:color w:val="5F5F5F"/>
          <w:szCs w:val="19"/>
        </w:rPr>
        <w:t>Tertiary Rift B</w:t>
      </w:r>
      <w:r w:rsidRPr="009E6294">
        <w:rPr>
          <w:rFonts w:asciiTheme="minorHAnsi" w:hAnsiTheme="minorHAnsi" w:cstheme="minorHAnsi"/>
          <w:color w:val="5F5F5F"/>
          <w:szCs w:val="19"/>
        </w:rPr>
        <w:t>asins</w:t>
      </w:r>
      <w:r w:rsidR="003818CB">
        <w:rPr>
          <w:rFonts w:asciiTheme="minorHAnsi" w:hAnsiTheme="minorHAnsi" w:cstheme="minorHAnsi"/>
          <w:color w:val="5F5F5F"/>
          <w:szCs w:val="19"/>
        </w:rPr>
        <w:t xml:space="preserve"> to explore</w:t>
      </w:r>
      <w:r w:rsidR="003821FE">
        <w:rPr>
          <w:rFonts w:asciiTheme="minorHAnsi" w:hAnsiTheme="minorHAnsi" w:cstheme="minorHAnsi"/>
          <w:color w:val="5F5F5F"/>
          <w:szCs w:val="19"/>
        </w:rPr>
        <w:t xml:space="preserve"> across Kenya and Ethiopia</w:t>
      </w:r>
      <w:r w:rsidRPr="009E6294">
        <w:rPr>
          <w:rFonts w:asciiTheme="minorHAnsi" w:hAnsiTheme="minorHAnsi" w:cstheme="minorHAnsi"/>
          <w:color w:val="5F5F5F"/>
          <w:szCs w:val="19"/>
        </w:rPr>
        <w:t xml:space="preserve">. </w:t>
      </w:r>
      <w:r w:rsidR="0097043F">
        <w:rPr>
          <w:rFonts w:asciiTheme="minorHAnsi" w:hAnsiTheme="minorHAnsi" w:cstheme="minorHAnsi"/>
          <w:color w:val="5F5F5F"/>
          <w:szCs w:val="19"/>
        </w:rPr>
        <w:t>Major</w:t>
      </w:r>
      <w:r w:rsidRPr="009E6294">
        <w:rPr>
          <w:rFonts w:asciiTheme="minorHAnsi" w:hAnsiTheme="minorHAnsi" w:cstheme="minorHAnsi"/>
          <w:color w:val="5F5F5F"/>
          <w:szCs w:val="19"/>
        </w:rPr>
        <w:t xml:space="preserve"> offshore wells were less successful in 2013, particularly offshore French Guiana. In 2014, Tullow is planning to invest </w:t>
      </w:r>
      <w:r w:rsidR="00BF2E49">
        <w:rPr>
          <w:rFonts w:asciiTheme="minorHAnsi" w:hAnsiTheme="minorHAnsi" w:cstheme="minorHAnsi"/>
          <w:color w:val="5F5F5F"/>
          <w:szCs w:val="19"/>
        </w:rPr>
        <w:t xml:space="preserve">around </w:t>
      </w:r>
      <w:r w:rsidRPr="009E6294">
        <w:rPr>
          <w:rFonts w:asciiTheme="minorHAnsi" w:hAnsiTheme="minorHAnsi" w:cstheme="minorHAnsi"/>
          <w:color w:val="5F5F5F"/>
          <w:szCs w:val="19"/>
        </w:rPr>
        <w:t>$</w:t>
      </w:r>
      <w:r w:rsidR="009E3D53">
        <w:rPr>
          <w:rFonts w:asciiTheme="minorHAnsi" w:hAnsiTheme="minorHAnsi" w:cstheme="minorHAnsi"/>
          <w:color w:val="5F5F5F"/>
          <w:szCs w:val="19"/>
        </w:rPr>
        <w:t>1</w:t>
      </w:r>
      <w:r w:rsidRPr="009E6294">
        <w:rPr>
          <w:rFonts w:asciiTheme="minorHAnsi" w:hAnsiTheme="minorHAnsi" w:cstheme="minorHAnsi"/>
          <w:color w:val="5F5F5F"/>
          <w:szCs w:val="19"/>
        </w:rPr>
        <w:t xml:space="preserve"> </w:t>
      </w:r>
      <w:r w:rsidR="009E3D53">
        <w:rPr>
          <w:rFonts w:asciiTheme="minorHAnsi" w:hAnsiTheme="minorHAnsi" w:cstheme="minorHAnsi"/>
          <w:color w:val="5F5F5F"/>
          <w:szCs w:val="19"/>
        </w:rPr>
        <w:t>b</w:t>
      </w:r>
      <w:r w:rsidR="00BF2E49">
        <w:rPr>
          <w:rFonts w:asciiTheme="minorHAnsi" w:hAnsiTheme="minorHAnsi" w:cstheme="minorHAnsi"/>
          <w:color w:val="5F5F5F"/>
          <w:szCs w:val="19"/>
        </w:rPr>
        <w:t>illion</w:t>
      </w:r>
      <w:r w:rsidRPr="009E6294">
        <w:rPr>
          <w:rFonts w:asciiTheme="minorHAnsi" w:hAnsiTheme="minorHAnsi" w:cstheme="minorHAnsi"/>
          <w:color w:val="5F5F5F"/>
          <w:szCs w:val="19"/>
        </w:rPr>
        <w:t xml:space="preserve"> in exploration and appraisal with major campaigns in Mauritania, Norway, Kenya and Ethiopia and a first well offshore Guinea.</w:t>
      </w:r>
    </w:p>
    <w:p w:rsidR="00072E24" w:rsidRPr="002347D5" w:rsidRDefault="009E6294" w:rsidP="002347D5">
      <w:pPr>
        <w:autoSpaceDE w:val="0"/>
        <w:autoSpaceDN w:val="0"/>
        <w:adjustRightInd w:val="0"/>
        <w:spacing w:after="60"/>
        <w:rPr>
          <w:rFonts w:asciiTheme="minorHAnsi" w:hAnsiTheme="minorHAnsi" w:cstheme="minorHAnsi"/>
          <w:b/>
          <w:color w:val="00305C"/>
          <w:sz w:val="22"/>
          <w:szCs w:val="22"/>
        </w:rPr>
      </w:pPr>
      <w:r w:rsidRPr="002347D5">
        <w:rPr>
          <w:rFonts w:asciiTheme="minorHAnsi" w:hAnsiTheme="minorHAnsi" w:cstheme="minorHAnsi"/>
          <w:b/>
          <w:color w:val="00305C"/>
          <w:sz w:val="22"/>
          <w:szCs w:val="22"/>
        </w:rPr>
        <w:t xml:space="preserve">Strong cash flow and production </w:t>
      </w:r>
    </w:p>
    <w:p w:rsidR="003818CB" w:rsidRDefault="009E6294">
      <w:pPr>
        <w:rPr>
          <w:rFonts w:asciiTheme="minorHAnsi" w:hAnsiTheme="minorHAnsi" w:cstheme="minorHAnsi"/>
          <w:color w:val="5F5F5F"/>
          <w:szCs w:val="19"/>
        </w:rPr>
      </w:pPr>
      <w:r w:rsidRPr="009E6294">
        <w:rPr>
          <w:rFonts w:asciiTheme="minorHAnsi" w:hAnsiTheme="minorHAnsi" w:cstheme="minorHAnsi"/>
          <w:color w:val="5F5F5F"/>
          <w:szCs w:val="19"/>
        </w:rPr>
        <w:t xml:space="preserve">In 2013, operating cash flow before working capital movements increased by </w:t>
      </w:r>
      <w:r w:rsidR="00255645">
        <w:rPr>
          <w:rFonts w:asciiTheme="minorHAnsi" w:hAnsiTheme="minorHAnsi" w:cstheme="minorHAnsi"/>
          <w:color w:val="5F5F5F"/>
          <w:szCs w:val="19"/>
        </w:rPr>
        <w:t>7</w:t>
      </w:r>
      <w:r w:rsidRPr="009E6294">
        <w:rPr>
          <w:rFonts w:asciiTheme="minorHAnsi" w:hAnsiTheme="minorHAnsi" w:cstheme="minorHAnsi"/>
          <w:color w:val="5F5F5F"/>
          <w:szCs w:val="19"/>
        </w:rPr>
        <w:t>% to $1.9 billion (2012: $1.8 billion)</w:t>
      </w:r>
      <w:r w:rsidR="00FE49E7">
        <w:rPr>
          <w:rFonts w:asciiTheme="minorHAnsi" w:hAnsiTheme="minorHAnsi" w:cstheme="minorHAnsi"/>
          <w:color w:val="5F5F5F"/>
          <w:szCs w:val="19"/>
        </w:rPr>
        <w:t xml:space="preserve"> as</w:t>
      </w:r>
      <w:r w:rsidRPr="009E6294">
        <w:rPr>
          <w:rFonts w:asciiTheme="minorHAnsi" w:hAnsiTheme="minorHAnsi" w:cstheme="minorHAnsi"/>
          <w:color w:val="5F5F5F"/>
          <w:szCs w:val="19"/>
        </w:rPr>
        <w:t xml:space="preserve"> the Group continued to grow </w:t>
      </w:r>
      <w:r w:rsidR="0097043F">
        <w:rPr>
          <w:rFonts w:asciiTheme="minorHAnsi" w:hAnsiTheme="minorHAnsi" w:cstheme="minorHAnsi"/>
          <w:color w:val="5F5F5F"/>
          <w:szCs w:val="19"/>
        </w:rPr>
        <w:t>its</w:t>
      </w:r>
      <w:r w:rsidRPr="009E6294">
        <w:rPr>
          <w:rFonts w:asciiTheme="minorHAnsi" w:hAnsiTheme="minorHAnsi" w:cstheme="minorHAnsi"/>
          <w:color w:val="5F5F5F"/>
          <w:szCs w:val="19"/>
        </w:rPr>
        <w:t xml:space="preserve"> high margin West Africa production. </w:t>
      </w:r>
      <w:r w:rsidR="00623009">
        <w:rPr>
          <w:rFonts w:asciiTheme="minorHAnsi" w:hAnsiTheme="minorHAnsi" w:cstheme="minorHAnsi"/>
          <w:color w:val="5F5F5F"/>
          <w:szCs w:val="19"/>
        </w:rPr>
        <w:t>Average w</w:t>
      </w:r>
      <w:r w:rsidRPr="009E6294">
        <w:rPr>
          <w:rFonts w:asciiTheme="minorHAnsi" w:hAnsiTheme="minorHAnsi" w:cstheme="minorHAnsi"/>
          <w:color w:val="5F5F5F"/>
          <w:szCs w:val="19"/>
        </w:rPr>
        <w:t>orking interest production increased 6% to 84,200 bo</w:t>
      </w:r>
      <w:r w:rsidR="00DD1514">
        <w:rPr>
          <w:rFonts w:asciiTheme="minorHAnsi" w:hAnsiTheme="minorHAnsi" w:cstheme="minorHAnsi"/>
          <w:color w:val="5F5F5F"/>
          <w:szCs w:val="19"/>
        </w:rPr>
        <w:t>e</w:t>
      </w:r>
      <w:r w:rsidRPr="009E6294">
        <w:rPr>
          <w:rFonts w:asciiTheme="minorHAnsi" w:hAnsiTheme="minorHAnsi" w:cstheme="minorHAnsi"/>
          <w:color w:val="5F5F5F"/>
          <w:szCs w:val="19"/>
        </w:rPr>
        <w:t>pd</w:t>
      </w:r>
      <w:r w:rsidR="0097043F">
        <w:rPr>
          <w:rFonts w:asciiTheme="minorHAnsi" w:hAnsiTheme="minorHAnsi" w:cstheme="minorHAnsi"/>
          <w:color w:val="5F5F5F"/>
          <w:szCs w:val="19"/>
        </w:rPr>
        <w:t xml:space="preserve"> during the year</w:t>
      </w:r>
      <w:r w:rsidRPr="009E6294">
        <w:rPr>
          <w:rFonts w:asciiTheme="minorHAnsi" w:hAnsiTheme="minorHAnsi" w:cstheme="minorHAnsi"/>
          <w:color w:val="5F5F5F"/>
          <w:szCs w:val="19"/>
        </w:rPr>
        <w:t xml:space="preserve">. </w:t>
      </w:r>
      <w:r w:rsidR="00623009">
        <w:rPr>
          <w:rFonts w:asciiTheme="minorHAnsi" w:hAnsiTheme="minorHAnsi" w:cstheme="minorHAnsi"/>
          <w:color w:val="5F5F5F"/>
          <w:szCs w:val="19"/>
        </w:rPr>
        <w:t>D</w:t>
      </w:r>
      <w:r w:rsidRPr="009E6294">
        <w:rPr>
          <w:rFonts w:asciiTheme="minorHAnsi" w:hAnsiTheme="minorHAnsi" w:cstheme="minorHAnsi"/>
          <w:color w:val="5F5F5F"/>
          <w:szCs w:val="19"/>
        </w:rPr>
        <w:t xml:space="preserve">elays in 2013 to the Ghana National Gas Company’s onshore gas processing plant </w:t>
      </w:r>
      <w:r w:rsidR="00DD1514">
        <w:rPr>
          <w:rFonts w:asciiTheme="minorHAnsi" w:hAnsiTheme="minorHAnsi" w:cstheme="minorHAnsi"/>
          <w:color w:val="5F5F5F"/>
          <w:szCs w:val="19"/>
        </w:rPr>
        <w:t>will require alternative</w:t>
      </w:r>
      <w:r w:rsidRPr="009E6294">
        <w:rPr>
          <w:rFonts w:asciiTheme="minorHAnsi" w:hAnsiTheme="minorHAnsi" w:cstheme="minorHAnsi"/>
          <w:color w:val="5F5F5F"/>
          <w:szCs w:val="19"/>
        </w:rPr>
        <w:t xml:space="preserve"> </w:t>
      </w:r>
      <w:r w:rsidR="003821FE">
        <w:rPr>
          <w:rFonts w:asciiTheme="minorHAnsi" w:hAnsiTheme="minorHAnsi" w:cstheme="minorHAnsi"/>
          <w:color w:val="5F5F5F"/>
          <w:szCs w:val="19"/>
        </w:rPr>
        <w:t xml:space="preserve">gas disposal </w:t>
      </w:r>
      <w:r w:rsidRPr="009E6294">
        <w:rPr>
          <w:rFonts w:asciiTheme="minorHAnsi" w:hAnsiTheme="minorHAnsi" w:cstheme="minorHAnsi"/>
          <w:color w:val="5F5F5F"/>
          <w:szCs w:val="19"/>
        </w:rPr>
        <w:t xml:space="preserve">options to </w:t>
      </w:r>
      <w:r w:rsidR="00D46083">
        <w:rPr>
          <w:rFonts w:asciiTheme="minorHAnsi" w:hAnsiTheme="minorHAnsi" w:cstheme="minorHAnsi"/>
          <w:color w:val="5F5F5F"/>
          <w:szCs w:val="19"/>
        </w:rPr>
        <w:t>be considered</w:t>
      </w:r>
      <w:r w:rsidR="00623009">
        <w:rPr>
          <w:rFonts w:asciiTheme="minorHAnsi" w:hAnsiTheme="minorHAnsi" w:cstheme="minorHAnsi"/>
          <w:color w:val="5F5F5F"/>
          <w:szCs w:val="19"/>
        </w:rPr>
        <w:t xml:space="preserve"> in order to achieve an average </w:t>
      </w:r>
      <w:r w:rsidR="00BF2E49">
        <w:rPr>
          <w:rFonts w:asciiTheme="minorHAnsi" w:hAnsiTheme="minorHAnsi" w:cstheme="minorHAnsi"/>
          <w:color w:val="5F5F5F"/>
          <w:szCs w:val="19"/>
        </w:rPr>
        <w:t xml:space="preserve">gross </w:t>
      </w:r>
      <w:r w:rsidRPr="009E6294">
        <w:rPr>
          <w:rFonts w:asciiTheme="minorHAnsi" w:hAnsiTheme="minorHAnsi" w:cstheme="minorHAnsi"/>
          <w:color w:val="5F5F5F"/>
          <w:szCs w:val="19"/>
        </w:rPr>
        <w:t xml:space="preserve">production rate </w:t>
      </w:r>
      <w:r w:rsidR="00FE49E7">
        <w:rPr>
          <w:rFonts w:asciiTheme="minorHAnsi" w:hAnsiTheme="minorHAnsi" w:cstheme="minorHAnsi"/>
          <w:color w:val="5F5F5F"/>
          <w:szCs w:val="19"/>
        </w:rPr>
        <w:t xml:space="preserve">of </w:t>
      </w:r>
      <w:r w:rsidR="00BF2E49">
        <w:rPr>
          <w:rFonts w:asciiTheme="minorHAnsi" w:hAnsiTheme="minorHAnsi" w:cstheme="minorHAnsi"/>
          <w:color w:val="5F5F5F"/>
          <w:szCs w:val="19"/>
        </w:rPr>
        <w:t>around</w:t>
      </w:r>
      <w:r w:rsidR="00FE49E7">
        <w:rPr>
          <w:rFonts w:asciiTheme="minorHAnsi" w:hAnsiTheme="minorHAnsi" w:cstheme="minorHAnsi"/>
          <w:color w:val="5F5F5F"/>
          <w:szCs w:val="19"/>
        </w:rPr>
        <w:t xml:space="preserve"> 100,000 bopd </w:t>
      </w:r>
      <w:r w:rsidRPr="009E6294">
        <w:rPr>
          <w:rFonts w:asciiTheme="minorHAnsi" w:hAnsiTheme="minorHAnsi" w:cstheme="minorHAnsi"/>
          <w:color w:val="5F5F5F"/>
          <w:szCs w:val="19"/>
        </w:rPr>
        <w:t>from the Jubilee field</w:t>
      </w:r>
      <w:r w:rsidR="00623009" w:rsidRPr="00623009">
        <w:rPr>
          <w:rFonts w:asciiTheme="minorHAnsi" w:hAnsiTheme="minorHAnsi" w:cstheme="minorHAnsi"/>
          <w:color w:val="5F5F5F"/>
          <w:szCs w:val="19"/>
        </w:rPr>
        <w:t xml:space="preserve"> </w:t>
      </w:r>
      <w:r w:rsidR="00623009" w:rsidRPr="009E6294">
        <w:rPr>
          <w:rFonts w:asciiTheme="minorHAnsi" w:hAnsiTheme="minorHAnsi" w:cstheme="minorHAnsi"/>
          <w:color w:val="5F5F5F"/>
          <w:szCs w:val="19"/>
        </w:rPr>
        <w:t>in 2014</w:t>
      </w:r>
      <w:r w:rsidRPr="009E6294">
        <w:rPr>
          <w:rFonts w:asciiTheme="minorHAnsi" w:hAnsiTheme="minorHAnsi" w:cstheme="minorHAnsi"/>
          <w:color w:val="5F5F5F"/>
          <w:szCs w:val="19"/>
        </w:rPr>
        <w:t xml:space="preserve">. </w:t>
      </w:r>
      <w:r w:rsidR="00BF2E49">
        <w:rPr>
          <w:rFonts w:asciiTheme="minorHAnsi" w:hAnsiTheme="minorHAnsi" w:cstheme="minorHAnsi"/>
          <w:color w:val="5F5F5F"/>
          <w:szCs w:val="19"/>
        </w:rPr>
        <w:t>Group average w</w:t>
      </w:r>
      <w:r w:rsidRPr="009E6294">
        <w:rPr>
          <w:rFonts w:asciiTheme="minorHAnsi" w:hAnsiTheme="minorHAnsi" w:cstheme="minorHAnsi"/>
          <w:color w:val="5F5F5F"/>
          <w:szCs w:val="19"/>
        </w:rPr>
        <w:t>orking interest production in 2014 is expected to be in the range 79</w:t>
      </w:r>
      <w:r w:rsidR="00A5650F">
        <w:rPr>
          <w:rFonts w:asciiTheme="minorHAnsi" w:hAnsiTheme="minorHAnsi" w:cstheme="minorHAnsi"/>
          <w:color w:val="5F5F5F"/>
          <w:szCs w:val="19"/>
        </w:rPr>
        <w:t>,000</w:t>
      </w:r>
      <w:r w:rsidRPr="009E6294">
        <w:rPr>
          <w:rFonts w:asciiTheme="minorHAnsi" w:hAnsiTheme="minorHAnsi" w:cstheme="minorHAnsi"/>
          <w:color w:val="5F5F5F"/>
          <w:szCs w:val="19"/>
        </w:rPr>
        <w:t>-85,00</w:t>
      </w:r>
      <w:r w:rsidR="003818CB">
        <w:rPr>
          <w:rFonts w:asciiTheme="minorHAnsi" w:hAnsiTheme="minorHAnsi" w:cstheme="minorHAnsi"/>
          <w:color w:val="5F5F5F"/>
          <w:szCs w:val="19"/>
        </w:rPr>
        <w:t>0</w:t>
      </w:r>
      <w:r w:rsidRPr="009E6294">
        <w:rPr>
          <w:rFonts w:asciiTheme="minorHAnsi" w:hAnsiTheme="minorHAnsi" w:cstheme="minorHAnsi"/>
          <w:color w:val="5F5F5F"/>
          <w:szCs w:val="19"/>
        </w:rPr>
        <w:t xml:space="preserve"> boepd.</w:t>
      </w:r>
    </w:p>
    <w:p w:rsidR="00072E24" w:rsidRDefault="00072E24">
      <w:pPr>
        <w:rPr>
          <w:rFonts w:asciiTheme="minorHAnsi" w:hAnsiTheme="minorHAnsi" w:cstheme="minorHAnsi"/>
          <w:color w:val="5F5F5F"/>
          <w:szCs w:val="19"/>
        </w:rPr>
      </w:pPr>
    </w:p>
    <w:p w:rsidR="00072E24" w:rsidRPr="002347D5" w:rsidRDefault="009E6294" w:rsidP="006B4FE1">
      <w:pPr>
        <w:autoSpaceDE w:val="0"/>
        <w:autoSpaceDN w:val="0"/>
        <w:adjustRightInd w:val="0"/>
        <w:spacing w:after="40"/>
        <w:rPr>
          <w:rFonts w:asciiTheme="minorHAnsi" w:hAnsiTheme="minorHAnsi" w:cstheme="minorHAnsi"/>
          <w:b/>
          <w:color w:val="00305C"/>
          <w:sz w:val="22"/>
          <w:szCs w:val="22"/>
        </w:rPr>
      </w:pPr>
      <w:r w:rsidRPr="002347D5">
        <w:rPr>
          <w:rFonts w:asciiTheme="minorHAnsi" w:hAnsiTheme="minorHAnsi" w:cstheme="minorHAnsi"/>
          <w:b/>
          <w:color w:val="00305C"/>
          <w:sz w:val="22"/>
          <w:szCs w:val="22"/>
        </w:rPr>
        <w:t>Major development projects</w:t>
      </w:r>
    </w:p>
    <w:p w:rsidR="00072E24" w:rsidRDefault="009E6294">
      <w:pPr>
        <w:spacing w:after="160"/>
        <w:rPr>
          <w:rFonts w:asciiTheme="minorHAnsi" w:hAnsiTheme="minorHAnsi" w:cstheme="minorHAnsi"/>
          <w:color w:val="5F5F5F"/>
          <w:szCs w:val="19"/>
        </w:rPr>
      </w:pPr>
      <w:r w:rsidRPr="009E6294">
        <w:rPr>
          <w:rFonts w:asciiTheme="minorHAnsi" w:hAnsiTheme="minorHAnsi" w:cstheme="minorHAnsi"/>
          <w:color w:val="5F5F5F"/>
          <w:szCs w:val="19"/>
        </w:rPr>
        <w:t>The TEN development offshore Ghana is on track for first oil in mid-2016</w:t>
      </w:r>
      <w:r w:rsidR="0087418B">
        <w:rPr>
          <w:rFonts w:asciiTheme="minorHAnsi" w:hAnsiTheme="minorHAnsi" w:cstheme="minorHAnsi"/>
          <w:color w:val="5F5F5F"/>
          <w:szCs w:val="19"/>
        </w:rPr>
        <w:t>, based around a</w:t>
      </w:r>
      <w:r w:rsidR="003821FE">
        <w:rPr>
          <w:rFonts w:asciiTheme="minorHAnsi" w:hAnsiTheme="minorHAnsi" w:cstheme="minorHAnsi"/>
          <w:color w:val="5F5F5F"/>
          <w:szCs w:val="19"/>
        </w:rPr>
        <w:t xml:space="preserve"> FPSO facility </w:t>
      </w:r>
      <w:r w:rsidR="0087418B">
        <w:rPr>
          <w:rFonts w:asciiTheme="minorHAnsi" w:hAnsiTheme="minorHAnsi" w:cstheme="minorHAnsi"/>
          <w:color w:val="5F5F5F"/>
          <w:szCs w:val="19"/>
        </w:rPr>
        <w:t>with</w:t>
      </w:r>
      <w:r w:rsidR="00623009">
        <w:rPr>
          <w:rFonts w:asciiTheme="minorHAnsi" w:hAnsiTheme="minorHAnsi" w:cstheme="minorHAnsi"/>
          <w:color w:val="5F5F5F"/>
          <w:szCs w:val="19"/>
        </w:rPr>
        <w:t xml:space="preserve"> a production capacity</w:t>
      </w:r>
      <w:r w:rsidR="003821FE">
        <w:rPr>
          <w:rFonts w:asciiTheme="minorHAnsi" w:hAnsiTheme="minorHAnsi" w:cstheme="minorHAnsi"/>
          <w:color w:val="5F5F5F"/>
          <w:szCs w:val="19"/>
        </w:rPr>
        <w:t xml:space="preserve"> of </w:t>
      </w:r>
      <w:r w:rsidRPr="009E6294">
        <w:rPr>
          <w:rFonts w:asciiTheme="minorHAnsi" w:hAnsiTheme="minorHAnsi" w:cstheme="minorHAnsi"/>
          <w:color w:val="5F5F5F"/>
          <w:szCs w:val="19"/>
        </w:rPr>
        <w:t>80,000 bopd</w:t>
      </w:r>
      <w:r w:rsidR="003821FE">
        <w:rPr>
          <w:rFonts w:asciiTheme="minorHAnsi" w:hAnsiTheme="minorHAnsi" w:cstheme="minorHAnsi"/>
          <w:color w:val="5F5F5F"/>
          <w:szCs w:val="19"/>
        </w:rPr>
        <w:t>.</w:t>
      </w:r>
      <w:r w:rsidR="001F11CA">
        <w:rPr>
          <w:rFonts w:asciiTheme="minorHAnsi" w:hAnsiTheme="minorHAnsi" w:cstheme="minorHAnsi"/>
          <w:color w:val="5F5F5F"/>
          <w:szCs w:val="19"/>
        </w:rPr>
        <w:t xml:space="preserve"> </w:t>
      </w:r>
      <w:r w:rsidRPr="009E6294">
        <w:rPr>
          <w:rFonts w:asciiTheme="minorHAnsi" w:hAnsiTheme="minorHAnsi" w:cstheme="minorHAnsi"/>
          <w:color w:val="5F5F5F"/>
          <w:szCs w:val="19"/>
        </w:rPr>
        <w:t>Tullow</w:t>
      </w:r>
      <w:r w:rsidR="00913E80">
        <w:rPr>
          <w:rFonts w:asciiTheme="minorHAnsi" w:hAnsiTheme="minorHAnsi" w:cstheme="minorHAnsi"/>
          <w:color w:val="5F5F5F"/>
          <w:szCs w:val="19"/>
        </w:rPr>
        <w:t xml:space="preserve"> continues to progress a farmdown of TEN to reduce </w:t>
      </w:r>
      <w:r w:rsidRPr="009E6294">
        <w:rPr>
          <w:rFonts w:asciiTheme="minorHAnsi" w:hAnsiTheme="minorHAnsi" w:cstheme="minorHAnsi"/>
          <w:color w:val="5F5F5F"/>
          <w:szCs w:val="19"/>
        </w:rPr>
        <w:t>equity</w:t>
      </w:r>
      <w:r w:rsidR="003821FE">
        <w:rPr>
          <w:rFonts w:asciiTheme="minorHAnsi" w:hAnsiTheme="minorHAnsi" w:cstheme="minorHAnsi"/>
          <w:color w:val="5F5F5F"/>
          <w:szCs w:val="19"/>
        </w:rPr>
        <w:t xml:space="preserve"> in the project whilst retaining operatorship</w:t>
      </w:r>
      <w:r w:rsidRPr="009E6294">
        <w:rPr>
          <w:rFonts w:asciiTheme="minorHAnsi" w:hAnsiTheme="minorHAnsi" w:cstheme="minorHAnsi"/>
          <w:color w:val="5F5F5F"/>
          <w:szCs w:val="19"/>
        </w:rPr>
        <w:t xml:space="preserve">. In </w:t>
      </w:r>
      <w:r w:rsidR="00913E80">
        <w:rPr>
          <w:rFonts w:asciiTheme="minorHAnsi" w:hAnsiTheme="minorHAnsi" w:cstheme="minorHAnsi"/>
          <w:color w:val="5F5F5F"/>
          <w:szCs w:val="19"/>
        </w:rPr>
        <w:t>preparation for the next phase of investment in the Jubilee field</w:t>
      </w:r>
      <w:r w:rsidRPr="009E6294">
        <w:rPr>
          <w:rFonts w:asciiTheme="minorHAnsi" w:hAnsiTheme="minorHAnsi" w:cstheme="minorHAnsi"/>
          <w:color w:val="5F5F5F"/>
          <w:szCs w:val="19"/>
        </w:rPr>
        <w:t xml:space="preserve">, discussions </w:t>
      </w:r>
      <w:r w:rsidR="00A86670">
        <w:rPr>
          <w:rFonts w:asciiTheme="minorHAnsi" w:hAnsiTheme="minorHAnsi" w:cstheme="minorHAnsi"/>
          <w:color w:val="5F5F5F"/>
          <w:szCs w:val="19"/>
        </w:rPr>
        <w:t>are continuing</w:t>
      </w:r>
      <w:r w:rsidRPr="009E6294">
        <w:rPr>
          <w:rFonts w:asciiTheme="minorHAnsi" w:hAnsiTheme="minorHAnsi" w:cstheme="minorHAnsi"/>
          <w:color w:val="5F5F5F"/>
          <w:szCs w:val="19"/>
        </w:rPr>
        <w:t xml:space="preserve"> with the Government of Ghana on the </w:t>
      </w:r>
      <w:r w:rsidR="00913E80">
        <w:rPr>
          <w:rFonts w:asciiTheme="minorHAnsi" w:hAnsiTheme="minorHAnsi" w:cstheme="minorHAnsi"/>
          <w:color w:val="5F5F5F"/>
          <w:szCs w:val="19"/>
        </w:rPr>
        <w:t xml:space="preserve">approval of the </w:t>
      </w:r>
      <w:r w:rsidRPr="009E6294">
        <w:rPr>
          <w:rFonts w:asciiTheme="minorHAnsi" w:hAnsiTheme="minorHAnsi" w:cstheme="minorHAnsi"/>
          <w:color w:val="5F5F5F"/>
          <w:szCs w:val="19"/>
        </w:rPr>
        <w:t>Jubilee Full Field Development (FFD)</w:t>
      </w:r>
      <w:r w:rsidR="00913E80">
        <w:rPr>
          <w:rFonts w:asciiTheme="minorHAnsi" w:hAnsiTheme="minorHAnsi" w:cstheme="minorHAnsi"/>
          <w:color w:val="5F5F5F"/>
          <w:szCs w:val="19"/>
        </w:rPr>
        <w:t xml:space="preserve"> plan</w:t>
      </w:r>
      <w:r w:rsidRPr="009E6294">
        <w:rPr>
          <w:rFonts w:asciiTheme="minorHAnsi" w:hAnsiTheme="minorHAnsi" w:cstheme="minorHAnsi"/>
          <w:color w:val="5F5F5F"/>
          <w:szCs w:val="19"/>
        </w:rPr>
        <w:t>.</w:t>
      </w:r>
      <w:r w:rsidR="00DD1514">
        <w:rPr>
          <w:rFonts w:asciiTheme="minorHAnsi" w:hAnsiTheme="minorHAnsi" w:cstheme="minorHAnsi"/>
          <w:color w:val="5F5F5F"/>
          <w:szCs w:val="19"/>
        </w:rPr>
        <w:t xml:space="preserve"> </w:t>
      </w:r>
      <w:r w:rsidR="0097043F">
        <w:rPr>
          <w:rFonts w:asciiTheme="minorHAnsi" w:hAnsiTheme="minorHAnsi" w:cstheme="minorHAnsi"/>
          <w:color w:val="5F5F5F"/>
          <w:szCs w:val="19"/>
        </w:rPr>
        <w:t>In</w:t>
      </w:r>
      <w:r w:rsidRPr="009E6294">
        <w:rPr>
          <w:rFonts w:asciiTheme="minorHAnsi" w:hAnsiTheme="minorHAnsi" w:cstheme="minorHAnsi"/>
          <w:color w:val="5F5F5F"/>
          <w:szCs w:val="19"/>
        </w:rPr>
        <w:t xml:space="preserve"> February 2014</w:t>
      </w:r>
      <w:r w:rsidR="00BE7F1E">
        <w:rPr>
          <w:rFonts w:asciiTheme="minorHAnsi" w:hAnsiTheme="minorHAnsi" w:cstheme="minorHAnsi"/>
          <w:color w:val="5F5F5F"/>
          <w:szCs w:val="19"/>
        </w:rPr>
        <w:t>,</w:t>
      </w:r>
      <w:r w:rsidR="00623009">
        <w:rPr>
          <w:rFonts w:asciiTheme="minorHAnsi" w:hAnsiTheme="minorHAnsi" w:cstheme="minorHAnsi"/>
          <w:color w:val="5F5F5F"/>
          <w:szCs w:val="19"/>
        </w:rPr>
        <w:t xml:space="preserve"> a Memorandum of Understanding (</w:t>
      </w:r>
      <w:r w:rsidR="00AA1C84">
        <w:rPr>
          <w:rFonts w:asciiTheme="minorHAnsi" w:hAnsiTheme="minorHAnsi" w:cstheme="minorHAnsi"/>
          <w:color w:val="5F5F5F"/>
          <w:szCs w:val="19"/>
        </w:rPr>
        <w:t>Mo</w:t>
      </w:r>
      <w:r w:rsidRPr="009E6294">
        <w:rPr>
          <w:rFonts w:asciiTheme="minorHAnsi" w:hAnsiTheme="minorHAnsi" w:cstheme="minorHAnsi"/>
          <w:color w:val="5F5F5F"/>
          <w:szCs w:val="19"/>
        </w:rPr>
        <w:t>U</w:t>
      </w:r>
      <w:r w:rsidR="00623009">
        <w:rPr>
          <w:rFonts w:asciiTheme="minorHAnsi" w:hAnsiTheme="minorHAnsi" w:cstheme="minorHAnsi"/>
          <w:color w:val="5F5F5F"/>
          <w:szCs w:val="19"/>
        </w:rPr>
        <w:t>)</w:t>
      </w:r>
      <w:r w:rsidRPr="009E6294">
        <w:rPr>
          <w:rFonts w:asciiTheme="minorHAnsi" w:hAnsiTheme="minorHAnsi" w:cstheme="minorHAnsi"/>
          <w:color w:val="5F5F5F"/>
          <w:szCs w:val="19"/>
        </w:rPr>
        <w:t xml:space="preserve"> </w:t>
      </w:r>
      <w:r w:rsidR="00FE49E7">
        <w:rPr>
          <w:rFonts w:asciiTheme="minorHAnsi" w:hAnsiTheme="minorHAnsi" w:cstheme="minorHAnsi"/>
          <w:color w:val="5F5F5F"/>
          <w:szCs w:val="19"/>
        </w:rPr>
        <w:t xml:space="preserve">was signed </w:t>
      </w:r>
      <w:r w:rsidR="00BE7F1E">
        <w:rPr>
          <w:rFonts w:asciiTheme="minorHAnsi" w:hAnsiTheme="minorHAnsi" w:cstheme="minorHAnsi"/>
          <w:color w:val="5F5F5F"/>
          <w:szCs w:val="19"/>
        </w:rPr>
        <w:t>between</w:t>
      </w:r>
      <w:r w:rsidR="00BE7F1E" w:rsidRPr="009E6294">
        <w:rPr>
          <w:rFonts w:asciiTheme="minorHAnsi" w:hAnsiTheme="minorHAnsi" w:cstheme="minorHAnsi"/>
          <w:color w:val="5F5F5F"/>
          <w:szCs w:val="19"/>
        </w:rPr>
        <w:t xml:space="preserve"> </w:t>
      </w:r>
      <w:r w:rsidRPr="009E6294">
        <w:rPr>
          <w:rFonts w:asciiTheme="minorHAnsi" w:hAnsiTheme="minorHAnsi" w:cstheme="minorHAnsi"/>
          <w:color w:val="5F5F5F"/>
          <w:szCs w:val="19"/>
        </w:rPr>
        <w:t xml:space="preserve">the Government of Uganda </w:t>
      </w:r>
      <w:r w:rsidR="0097043F">
        <w:rPr>
          <w:rFonts w:asciiTheme="minorHAnsi" w:hAnsiTheme="minorHAnsi" w:cstheme="minorHAnsi"/>
          <w:color w:val="5F5F5F"/>
          <w:szCs w:val="19"/>
        </w:rPr>
        <w:t>and</w:t>
      </w:r>
      <w:r w:rsidR="00BE7F1E">
        <w:rPr>
          <w:rFonts w:asciiTheme="minorHAnsi" w:hAnsiTheme="minorHAnsi" w:cstheme="minorHAnsi"/>
          <w:color w:val="5F5F5F"/>
          <w:szCs w:val="19"/>
        </w:rPr>
        <w:t xml:space="preserve"> Tullow, CNOOC Ltd and Total</w:t>
      </w:r>
      <w:r w:rsidR="00913E80">
        <w:rPr>
          <w:rFonts w:asciiTheme="minorHAnsi" w:hAnsiTheme="minorHAnsi" w:cstheme="minorHAnsi"/>
          <w:color w:val="5F5F5F"/>
          <w:szCs w:val="19"/>
        </w:rPr>
        <w:t xml:space="preserve"> which outlines the framework for t</w:t>
      </w:r>
      <w:r w:rsidR="00BE7F1E">
        <w:rPr>
          <w:rFonts w:asciiTheme="minorHAnsi" w:hAnsiTheme="minorHAnsi" w:cstheme="minorHAnsi"/>
          <w:color w:val="5F5F5F"/>
          <w:szCs w:val="19"/>
        </w:rPr>
        <w:t>he</w:t>
      </w:r>
      <w:r w:rsidRPr="009E6294">
        <w:rPr>
          <w:rFonts w:asciiTheme="minorHAnsi" w:hAnsiTheme="minorHAnsi" w:cstheme="minorHAnsi"/>
          <w:color w:val="5F5F5F"/>
          <w:szCs w:val="19"/>
        </w:rPr>
        <w:t xml:space="preserve"> Lake Albert Rift Basin development </w:t>
      </w:r>
      <w:r w:rsidR="00913E80">
        <w:rPr>
          <w:rFonts w:asciiTheme="minorHAnsi" w:hAnsiTheme="minorHAnsi" w:cstheme="minorHAnsi"/>
          <w:color w:val="5F5F5F"/>
          <w:szCs w:val="19"/>
        </w:rPr>
        <w:t xml:space="preserve">which </w:t>
      </w:r>
      <w:r w:rsidRPr="009E6294">
        <w:rPr>
          <w:rFonts w:asciiTheme="minorHAnsi" w:hAnsiTheme="minorHAnsi" w:cstheme="minorHAnsi"/>
          <w:color w:val="5F5F5F"/>
          <w:szCs w:val="19"/>
        </w:rPr>
        <w:t xml:space="preserve">is targeting over 200,000 bopd gross production. In Kenya, the Government </w:t>
      </w:r>
      <w:r w:rsidR="003821FE">
        <w:rPr>
          <w:rFonts w:asciiTheme="minorHAnsi" w:hAnsiTheme="minorHAnsi" w:cstheme="minorHAnsi"/>
          <w:color w:val="5F5F5F"/>
          <w:szCs w:val="19"/>
        </w:rPr>
        <w:t xml:space="preserve">gave its support for development studies to commence </w:t>
      </w:r>
      <w:r w:rsidRPr="009E6294">
        <w:rPr>
          <w:rFonts w:asciiTheme="minorHAnsi" w:hAnsiTheme="minorHAnsi" w:cstheme="minorHAnsi"/>
          <w:color w:val="5F5F5F"/>
          <w:szCs w:val="19"/>
        </w:rPr>
        <w:t xml:space="preserve">and the joint venture </w:t>
      </w:r>
      <w:r w:rsidR="00623009" w:rsidRPr="009E6294">
        <w:rPr>
          <w:rFonts w:asciiTheme="minorHAnsi" w:hAnsiTheme="minorHAnsi" w:cstheme="minorHAnsi"/>
          <w:color w:val="5F5F5F"/>
          <w:szCs w:val="19"/>
        </w:rPr>
        <w:t xml:space="preserve">partnership </w:t>
      </w:r>
      <w:r w:rsidR="00623009">
        <w:rPr>
          <w:rFonts w:asciiTheme="minorHAnsi" w:hAnsiTheme="minorHAnsi" w:cstheme="minorHAnsi"/>
          <w:color w:val="5F5F5F"/>
          <w:szCs w:val="19"/>
        </w:rPr>
        <w:t>is</w:t>
      </w:r>
      <w:r w:rsidR="00BE7F1E">
        <w:rPr>
          <w:rFonts w:asciiTheme="minorHAnsi" w:hAnsiTheme="minorHAnsi" w:cstheme="minorHAnsi"/>
          <w:color w:val="5F5F5F"/>
          <w:szCs w:val="19"/>
        </w:rPr>
        <w:t xml:space="preserve"> aiming</w:t>
      </w:r>
      <w:r w:rsidR="00BE7F1E" w:rsidRPr="009E6294">
        <w:rPr>
          <w:rFonts w:asciiTheme="minorHAnsi" w:hAnsiTheme="minorHAnsi" w:cstheme="minorHAnsi"/>
          <w:color w:val="5F5F5F"/>
          <w:szCs w:val="19"/>
        </w:rPr>
        <w:t xml:space="preserve"> </w:t>
      </w:r>
      <w:r w:rsidRPr="009E6294">
        <w:rPr>
          <w:rFonts w:asciiTheme="minorHAnsi" w:hAnsiTheme="minorHAnsi" w:cstheme="minorHAnsi"/>
          <w:color w:val="5F5F5F"/>
          <w:szCs w:val="19"/>
        </w:rPr>
        <w:t>to reach project sanction for development, including an</w:t>
      </w:r>
      <w:r w:rsidR="00623009">
        <w:rPr>
          <w:rFonts w:asciiTheme="minorHAnsi" w:hAnsiTheme="minorHAnsi" w:cstheme="minorHAnsi"/>
          <w:color w:val="5F5F5F"/>
          <w:szCs w:val="19"/>
        </w:rPr>
        <w:t xml:space="preserve"> export pipeline in </w:t>
      </w:r>
      <w:r w:rsidRPr="009E6294">
        <w:rPr>
          <w:rFonts w:asciiTheme="minorHAnsi" w:hAnsiTheme="minorHAnsi" w:cstheme="minorHAnsi"/>
          <w:color w:val="5F5F5F"/>
          <w:szCs w:val="19"/>
        </w:rPr>
        <w:t xml:space="preserve">2015/2016. </w:t>
      </w:r>
    </w:p>
    <w:p w:rsidR="00072E24" w:rsidRPr="002347D5" w:rsidRDefault="00DD1514" w:rsidP="006B4FE1">
      <w:pPr>
        <w:autoSpaceDE w:val="0"/>
        <w:autoSpaceDN w:val="0"/>
        <w:adjustRightInd w:val="0"/>
        <w:spacing w:after="40"/>
        <w:rPr>
          <w:rFonts w:asciiTheme="minorHAnsi" w:hAnsiTheme="minorHAnsi" w:cstheme="minorHAnsi"/>
          <w:b/>
          <w:color w:val="00305C"/>
          <w:sz w:val="22"/>
          <w:szCs w:val="22"/>
        </w:rPr>
      </w:pPr>
      <w:r w:rsidRPr="002347D5">
        <w:rPr>
          <w:rFonts w:asciiTheme="minorHAnsi" w:hAnsiTheme="minorHAnsi" w:cstheme="minorHAnsi"/>
          <w:b/>
          <w:color w:val="00305C"/>
          <w:sz w:val="22"/>
          <w:szCs w:val="22"/>
        </w:rPr>
        <w:t>D</w:t>
      </w:r>
      <w:r w:rsidR="009E6294" w:rsidRPr="002347D5">
        <w:rPr>
          <w:rFonts w:asciiTheme="minorHAnsi" w:hAnsiTheme="minorHAnsi" w:cstheme="minorHAnsi"/>
          <w:b/>
          <w:color w:val="00305C"/>
          <w:sz w:val="22"/>
          <w:szCs w:val="22"/>
        </w:rPr>
        <w:t>iversified balance sheet</w:t>
      </w:r>
    </w:p>
    <w:p w:rsidR="00072E24" w:rsidRDefault="009E6294">
      <w:pPr>
        <w:tabs>
          <w:tab w:val="left" w:pos="6075"/>
        </w:tabs>
        <w:rPr>
          <w:rFonts w:asciiTheme="minorHAnsi" w:hAnsiTheme="minorHAnsi" w:cstheme="minorHAnsi"/>
          <w:color w:val="5F5F5F"/>
          <w:szCs w:val="19"/>
        </w:rPr>
      </w:pPr>
      <w:r w:rsidRPr="009E6294">
        <w:rPr>
          <w:rFonts w:asciiTheme="minorHAnsi" w:hAnsiTheme="minorHAnsi" w:cstheme="minorHAnsi"/>
          <w:color w:val="5F5F5F"/>
          <w:szCs w:val="19"/>
        </w:rPr>
        <w:t xml:space="preserve">The Group strengthened its balance sheet by diversifying </w:t>
      </w:r>
      <w:r w:rsidR="00BE7F1E">
        <w:rPr>
          <w:rFonts w:asciiTheme="minorHAnsi" w:hAnsiTheme="minorHAnsi" w:cstheme="minorHAnsi"/>
          <w:color w:val="5F5F5F"/>
          <w:szCs w:val="19"/>
        </w:rPr>
        <w:t xml:space="preserve">its </w:t>
      </w:r>
      <w:r w:rsidRPr="009E6294">
        <w:rPr>
          <w:rFonts w:asciiTheme="minorHAnsi" w:hAnsiTheme="minorHAnsi" w:cstheme="minorHAnsi"/>
          <w:color w:val="5F5F5F"/>
          <w:szCs w:val="19"/>
        </w:rPr>
        <w:t>sources of funding with the issue of $650 million of 6% senior notes due 2020 at par in November</w:t>
      </w:r>
      <w:r w:rsidR="00072765">
        <w:rPr>
          <w:rFonts w:asciiTheme="minorHAnsi" w:hAnsiTheme="minorHAnsi" w:cstheme="minorHAnsi"/>
          <w:color w:val="5F5F5F"/>
          <w:szCs w:val="19"/>
        </w:rPr>
        <w:t xml:space="preserve"> </w:t>
      </w:r>
      <w:r w:rsidR="00A5650F">
        <w:rPr>
          <w:rFonts w:asciiTheme="minorHAnsi" w:hAnsiTheme="minorHAnsi" w:cstheme="minorHAnsi"/>
          <w:color w:val="5F5F5F"/>
          <w:szCs w:val="19"/>
        </w:rPr>
        <w:t>2013</w:t>
      </w:r>
      <w:r w:rsidRPr="009E6294">
        <w:rPr>
          <w:rFonts w:asciiTheme="minorHAnsi" w:hAnsiTheme="minorHAnsi" w:cstheme="minorHAnsi"/>
          <w:color w:val="5F5F5F"/>
          <w:szCs w:val="19"/>
        </w:rPr>
        <w:t xml:space="preserve">. In 2013, Tullow </w:t>
      </w:r>
      <w:r w:rsidR="00BE7F1E">
        <w:rPr>
          <w:rFonts w:asciiTheme="minorHAnsi" w:hAnsiTheme="minorHAnsi" w:cstheme="minorHAnsi"/>
          <w:color w:val="5F5F5F"/>
          <w:szCs w:val="19"/>
        </w:rPr>
        <w:t>spent</w:t>
      </w:r>
      <w:r w:rsidR="00BE7F1E" w:rsidRPr="009E6294">
        <w:rPr>
          <w:rFonts w:asciiTheme="minorHAnsi" w:hAnsiTheme="minorHAnsi" w:cstheme="minorHAnsi"/>
          <w:color w:val="5F5F5F"/>
          <w:szCs w:val="19"/>
        </w:rPr>
        <w:t xml:space="preserve"> </w:t>
      </w:r>
      <w:r w:rsidRPr="009E6294">
        <w:rPr>
          <w:rFonts w:asciiTheme="minorHAnsi" w:hAnsiTheme="minorHAnsi" w:cstheme="minorHAnsi"/>
          <w:color w:val="5F5F5F"/>
          <w:szCs w:val="19"/>
        </w:rPr>
        <w:t xml:space="preserve">$1.8 billion </w:t>
      </w:r>
      <w:r w:rsidR="00A86670">
        <w:rPr>
          <w:rFonts w:asciiTheme="minorHAnsi" w:hAnsiTheme="minorHAnsi" w:cstheme="minorHAnsi"/>
          <w:color w:val="5F5F5F"/>
          <w:szCs w:val="19"/>
        </w:rPr>
        <w:t>o</w:t>
      </w:r>
      <w:r w:rsidRPr="009E6294">
        <w:rPr>
          <w:rFonts w:asciiTheme="minorHAnsi" w:hAnsiTheme="minorHAnsi" w:cstheme="minorHAnsi"/>
          <w:color w:val="5F5F5F"/>
          <w:szCs w:val="19"/>
        </w:rPr>
        <w:t>n capital expenditure</w:t>
      </w:r>
      <w:r w:rsidR="00BE7F1E">
        <w:rPr>
          <w:rFonts w:asciiTheme="minorHAnsi" w:hAnsiTheme="minorHAnsi" w:cstheme="minorHAnsi"/>
          <w:color w:val="5F5F5F"/>
          <w:szCs w:val="19"/>
        </w:rPr>
        <w:t xml:space="preserve">. </w:t>
      </w:r>
      <w:r w:rsidR="0097043F">
        <w:rPr>
          <w:rFonts w:asciiTheme="minorHAnsi" w:hAnsiTheme="minorHAnsi" w:cstheme="minorHAnsi"/>
          <w:color w:val="5F5F5F"/>
          <w:szCs w:val="19"/>
        </w:rPr>
        <w:t>2014</w:t>
      </w:r>
      <w:r w:rsidRPr="009E6294">
        <w:rPr>
          <w:rFonts w:asciiTheme="minorHAnsi" w:hAnsiTheme="minorHAnsi" w:cstheme="minorHAnsi"/>
          <w:color w:val="5F5F5F"/>
          <w:szCs w:val="19"/>
        </w:rPr>
        <w:t xml:space="preserve"> capital expenditure is forecast to be $2.2 billion. As at the end of December 2013, the Group had</w:t>
      </w:r>
      <w:r w:rsidR="00A86670" w:rsidRPr="00A86670">
        <w:rPr>
          <w:rFonts w:asciiTheme="minorHAnsi" w:hAnsiTheme="minorHAnsi" w:cstheme="minorHAnsi"/>
          <w:color w:val="5F5F5F"/>
          <w:szCs w:val="19"/>
        </w:rPr>
        <w:t xml:space="preserve"> </w:t>
      </w:r>
      <w:r w:rsidR="00A86670" w:rsidRPr="009E6294">
        <w:rPr>
          <w:rFonts w:asciiTheme="minorHAnsi" w:hAnsiTheme="minorHAnsi" w:cstheme="minorHAnsi"/>
          <w:color w:val="5F5F5F"/>
          <w:szCs w:val="19"/>
        </w:rPr>
        <w:t>net debt of $1.9 billion</w:t>
      </w:r>
      <w:r w:rsidRPr="009E6294">
        <w:rPr>
          <w:rFonts w:asciiTheme="minorHAnsi" w:hAnsiTheme="minorHAnsi" w:cstheme="minorHAnsi"/>
          <w:color w:val="5F5F5F"/>
          <w:szCs w:val="19"/>
        </w:rPr>
        <w:t xml:space="preserve">, with </w:t>
      </w:r>
      <w:r w:rsidR="00A86670" w:rsidRPr="009E6294">
        <w:rPr>
          <w:rFonts w:asciiTheme="minorHAnsi" w:hAnsiTheme="minorHAnsi" w:cstheme="minorHAnsi"/>
          <w:color w:val="5F5F5F"/>
          <w:szCs w:val="19"/>
        </w:rPr>
        <w:t>unutilised debt capacity of $2.4 billion</w:t>
      </w:r>
      <w:r w:rsidR="0097043F">
        <w:rPr>
          <w:rFonts w:asciiTheme="minorHAnsi" w:hAnsiTheme="minorHAnsi" w:cstheme="minorHAnsi"/>
          <w:color w:val="5F5F5F"/>
          <w:szCs w:val="19"/>
        </w:rPr>
        <w:t>.</w:t>
      </w:r>
    </w:p>
    <w:p w:rsidR="00072E24" w:rsidRDefault="00072E24">
      <w:pPr>
        <w:autoSpaceDE w:val="0"/>
        <w:autoSpaceDN w:val="0"/>
        <w:adjustRightInd w:val="0"/>
        <w:rPr>
          <w:rFonts w:asciiTheme="minorHAnsi" w:hAnsiTheme="minorHAnsi" w:cstheme="minorHAnsi"/>
          <w:color w:val="5F5F5F"/>
          <w:szCs w:val="19"/>
        </w:rPr>
      </w:pPr>
    </w:p>
    <w:p w:rsidR="00072E24" w:rsidRPr="002347D5" w:rsidRDefault="009E6294" w:rsidP="006B4FE1">
      <w:pPr>
        <w:autoSpaceDE w:val="0"/>
        <w:autoSpaceDN w:val="0"/>
        <w:adjustRightInd w:val="0"/>
        <w:spacing w:after="40"/>
        <w:rPr>
          <w:rFonts w:asciiTheme="minorHAnsi" w:hAnsiTheme="minorHAnsi" w:cstheme="minorHAnsi"/>
          <w:b/>
          <w:color w:val="00305C"/>
          <w:sz w:val="22"/>
          <w:szCs w:val="22"/>
        </w:rPr>
      </w:pPr>
      <w:r w:rsidRPr="002347D5">
        <w:rPr>
          <w:rFonts w:asciiTheme="minorHAnsi" w:hAnsiTheme="minorHAnsi" w:cstheme="minorHAnsi"/>
          <w:b/>
          <w:color w:val="00305C"/>
          <w:sz w:val="22"/>
          <w:szCs w:val="22"/>
        </w:rPr>
        <w:t>Board changes, AGM, Dividend</w:t>
      </w:r>
    </w:p>
    <w:p w:rsidR="00072E24" w:rsidRDefault="009E6294">
      <w:pPr>
        <w:rPr>
          <w:rFonts w:asciiTheme="minorHAnsi" w:hAnsiTheme="minorHAnsi" w:cstheme="minorHAnsi"/>
          <w:color w:val="5F5F5F"/>
          <w:szCs w:val="19"/>
        </w:rPr>
      </w:pPr>
      <w:r w:rsidRPr="009E6294">
        <w:rPr>
          <w:rFonts w:asciiTheme="minorHAnsi" w:hAnsiTheme="minorHAnsi" w:cstheme="minorHAnsi"/>
          <w:color w:val="5F5F5F"/>
          <w:szCs w:val="19"/>
        </w:rPr>
        <w:t xml:space="preserve">At the Annual General Meeting (AGM) on 30 April 2014, David Bamford will retire after </w:t>
      </w:r>
      <w:r w:rsidRPr="00B70EB5">
        <w:rPr>
          <w:rFonts w:asciiTheme="minorHAnsi" w:hAnsiTheme="minorHAnsi" w:cstheme="minorHAnsi"/>
          <w:color w:val="5F5F5F"/>
          <w:szCs w:val="19"/>
        </w:rPr>
        <w:t>nine</w:t>
      </w:r>
      <w:r w:rsidRPr="009E6294">
        <w:rPr>
          <w:rFonts w:asciiTheme="minorHAnsi" w:hAnsiTheme="minorHAnsi" w:cstheme="minorHAnsi"/>
          <w:color w:val="5F5F5F"/>
          <w:szCs w:val="19"/>
        </w:rPr>
        <w:t xml:space="preserve"> years of outstanding service. Ann Grant will replace him as Senior Independent Director. Jeremy Wilson joined the Board in October 2013 after a successful career at J. P</w:t>
      </w:r>
      <w:r w:rsidR="00854394">
        <w:rPr>
          <w:rFonts w:asciiTheme="minorHAnsi" w:hAnsiTheme="minorHAnsi" w:cstheme="minorHAnsi"/>
          <w:color w:val="5F5F5F"/>
          <w:szCs w:val="19"/>
        </w:rPr>
        <w:t>.</w:t>
      </w:r>
      <w:r w:rsidRPr="009E6294">
        <w:rPr>
          <w:rFonts w:asciiTheme="minorHAnsi" w:hAnsiTheme="minorHAnsi" w:cstheme="minorHAnsi"/>
          <w:color w:val="5F5F5F"/>
          <w:szCs w:val="19"/>
        </w:rPr>
        <w:t xml:space="preserve"> Morgan. He will </w:t>
      </w:r>
      <w:r w:rsidR="00854394">
        <w:rPr>
          <w:rFonts w:asciiTheme="minorHAnsi" w:hAnsiTheme="minorHAnsi" w:cstheme="minorHAnsi"/>
          <w:color w:val="5F5F5F"/>
          <w:szCs w:val="19"/>
        </w:rPr>
        <w:t xml:space="preserve">become </w:t>
      </w:r>
      <w:r w:rsidRPr="009E6294">
        <w:rPr>
          <w:rFonts w:asciiTheme="minorHAnsi" w:hAnsiTheme="minorHAnsi" w:cstheme="minorHAnsi"/>
          <w:color w:val="5F5F5F"/>
          <w:szCs w:val="19"/>
        </w:rPr>
        <w:t xml:space="preserve">chairman of the Remuneration Committee after the 2014 AGM. In view of </w:t>
      </w:r>
      <w:r w:rsidR="00854394">
        <w:rPr>
          <w:rFonts w:asciiTheme="minorHAnsi" w:hAnsiTheme="minorHAnsi" w:cstheme="minorHAnsi"/>
          <w:color w:val="5F5F5F"/>
          <w:szCs w:val="19"/>
        </w:rPr>
        <w:t xml:space="preserve">Tullow’s work commitments in 2014 and the steady state of the Group’s production, </w:t>
      </w:r>
      <w:r w:rsidRPr="009E6294">
        <w:rPr>
          <w:rFonts w:asciiTheme="minorHAnsi" w:hAnsiTheme="minorHAnsi" w:cstheme="minorHAnsi"/>
          <w:color w:val="5F5F5F"/>
          <w:szCs w:val="19"/>
        </w:rPr>
        <w:t>the Board is recommending an unchanged final dividend of 8.0 pence per share, bringing the total payment for the year to 12</w:t>
      </w:r>
      <w:r w:rsidR="00FE49E7">
        <w:rPr>
          <w:rFonts w:asciiTheme="minorHAnsi" w:hAnsiTheme="minorHAnsi" w:cstheme="minorHAnsi"/>
          <w:color w:val="5F5F5F"/>
          <w:szCs w:val="19"/>
        </w:rPr>
        <w:t>.0</w:t>
      </w:r>
      <w:r w:rsidRPr="009E6294">
        <w:rPr>
          <w:rFonts w:asciiTheme="minorHAnsi" w:hAnsiTheme="minorHAnsi" w:cstheme="minorHAnsi"/>
          <w:color w:val="5F5F5F"/>
          <w:szCs w:val="19"/>
        </w:rPr>
        <w:t xml:space="preserve"> pence per share.</w:t>
      </w:r>
    </w:p>
    <w:p w:rsidR="00072E24" w:rsidRDefault="00072E24">
      <w:pPr>
        <w:autoSpaceDE w:val="0"/>
        <w:autoSpaceDN w:val="0"/>
        <w:adjustRightInd w:val="0"/>
        <w:rPr>
          <w:rFonts w:asciiTheme="minorHAnsi" w:hAnsiTheme="minorHAnsi" w:cstheme="minorHAnsi"/>
          <w:color w:val="5F5F5F"/>
          <w:szCs w:val="19"/>
        </w:rPr>
      </w:pPr>
    </w:p>
    <w:p w:rsidR="005F0A91" w:rsidRDefault="005F0A91">
      <w:pPr>
        <w:spacing w:line="240" w:lineRule="auto"/>
        <w:jc w:val="left"/>
        <w:rPr>
          <w:rFonts w:asciiTheme="minorHAnsi" w:hAnsiTheme="minorHAnsi" w:cstheme="minorHAnsi"/>
          <w:b/>
          <w:color w:val="00305C"/>
          <w:sz w:val="22"/>
          <w:szCs w:val="22"/>
        </w:rPr>
      </w:pPr>
    </w:p>
    <w:p w:rsidR="009A4EE1" w:rsidRDefault="009A4EE1">
      <w:pPr>
        <w:spacing w:line="240" w:lineRule="auto"/>
        <w:jc w:val="left"/>
        <w:rPr>
          <w:rFonts w:asciiTheme="minorHAnsi" w:hAnsiTheme="minorHAnsi" w:cstheme="minorHAnsi"/>
          <w:b/>
          <w:color w:val="00305C"/>
          <w:sz w:val="22"/>
          <w:szCs w:val="22"/>
        </w:rPr>
      </w:pPr>
    </w:p>
    <w:p w:rsidR="009A4EE1" w:rsidRDefault="009A4EE1">
      <w:pPr>
        <w:spacing w:line="240" w:lineRule="auto"/>
        <w:jc w:val="left"/>
        <w:rPr>
          <w:rFonts w:asciiTheme="minorHAnsi" w:hAnsiTheme="minorHAnsi" w:cstheme="minorHAnsi"/>
          <w:b/>
          <w:color w:val="00305C"/>
          <w:sz w:val="22"/>
          <w:szCs w:val="22"/>
        </w:rPr>
      </w:pPr>
    </w:p>
    <w:p w:rsidR="009A4EE1" w:rsidRDefault="009A4EE1">
      <w:pPr>
        <w:spacing w:line="240" w:lineRule="auto"/>
        <w:jc w:val="left"/>
        <w:rPr>
          <w:rFonts w:ascii="Calibri" w:hAnsi="Calibri" w:cs="Calibri"/>
          <w:b/>
          <w:color w:val="002B45"/>
          <w:sz w:val="32"/>
          <w:szCs w:val="20"/>
        </w:rPr>
      </w:pPr>
    </w:p>
    <w:p w:rsidR="00B022BE" w:rsidRPr="002347D5" w:rsidRDefault="00BB411D" w:rsidP="002347D5">
      <w:pPr>
        <w:pStyle w:val="StyleSection-heading16ptCustomColorRGB1533154"/>
        <w:spacing w:after="240"/>
        <w:rPr>
          <w:rFonts w:ascii="Calibri" w:hAnsi="Calibri" w:cs="Calibri"/>
          <w:b/>
          <w:color w:val="00305C"/>
        </w:rPr>
      </w:pPr>
      <w:r w:rsidRPr="002347D5">
        <w:rPr>
          <w:rFonts w:ascii="Calibri" w:hAnsi="Calibri" w:cs="Calibri"/>
          <w:b/>
          <w:color w:val="00305C"/>
        </w:rPr>
        <w:t>Operations r</w:t>
      </w:r>
      <w:r w:rsidR="00B022BE" w:rsidRPr="002347D5">
        <w:rPr>
          <w:rFonts w:ascii="Calibri" w:hAnsi="Calibri" w:cs="Calibri"/>
          <w:b/>
          <w:color w:val="00305C"/>
        </w:rPr>
        <w:t>eview</w:t>
      </w:r>
    </w:p>
    <w:p w:rsidR="00241771" w:rsidRPr="002347D5" w:rsidRDefault="00241771" w:rsidP="002347D5">
      <w:pPr>
        <w:pStyle w:val="StyleHeadingCustomColorRGB1533154"/>
        <w:spacing w:after="120"/>
        <w:outlineLvl w:val="0"/>
        <w:rPr>
          <w:rFonts w:ascii="Calibri" w:hAnsi="Calibri" w:cs="Calibri"/>
          <w:b/>
          <w:color w:val="991F36"/>
          <w:sz w:val="24"/>
          <w:szCs w:val="24"/>
        </w:rPr>
      </w:pPr>
      <w:r w:rsidRPr="002347D5">
        <w:rPr>
          <w:rFonts w:ascii="Calibri" w:hAnsi="Calibri" w:cs="Calibri"/>
          <w:b/>
          <w:color w:val="991F36"/>
          <w:sz w:val="24"/>
          <w:szCs w:val="24"/>
        </w:rPr>
        <w:t xml:space="preserve">WEST </w:t>
      </w:r>
      <w:r w:rsidR="00E124B0" w:rsidRPr="002347D5">
        <w:rPr>
          <w:rFonts w:ascii="Calibri" w:hAnsi="Calibri" w:cs="Calibri"/>
          <w:b/>
          <w:color w:val="991F36"/>
          <w:sz w:val="24"/>
          <w:szCs w:val="24"/>
        </w:rPr>
        <w:t xml:space="preserve">AND NORTH </w:t>
      </w:r>
      <w:r w:rsidRPr="002347D5">
        <w:rPr>
          <w:rFonts w:ascii="Calibri" w:hAnsi="Calibri" w:cs="Calibri"/>
          <w:b/>
          <w:color w:val="991F36"/>
          <w:sz w:val="24"/>
          <w:szCs w:val="24"/>
        </w:rPr>
        <w:t xml:space="preserve">AFRICA </w:t>
      </w:r>
    </w:p>
    <w:tbl>
      <w:tblPr>
        <w:tblW w:w="9498" w:type="dxa"/>
        <w:tblBorders>
          <w:top w:val="single" w:sz="4" w:space="0" w:color="A6A6A6"/>
          <w:bottom w:val="single" w:sz="4" w:space="0" w:color="A6A6A6"/>
          <w:insideH w:val="single" w:sz="4" w:space="0" w:color="A6A6A6"/>
          <w:insideV w:val="single" w:sz="4" w:space="0" w:color="A6A6A6"/>
        </w:tblBorders>
        <w:tblCellMar>
          <w:left w:w="0" w:type="dxa"/>
          <w:right w:w="0" w:type="dxa"/>
        </w:tblCellMar>
        <w:tblLook w:val="04A0" w:firstRow="1" w:lastRow="0" w:firstColumn="1" w:lastColumn="0" w:noHBand="0" w:noVBand="1"/>
      </w:tblPr>
      <w:tblGrid>
        <w:gridCol w:w="2480"/>
        <w:gridCol w:w="2481"/>
        <w:gridCol w:w="2481"/>
        <w:gridCol w:w="2056"/>
      </w:tblGrid>
      <w:tr w:rsidR="00241771" w:rsidRPr="009318F0" w:rsidTr="00B34934">
        <w:trPr>
          <w:trHeight w:val="545"/>
        </w:trPr>
        <w:tc>
          <w:tcPr>
            <w:tcW w:w="2480" w:type="dxa"/>
            <w:vAlign w:val="center"/>
          </w:tcPr>
          <w:p w:rsidR="00241771" w:rsidRPr="002347D5" w:rsidRDefault="00385C96" w:rsidP="006D3ADD">
            <w:pPr>
              <w:pStyle w:val="StyleCustomColorRGB04369CenteredLeft015cmRight"/>
              <w:ind w:left="0"/>
              <w:rPr>
                <w:rFonts w:ascii="Calibri" w:hAnsi="Calibri" w:cs="Calibri"/>
                <w:color w:val="00305C"/>
              </w:rPr>
            </w:pPr>
            <w:r w:rsidRPr="002347D5">
              <w:rPr>
                <w:rFonts w:ascii="Calibri" w:hAnsi="Calibri" w:cs="Calibri"/>
                <w:color w:val="00305C"/>
              </w:rPr>
              <w:t>201</w:t>
            </w:r>
            <w:r w:rsidR="00D55054" w:rsidRPr="002347D5">
              <w:rPr>
                <w:rFonts w:ascii="Calibri" w:hAnsi="Calibri" w:cs="Calibri"/>
                <w:color w:val="00305C"/>
              </w:rPr>
              <w:t>3</w:t>
            </w:r>
            <w:r w:rsidR="00241771" w:rsidRPr="002347D5">
              <w:rPr>
                <w:rFonts w:ascii="Calibri" w:hAnsi="Calibri" w:cs="Calibri"/>
                <w:color w:val="00305C"/>
              </w:rPr>
              <w:t xml:space="preserve"> production</w:t>
            </w:r>
          </w:p>
          <w:p w:rsidR="00241771" w:rsidRPr="002347D5" w:rsidRDefault="009E6294" w:rsidP="00AB5EEA">
            <w:pPr>
              <w:pStyle w:val="StyleCustomColorRGB04369CenteredLeft015cmRight"/>
              <w:ind w:left="0"/>
              <w:rPr>
                <w:rFonts w:ascii="Calibri" w:hAnsi="Calibri" w:cs="Calibri"/>
                <w:color w:val="00305C"/>
                <w:highlight w:val="yellow"/>
              </w:rPr>
            </w:pPr>
            <w:r w:rsidRPr="002347D5">
              <w:rPr>
                <w:rFonts w:ascii="Calibri" w:hAnsi="Calibri" w:cs="Calibri"/>
                <w:color w:val="00305C"/>
              </w:rPr>
              <w:t>65,000</w:t>
            </w:r>
            <w:r w:rsidR="00241771" w:rsidRPr="002347D5">
              <w:rPr>
                <w:rFonts w:ascii="Calibri" w:hAnsi="Calibri" w:cs="Calibri"/>
                <w:color w:val="00305C"/>
              </w:rPr>
              <w:t xml:space="preserve"> boepd</w:t>
            </w:r>
          </w:p>
        </w:tc>
        <w:tc>
          <w:tcPr>
            <w:tcW w:w="2481" w:type="dxa"/>
            <w:vAlign w:val="center"/>
          </w:tcPr>
          <w:p w:rsidR="00241771" w:rsidRPr="002347D5" w:rsidRDefault="00241771" w:rsidP="006D3ADD">
            <w:pPr>
              <w:pStyle w:val="StyleCustomColorRGB04369CenteredLeft015cmRight"/>
              <w:ind w:left="0"/>
              <w:rPr>
                <w:rFonts w:ascii="Calibri" w:hAnsi="Calibri" w:cs="Calibri"/>
                <w:color w:val="00305C"/>
              </w:rPr>
            </w:pPr>
            <w:r w:rsidRPr="002347D5">
              <w:rPr>
                <w:rFonts w:ascii="Calibri" w:hAnsi="Calibri" w:cs="Calibri"/>
                <w:color w:val="00305C"/>
              </w:rPr>
              <w:t>Total reserves and resources</w:t>
            </w:r>
          </w:p>
          <w:p w:rsidR="00241771" w:rsidRPr="002347D5" w:rsidRDefault="00A5650F" w:rsidP="006D3ADD">
            <w:pPr>
              <w:pStyle w:val="StyleCustomColorRGB04369CenteredLeft015cmRight"/>
              <w:ind w:left="0"/>
              <w:rPr>
                <w:rFonts w:ascii="Calibri" w:hAnsi="Calibri" w:cs="Calibri"/>
                <w:color w:val="00305C"/>
                <w:highlight w:val="yellow"/>
              </w:rPr>
            </w:pPr>
            <w:r w:rsidRPr="002347D5">
              <w:rPr>
                <w:rFonts w:ascii="Calibri" w:hAnsi="Calibri" w:cs="Calibri"/>
                <w:color w:val="00305C"/>
              </w:rPr>
              <w:t>665.6</w:t>
            </w:r>
            <w:r w:rsidR="00241771" w:rsidRPr="002347D5">
              <w:rPr>
                <w:rFonts w:ascii="Calibri" w:hAnsi="Calibri" w:cs="Calibri"/>
                <w:color w:val="00305C"/>
              </w:rPr>
              <w:t xml:space="preserve"> mmboe</w:t>
            </w:r>
          </w:p>
        </w:tc>
        <w:tc>
          <w:tcPr>
            <w:tcW w:w="2481" w:type="dxa"/>
            <w:tcMar>
              <w:left w:w="0" w:type="dxa"/>
              <w:right w:w="0" w:type="dxa"/>
            </w:tcMar>
            <w:vAlign w:val="center"/>
          </w:tcPr>
          <w:p w:rsidR="00241771" w:rsidRPr="002347D5" w:rsidRDefault="00D55054" w:rsidP="006D3ADD">
            <w:pPr>
              <w:pStyle w:val="StyleCustomColorRGB04369CenteredLeft015cmRight"/>
              <w:ind w:left="0"/>
              <w:rPr>
                <w:rFonts w:ascii="Calibri" w:hAnsi="Calibri" w:cs="Calibri"/>
                <w:color w:val="00305C"/>
              </w:rPr>
            </w:pPr>
            <w:r w:rsidRPr="002347D5">
              <w:rPr>
                <w:rFonts w:ascii="Calibri" w:hAnsi="Calibri" w:cs="Calibri"/>
                <w:color w:val="00305C"/>
              </w:rPr>
              <w:t>2013 s</w:t>
            </w:r>
            <w:r w:rsidR="00241771" w:rsidRPr="002347D5">
              <w:rPr>
                <w:rFonts w:ascii="Calibri" w:hAnsi="Calibri" w:cs="Calibri"/>
                <w:color w:val="00305C"/>
              </w:rPr>
              <w:t>ales revenue</w:t>
            </w:r>
          </w:p>
          <w:p w:rsidR="0007592F" w:rsidRPr="002347D5" w:rsidRDefault="00241771">
            <w:pPr>
              <w:pStyle w:val="StyleCustomColorRGB04369CenteredLeft015cmRight"/>
              <w:ind w:left="0"/>
              <w:rPr>
                <w:rFonts w:ascii="Calibri" w:hAnsi="Calibri" w:cs="Calibri"/>
                <w:color w:val="00305C"/>
                <w:highlight w:val="yellow"/>
              </w:rPr>
            </w:pPr>
            <w:r w:rsidRPr="002347D5">
              <w:rPr>
                <w:rFonts w:ascii="Calibri" w:hAnsi="Calibri" w:cs="Calibri"/>
                <w:color w:val="00305C"/>
              </w:rPr>
              <w:t>$</w:t>
            </w:r>
            <w:r w:rsidR="009E6294" w:rsidRPr="002347D5">
              <w:rPr>
                <w:rFonts w:ascii="Calibri" w:hAnsi="Calibri" w:cs="Calibri"/>
                <w:color w:val="00305C"/>
                <w:lang w:val="en-US"/>
              </w:rPr>
              <w:t>2,247.5</w:t>
            </w:r>
            <w:r w:rsidR="005219DC" w:rsidRPr="002347D5">
              <w:rPr>
                <w:rFonts w:ascii="Calibri" w:hAnsi="Calibri" w:cs="Calibri"/>
                <w:color w:val="00305C"/>
                <w:lang w:val="en-US"/>
              </w:rPr>
              <w:t xml:space="preserve"> </w:t>
            </w:r>
            <w:r w:rsidRPr="002347D5">
              <w:rPr>
                <w:rFonts w:ascii="Calibri" w:hAnsi="Calibri" w:cs="Calibri"/>
                <w:color w:val="00305C"/>
              </w:rPr>
              <w:t>million</w:t>
            </w:r>
          </w:p>
        </w:tc>
        <w:tc>
          <w:tcPr>
            <w:tcW w:w="2056" w:type="dxa"/>
            <w:tcMar>
              <w:top w:w="57" w:type="dxa"/>
              <w:left w:w="0" w:type="dxa"/>
              <w:bottom w:w="57" w:type="dxa"/>
              <w:right w:w="0" w:type="dxa"/>
            </w:tcMar>
            <w:vAlign w:val="center"/>
          </w:tcPr>
          <w:p w:rsidR="00241771" w:rsidRPr="002347D5" w:rsidRDefault="00241771" w:rsidP="006D3ADD">
            <w:pPr>
              <w:pStyle w:val="StyleCustomColorRGB04369CenteredLeft015cmRight"/>
              <w:ind w:left="0"/>
              <w:rPr>
                <w:rFonts w:ascii="Calibri" w:hAnsi="Calibri" w:cs="Calibri"/>
                <w:color w:val="00305C"/>
              </w:rPr>
            </w:pPr>
            <w:r w:rsidRPr="002347D5">
              <w:rPr>
                <w:rFonts w:ascii="Calibri" w:hAnsi="Calibri" w:cs="Calibri"/>
                <w:color w:val="00305C"/>
              </w:rPr>
              <w:t>201</w:t>
            </w:r>
            <w:r w:rsidR="00D55054" w:rsidRPr="002347D5">
              <w:rPr>
                <w:rFonts w:ascii="Calibri" w:hAnsi="Calibri" w:cs="Calibri"/>
                <w:color w:val="00305C"/>
              </w:rPr>
              <w:t>3</w:t>
            </w:r>
            <w:r w:rsidRPr="002347D5">
              <w:rPr>
                <w:rFonts w:ascii="Calibri" w:hAnsi="Calibri" w:cs="Calibri"/>
                <w:color w:val="00305C"/>
              </w:rPr>
              <w:t xml:space="preserve"> investment</w:t>
            </w:r>
          </w:p>
          <w:p w:rsidR="0007592F" w:rsidRPr="002347D5" w:rsidRDefault="00241771" w:rsidP="008A3064">
            <w:pPr>
              <w:pStyle w:val="StyleCustomColorRGB04369CenteredLeft015cmRight"/>
              <w:ind w:left="0"/>
              <w:rPr>
                <w:rFonts w:ascii="Calibri" w:hAnsi="Calibri" w:cs="Calibri"/>
                <w:color w:val="00305C"/>
                <w:highlight w:val="yellow"/>
              </w:rPr>
            </w:pPr>
            <w:r w:rsidRPr="002347D5">
              <w:rPr>
                <w:rFonts w:ascii="Calibri" w:hAnsi="Calibri" w:cs="Calibri"/>
                <w:color w:val="00305C"/>
              </w:rPr>
              <w:t>$</w:t>
            </w:r>
            <w:r w:rsidR="008A3064" w:rsidRPr="002347D5">
              <w:rPr>
                <w:rFonts w:ascii="Calibri" w:hAnsi="Calibri" w:cs="Calibri"/>
                <w:color w:val="00305C"/>
              </w:rPr>
              <w:t>811</w:t>
            </w:r>
            <w:r w:rsidRPr="002347D5">
              <w:rPr>
                <w:rFonts w:ascii="Calibri" w:hAnsi="Calibri" w:cs="Calibri"/>
                <w:color w:val="00305C"/>
              </w:rPr>
              <w:t xml:space="preserve"> million </w:t>
            </w:r>
          </w:p>
        </w:tc>
      </w:tr>
    </w:tbl>
    <w:p w:rsidR="00241771" w:rsidRDefault="00241771" w:rsidP="00921526">
      <w:pPr>
        <w:rPr>
          <w:rFonts w:ascii="Calibri" w:eastAsia="Calibri" w:hAnsi="Calibri"/>
          <w:color w:val="5F5F5F"/>
          <w:szCs w:val="19"/>
        </w:rPr>
      </w:pPr>
    </w:p>
    <w:p w:rsidR="00DB17AC" w:rsidRDefault="006575AE" w:rsidP="00DB17AC">
      <w:pPr>
        <w:rPr>
          <w:rFonts w:asciiTheme="minorHAnsi" w:hAnsiTheme="minorHAnsi" w:cstheme="minorHAnsi"/>
          <w:color w:val="5F5F5F"/>
          <w:szCs w:val="19"/>
        </w:rPr>
      </w:pPr>
      <w:r w:rsidRPr="002347D5">
        <w:rPr>
          <w:rFonts w:asciiTheme="minorHAnsi" w:hAnsiTheme="minorHAnsi" w:cstheme="minorHAnsi"/>
          <w:b/>
          <w:color w:val="00305C"/>
          <w:sz w:val="22"/>
          <w:szCs w:val="22"/>
        </w:rPr>
        <w:t>Ghana</w:t>
      </w:r>
      <w:r w:rsidRPr="006575AE">
        <w:rPr>
          <w:rFonts w:asciiTheme="minorHAnsi" w:hAnsiTheme="minorHAnsi" w:cstheme="minorHAnsi"/>
          <w:color w:val="002B45"/>
          <w:szCs w:val="19"/>
        </w:rPr>
        <w:br/>
      </w:r>
      <w:r w:rsidR="006345F8" w:rsidRPr="006575AE">
        <w:rPr>
          <w:rFonts w:asciiTheme="minorHAnsi" w:hAnsiTheme="minorHAnsi" w:cstheme="minorHAnsi"/>
          <w:color w:val="5F5F5F"/>
          <w:szCs w:val="19"/>
        </w:rPr>
        <w:t xml:space="preserve">Tullow has interests in two licences offshore Ghana. The Jubilee field straddles both the Deepwater Tano and West Cape Three Points licences, whilst the Tweneboa-Enyenra-Ntomme (TEN) cluster development is </w:t>
      </w:r>
      <w:r w:rsidR="001C5F85">
        <w:rPr>
          <w:rFonts w:asciiTheme="minorHAnsi" w:hAnsiTheme="minorHAnsi" w:cstheme="minorHAnsi"/>
          <w:color w:val="5F5F5F"/>
          <w:szCs w:val="19"/>
        </w:rPr>
        <w:t xml:space="preserve">wholly </w:t>
      </w:r>
      <w:r w:rsidR="006345F8" w:rsidRPr="006575AE">
        <w:rPr>
          <w:rFonts w:asciiTheme="minorHAnsi" w:hAnsiTheme="minorHAnsi" w:cstheme="minorHAnsi"/>
          <w:color w:val="5F5F5F"/>
          <w:szCs w:val="19"/>
        </w:rPr>
        <w:t xml:space="preserve">located in the </w:t>
      </w:r>
      <w:r w:rsidR="001C5F85" w:rsidRPr="006575AE">
        <w:rPr>
          <w:rFonts w:asciiTheme="minorHAnsi" w:hAnsiTheme="minorHAnsi" w:cstheme="minorHAnsi"/>
          <w:color w:val="5F5F5F"/>
          <w:szCs w:val="19"/>
        </w:rPr>
        <w:t xml:space="preserve">Deepwater Tano </w:t>
      </w:r>
      <w:r w:rsidR="006345F8">
        <w:rPr>
          <w:rFonts w:asciiTheme="minorHAnsi" w:hAnsiTheme="minorHAnsi" w:cstheme="minorHAnsi"/>
          <w:color w:val="5F5F5F"/>
          <w:szCs w:val="19"/>
        </w:rPr>
        <w:t>licence</w:t>
      </w:r>
      <w:r w:rsidR="006345F8" w:rsidRPr="006575AE">
        <w:rPr>
          <w:rFonts w:asciiTheme="minorHAnsi" w:hAnsiTheme="minorHAnsi" w:cstheme="minorHAnsi"/>
          <w:color w:val="5F5F5F"/>
          <w:szCs w:val="19"/>
        </w:rPr>
        <w:t xml:space="preserve">. In 2013, </w:t>
      </w:r>
      <w:r w:rsidR="006345F8">
        <w:rPr>
          <w:rFonts w:asciiTheme="minorHAnsi" w:hAnsiTheme="minorHAnsi" w:cstheme="minorHAnsi"/>
          <w:color w:val="5F5F5F"/>
          <w:szCs w:val="19"/>
        </w:rPr>
        <w:t>t</w:t>
      </w:r>
      <w:r w:rsidR="006345F8" w:rsidRPr="006575AE">
        <w:rPr>
          <w:rFonts w:asciiTheme="minorHAnsi" w:hAnsiTheme="minorHAnsi" w:cstheme="minorHAnsi"/>
          <w:color w:val="5F5F5F"/>
          <w:szCs w:val="19"/>
        </w:rPr>
        <w:t xml:space="preserve">he Jubilee field averaged </w:t>
      </w:r>
      <w:r w:rsidR="00534C5C">
        <w:rPr>
          <w:rFonts w:asciiTheme="minorHAnsi" w:hAnsiTheme="minorHAnsi" w:cstheme="minorHAnsi"/>
          <w:color w:val="5F5F5F"/>
          <w:szCs w:val="19"/>
        </w:rPr>
        <w:t xml:space="preserve">approximately </w:t>
      </w:r>
      <w:r w:rsidR="006345F8" w:rsidRPr="006575AE">
        <w:rPr>
          <w:rFonts w:asciiTheme="minorHAnsi" w:hAnsiTheme="minorHAnsi" w:cstheme="minorHAnsi"/>
          <w:color w:val="5F5F5F"/>
          <w:szCs w:val="19"/>
        </w:rPr>
        <w:t>100,000</w:t>
      </w:r>
      <w:r w:rsidR="00534C5C">
        <w:rPr>
          <w:rFonts w:asciiTheme="minorHAnsi" w:hAnsiTheme="minorHAnsi" w:cstheme="minorHAnsi"/>
          <w:color w:val="5F5F5F"/>
          <w:szCs w:val="19"/>
        </w:rPr>
        <w:t xml:space="preserve"> </w:t>
      </w:r>
      <w:r w:rsidR="006345F8" w:rsidRPr="006575AE">
        <w:rPr>
          <w:rFonts w:asciiTheme="minorHAnsi" w:hAnsiTheme="minorHAnsi" w:cstheme="minorHAnsi"/>
          <w:color w:val="5F5F5F"/>
          <w:szCs w:val="19"/>
        </w:rPr>
        <w:t xml:space="preserve">bopd gross production </w:t>
      </w:r>
      <w:r w:rsidR="006345F8">
        <w:rPr>
          <w:rFonts w:asciiTheme="minorHAnsi" w:hAnsiTheme="minorHAnsi" w:cstheme="minorHAnsi"/>
          <w:color w:val="5F5F5F"/>
          <w:szCs w:val="19"/>
        </w:rPr>
        <w:t xml:space="preserve">and </w:t>
      </w:r>
      <w:r w:rsidR="006345F8" w:rsidRPr="006575AE">
        <w:rPr>
          <w:rFonts w:asciiTheme="minorHAnsi" w:hAnsiTheme="minorHAnsi" w:cstheme="minorHAnsi"/>
          <w:color w:val="5F5F5F"/>
          <w:szCs w:val="19"/>
        </w:rPr>
        <w:t xml:space="preserve">Government of Ghana approval </w:t>
      </w:r>
      <w:r w:rsidR="006345F8">
        <w:rPr>
          <w:rFonts w:asciiTheme="minorHAnsi" w:hAnsiTheme="minorHAnsi" w:cstheme="minorHAnsi"/>
          <w:color w:val="5F5F5F"/>
          <w:szCs w:val="19"/>
        </w:rPr>
        <w:t xml:space="preserve">was received </w:t>
      </w:r>
      <w:r w:rsidR="006345F8" w:rsidRPr="006575AE">
        <w:rPr>
          <w:rFonts w:asciiTheme="minorHAnsi" w:hAnsiTheme="minorHAnsi" w:cstheme="minorHAnsi"/>
          <w:color w:val="5F5F5F"/>
          <w:szCs w:val="19"/>
        </w:rPr>
        <w:t>for the TEN Plan of Development</w:t>
      </w:r>
      <w:r w:rsidR="00623009">
        <w:rPr>
          <w:rFonts w:asciiTheme="minorHAnsi" w:hAnsiTheme="minorHAnsi" w:cstheme="minorHAnsi"/>
          <w:color w:val="5F5F5F"/>
          <w:szCs w:val="19"/>
        </w:rPr>
        <w:t xml:space="preserve"> (PoD)</w:t>
      </w:r>
      <w:r w:rsidR="006345F8" w:rsidRPr="006575AE">
        <w:rPr>
          <w:rFonts w:asciiTheme="minorHAnsi" w:hAnsiTheme="minorHAnsi" w:cstheme="minorHAnsi"/>
          <w:color w:val="5F5F5F"/>
          <w:szCs w:val="19"/>
        </w:rPr>
        <w:t>, the Group’s second major operated development</w:t>
      </w:r>
      <w:r w:rsidR="006345F8">
        <w:rPr>
          <w:rFonts w:asciiTheme="minorHAnsi" w:hAnsiTheme="minorHAnsi" w:cstheme="minorHAnsi"/>
          <w:color w:val="5F5F5F"/>
          <w:szCs w:val="19"/>
        </w:rPr>
        <w:t xml:space="preserve"> in Ghana</w:t>
      </w:r>
      <w:r w:rsidR="006345F8" w:rsidRPr="006575AE">
        <w:rPr>
          <w:rFonts w:asciiTheme="minorHAnsi" w:hAnsiTheme="minorHAnsi" w:cstheme="minorHAnsi"/>
          <w:color w:val="5F5F5F"/>
          <w:szCs w:val="19"/>
        </w:rPr>
        <w:t xml:space="preserve">. </w:t>
      </w:r>
      <w:r w:rsidR="006345F8">
        <w:rPr>
          <w:rFonts w:asciiTheme="minorHAnsi" w:hAnsiTheme="minorHAnsi" w:cstheme="minorHAnsi"/>
          <w:color w:val="5F5F5F"/>
          <w:szCs w:val="19"/>
        </w:rPr>
        <w:t>In 2014</w:t>
      </w:r>
      <w:r w:rsidR="00BE16C3">
        <w:rPr>
          <w:rFonts w:asciiTheme="minorHAnsi" w:hAnsiTheme="minorHAnsi" w:cstheme="minorHAnsi"/>
          <w:color w:val="5F5F5F"/>
          <w:szCs w:val="19"/>
        </w:rPr>
        <w:t>,</w:t>
      </w:r>
      <w:r w:rsidR="006345F8">
        <w:rPr>
          <w:rFonts w:asciiTheme="minorHAnsi" w:hAnsiTheme="minorHAnsi" w:cstheme="minorHAnsi"/>
          <w:color w:val="5F5F5F"/>
          <w:szCs w:val="19"/>
        </w:rPr>
        <w:t xml:space="preserve"> Tullow expect</w:t>
      </w:r>
      <w:r w:rsidR="00BE16C3">
        <w:rPr>
          <w:rFonts w:asciiTheme="minorHAnsi" w:hAnsiTheme="minorHAnsi" w:cstheme="minorHAnsi"/>
          <w:color w:val="5F5F5F"/>
          <w:szCs w:val="19"/>
        </w:rPr>
        <w:t>s</w:t>
      </w:r>
      <w:r w:rsidR="006345F8">
        <w:rPr>
          <w:rFonts w:asciiTheme="minorHAnsi" w:hAnsiTheme="minorHAnsi" w:cstheme="minorHAnsi"/>
          <w:color w:val="5F5F5F"/>
          <w:szCs w:val="19"/>
        </w:rPr>
        <w:t xml:space="preserve"> </w:t>
      </w:r>
      <w:r w:rsidR="00A86670">
        <w:rPr>
          <w:rFonts w:asciiTheme="minorHAnsi" w:hAnsiTheme="minorHAnsi" w:cstheme="minorHAnsi"/>
          <w:color w:val="5F5F5F"/>
          <w:szCs w:val="19"/>
        </w:rPr>
        <w:t xml:space="preserve">gross </w:t>
      </w:r>
      <w:r w:rsidR="006345F8">
        <w:rPr>
          <w:rFonts w:asciiTheme="minorHAnsi" w:hAnsiTheme="minorHAnsi" w:cstheme="minorHAnsi"/>
          <w:color w:val="5F5F5F"/>
          <w:szCs w:val="19"/>
        </w:rPr>
        <w:t>production from the Jubilee</w:t>
      </w:r>
      <w:r w:rsidR="006345F8" w:rsidRPr="006575AE">
        <w:rPr>
          <w:rFonts w:asciiTheme="minorHAnsi" w:hAnsiTheme="minorHAnsi" w:cstheme="minorHAnsi"/>
          <w:color w:val="5F5F5F"/>
          <w:szCs w:val="19"/>
        </w:rPr>
        <w:t xml:space="preserve"> </w:t>
      </w:r>
      <w:r w:rsidR="006345F8">
        <w:rPr>
          <w:rFonts w:asciiTheme="minorHAnsi" w:hAnsiTheme="minorHAnsi" w:cstheme="minorHAnsi"/>
          <w:color w:val="5F5F5F"/>
          <w:szCs w:val="19"/>
        </w:rPr>
        <w:t xml:space="preserve">field to </w:t>
      </w:r>
      <w:r w:rsidR="001C5F85">
        <w:rPr>
          <w:rFonts w:asciiTheme="minorHAnsi" w:hAnsiTheme="minorHAnsi" w:cstheme="minorHAnsi"/>
          <w:color w:val="5F5F5F"/>
          <w:szCs w:val="19"/>
        </w:rPr>
        <w:t>average</w:t>
      </w:r>
      <w:r w:rsidR="006345F8">
        <w:rPr>
          <w:rFonts w:asciiTheme="minorHAnsi" w:hAnsiTheme="minorHAnsi" w:cstheme="minorHAnsi"/>
          <w:color w:val="5F5F5F"/>
          <w:szCs w:val="19"/>
        </w:rPr>
        <w:t xml:space="preserve"> </w:t>
      </w:r>
      <w:r w:rsidR="006345F8" w:rsidRPr="006575AE">
        <w:rPr>
          <w:rFonts w:asciiTheme="minorHAnsi" w:hAnsiTheme="minorHAnsi" w:cstheme="minorHAnsi"/>
          <w:color w:val="5F5F5F"/>
          <w:szCs w:val="19"/>
        </w:rPr>
        <w:t>100,000</w:t>
      </w:r>
      <w:r w:rsidR="00534C5C">
        <w:rPr>
          <w:rFonts w:asciiTheme="minorHAnsi" w:hAnsiTheme="minorHAnsi" w:cstheme="minorHAnsi"/>
          <w:color w:val="5F5F5F"/>
          <w:szCs w:val="19"/>
        </w:rPr>
        <w:t xml:space="preserve"> </w:t>
      </w:r>
      <w:r w:rsidR="006345F8" w:rsidRPr="006575AE">
        <w:rPr>
          <w:rFonts w:asciiTheme="minorHAnsi" w:hAnsiTheme="minorHAnsi" w:cstheme="minorHAnsi"/>
          <w:color w:val="5F5F5F"/>
          <w:szCs w:val="19"/>
        </w:rPr>
        <w:t>bopd</w:t>
      </w:r>
      <w:r w:rsidR="006345F8">
        <w:rPr>
          <w:rFonts w:asciiTheme="minorHAnsi" w:hAnsiTheme="minorHAnsi" w:cstheme="minorHAnsi"/>
          <w:color w:val="5F5F5F"/>
          <w:szCs w:val="19"/>
        </w:rPr>
        <w:t>.</w:t>
      </w:r>
      <w:r w:rsidRPr="006575AE">
        <w:rPr>
          <w:rFonts w:asciiTheme="minorHAnsi" w:hAnsiTheme="minorHAnsi" w:cstheme="minorHAnsi"/>
          <w:color w:val="5F5F5F"/>
          <w:szCs w:val="19"/>
        </w:rPr>
        <w:t xml:space="preserve"> </w:t>
      </w:r>
    </w:p>
    <w:p w:rsidR="00DB17AC" w:rsidRDefault="00DB17AC" w:rsidP="00DB17AC">
      <w:pPr>
        <w:rPr>
          <w:rFonts w:asciiTheme="minorHAnsi" w:hAnsiTheme="minorHAnsi" w:cstheme="minorHAnsi"/>
          <w:color w:val="5F5F5F"/>
          <w:szCs w:val="19"/>
        </w:rPr>
      </w:pPr>
    </w:p>
    <w:p w:rsidR="006575AE" w:rsidRPr="00A36FAF" w:rsidRDefault="006575AE" w:rsidP="00DB17AC">
      <w:pPr>
        <w:rPr>
          <w:rFonts w:asciiTheme="minorHAnsi" w:hAnsiTheme="minorHAnsi" w:cstheme="minorHAnsi"/>
          <w:i/>
          <w:color w:val="595959" w:themeColor="text1" w:themeTint="A6"/>
          <w:szCs w:val="19"/>
        </w:rPr>
      </w:pPr>
      <w:r w:rsidRPr="00A36FAF">
        <w:rPr>
          <w:rFonts w:asciiTheme="minorHAnsi" w:hAnsiTheme="minorHAnsi" w:cstheme="minorHAnsi"/>
          <w:i/>
          <w:color w:val="00305C"/>
          <w:sz w:val="20"/>
          <w:szCs w:val="20"/>
        </w:rPr>
        <w:t>Jubilee</w:t>
      </w:r>
    </w:p>
    <w:p w:rsidR="00072E24" w:rsidRDefault="006345F8" w:rsidP="002347D5">
      <w:pPr>
        <w:spacing w:after="120"/>
        <w:rPr>
          <w:rFonts w:asciiTheme="minorHAnsi" w:hAnsiTheme="minorHAnsi" w:cstheme="minorHAnsi"/>
          <w:color w:val="5F5F5F"/>
          <w:szCs w:val="19"/>
        </w:rPr>
      </w:pPr>
      <w:r w:rsidRPr="006575AE">
        <w:rPr>
          <w:rFonts w:asciiTheme="minorHAnsi" w:hAnsiTheme="minorHAnsi" w:cstheme="minorHAnsi"/>
          <w:color w:val="5F5F5F"/>
          <w:szCs w:val="19"/>
        </w:rPr>
        <w:t xml:space="preserve">The Jubilee field is Tullow’s flagship operated </w:t>
      </w:r>
      <w:r w:rsidR="00DC1B84" w:rsidRPr="00DC1B84">
        <w:rPr>
          <w:rFonts w:asciiTheme="minorHAnsi" w:hAnsiTheme="minorHAnsi" w:cstheme="minorHAnsi"/>
          <w:color w:val="5F5F5F"/>
          <w:szCs w:val="19"/>
        </w:rPr>
        <w:t xml:space="preserve">offshore </w:t>
      </w:r>
      <w:r w:rsidRPr="006575AE">
        <w:rPr>
          <w:rFonts w:asciiTheme="minorHAnsi" w:hAnsiTheme="minorHAnsi" w:cstheme="minorHAnsi"/>
          <w:color w:val="5F5F5F"/>
          <w:szCs w:val="19"/>
        </w:rPr>
        <w:t>asset which contributed around 40% of the Group’s overall production</w:t>
      </w:r>
      <w:r w:rsidR="00866DB5" w:rsidRPr="00866DB5">
        <w:rPr>
          <w:rFonts w:asciiTheme="minorHAnsi" w:hAnsiTheme="minorHAnsi" w:cstheme="minorHAnsi"/>
          <w:color w:val="5F5F5F"/>
          <w:szCs w:val="19"/>
        </w:rPr>
        <w:t xml:space="preserve"> </w:t>
      </w:r>
      <w:r w:rsidR="00866DB5" w:rsidRPr="006575AE">
        <w:rPr>
          <w:rFonts w:asciiTheme="minorHAnsi" w:hAnsiTheme="minorHAnsi" w:cstheme="minorHAnsi"/>
          <w:color w:val="5F5F5F"/>
          <w:szCs w:val="19"/>
        </w:rPr>
        <w:t>in 2013</w:t>
      </w:r>
      <w:r w:rsidRPr="006575AE">
        <w:rPr>
          <w:rFonts w:asciiTheme="minorHAnsi" w:hAnsiTheme="minorHAnsi" w:cstheme="minorHAnsi"/>
          <w:color w:val="5F5F5F"/>
          <w:szCs w:val="19"/>
        </w:rPr>
        <w:t xml:space="preserve">. </w:t>
      </w:r>
      <w:r w:rsidR="003E2F8E">
        <w:rPr>
          <w:rFonts w:asciiTheme="minorHAnsi" w:hAnsiTheme="minorHAnsi" w:cstheme="minorHAnsi"/>
          <w:color w:val="5F5F5F"/>
          <w:szCs w:val="19"/>
        </w:rPr>
        <w:t xml:space="preserve">The reservoir performance continues to be strong and the Phase 1A infill wells are being completed </w:t>
      </w:r>
      <w:r w:rsidR="00255645">
        <w:rPr>
          <w:rFonts w:asciiTheme="minorHAnsi" w:hAnsiTheme="minorHAnsi" w:cstheme="minorHAnsi"/>
          <w:color w:val="5F5F5F"/>
          <w:szCs w:val="19"/>
        </w:rPr>
        <w:t>as</w:t>
      </w:r>
      <w:r w:rsidR="003E2F8E">
        <w:rPr>
          <w:rFonts w:asciiTheme="minorHAnsi" w:hAnsiTheme="minorHAnsi" w:cstheme="minorHAnsi"/>
          <w:color w:val="5F5F5F"/>
          <w:szCs w:val="19"/>
        </w:rPr>
        <w:t xml:space="preserve"> required</w:t>
      </w:r>
      <w:r w:rsidR="00255645">
        <w:rPr>
          <w:rFonts w:asciiTheme="minorHAnsi" w:hAnsiTheme="minorHAnsi" w:cstheme="minorHAnsi"/>
          <w:color w:val="5F5F5F"/>
          <w:szCs w:val="19"/>
        </w:rPr>
        <w:t xml:space="preserve">. </w:t>
      </w:r>
      <w:r w:rsidR="0010659F">
        <w:rPr>
          <w:rFonts w:asciiTheme="minorHAnsi" w:hAnsiTheme="minorHAnsi" w:cstheme="minorHAnsi"/>
          <w:color w:val="5F5F5F"/>
          <w:szCs w:val="19"/>
        </w:rPr>
        <w:t>P</w:t>
      </w:r>
      <w:r w:rsidR="003E2F8E">
        <w:rPr>
          <w:rFonts w:asciiTheme="minorHAnsi" w:hAnsiTheme="minorHAnsi" w:cstheme="minorHAnsi"/>
          <w:color w:val="5F5F5F"/>
          <w:szCs w:val="19"/>
        </w:rPr>
        <w:t xml:space="preserve">lanning work </w:t>
      </w:r>
      <w:r w:rsidR="0010659F">
        <w:rPr>
          <w:rFonts w:asciiTheme="minorHAnsi" w:hAnsiTheme="minorHAnsi" w:cstheme="minorHAnsi"/>
          <w:color w:val="5F5F5F"/>
          <w:szCs w:val="19"/>
        </w:rPr>
        <w:t xml:space="preserve">also </w:t>
      </w:r>
      <w:r w:rsidR="003E2F8E">
        <w:rPr>
          <w:rFonts w:asciiTheme="minorHAnsi" w:hAnsiTheme="minorHAnsi" w:cstheme="minorHAnsi"/>
          <w:color w:val="5F5F5F"/>
          <w:szCs w:val="19"/>
        </w:rPr>
        <w:t xml:space="preserve">continues on additional development and drilling </w:t>
      </w:r>
      <w:r w:rsidR="0010659F">
        <w:rPr>
          <w:rFonts w:asciiTheme="minorHAnsi" w:hAnsiTheme="minorHAnsi" w:cstheme="minorHAnsi"/>
          <w:color w:val="5F5F5F"/>
          <w:szCs w:val="19"/>
        </w:rPr>
        <w:t>opportunities</w:t>
      </w:r>
      <w:r w:rsidR="003E2F8E">
        <w:rPr>
          <w:rFonts w:asciiTheme="minorHAnsi" w:hAnsiTheme="minorHAnsi" w:cstheme="minorHAnsi"/>
          <w:color w:val="5F5F5F"/>
          <w:szCs w:val="19"/>
        </w:rPr>
        <w:t xml:space="preserve"> that will significantly extend the field plateau.</w:t>
      </w:r>
      <w:r w:rsidR="003E2F8E" w:rsidRPr="006575AE">
        <w:rPr>
          <w:rFonts w:asciiTheme="minorHAnsi" w:hAnsiTheme="minorHAnsi" w:cstheme="minorHAnsi"/>
          <w:color w:val="5F5F5F"/>
          <w:szCs w:val="19"/>
        </w:rPr>
        <w:t xml:space="preserve"> </w:t>
      </w:r>
      <w:r w:rsidRPr="006575AE">
        <w:rPr>
          <w:rFonts w:asciiTheme="minorHAnsi" w:hAnsiTheme="minorHAnsi" w:cstheme="minorHAnsi"/>
          <w:color w:val="5F5F5F"/>
          <w:szCs w:val="19"/>
        </w:rPr>
        <w:t xml:space="preserve">The first planned maintenance shutdown </w:t>
      </w:r>
      <w:r>
        <w:rPr>
          <w:rFonts w:asciiTheme="minorHAnsi" w:hAnsiTheme="minorHAnsi" w:cstheme="minorHAnsi"/>
          <w:color w:val="5F5F5F"/>
          <w:szCs w:val="19"/>
        </w:rPr>
        <w:t>of</w:t>
      </w:r>
      <w:r w:rsidRPr="006575AE">
        <w:rPr>
          <w:rFonts w:asciiTheme="minorHAnsi" w:hAnsiTheme="minorHAnsi" w:cstheme="minorHAnsi"/>
          <w:color w:val="5F5F5F"/>
          <w:szCs w:val="19"/>
        </w:rPr>
        <w:t xml:space="preserve"> the Jubilee FPSO Kwame Nkrumah was successfully completed in late September 2013</w:t>
      </w:r>
      <w:r>
        <w:rPr>
          <w:rFonts w:asciiTheme="minorHAnsi" w:hAnsiTheme="minorHAnsi" w:cstheme="minorHAnsi"/>
          <w:color w:val="5F5F5F"/>
          <w:szCs w:val="19"/>
        </w:rPr>
        <w:t xml:space="preserve">. </w:t>
      </w:r>
      <w:r w:rsidR="00DC1B84">
        <w:rPr>
          <w:rFonts w:asciiTheme="minorHAnsi" w:hAnsiTheme="minorHAnsi" w:cstheme="minorHAnsi"/>
          <w:color w:val="5F5F5F"/>
          <w:szCs w:val="19"/>
        </w:rPr>
        <w:t>The field production was impacted d</w:t>
      </w:r>
      <w:r w:rsidRPr="006575AE">
        <w:rPr>
          <w:rFonts w:asciiTheme="minorHAnsi" w:hAnsiTheme="minorHAnsi" w:cstheme="minorHAnsi"/>
          <w:color w:val="5F5F5F"/>
          <w:szCs w:val="19"/>
        </w:rPr>
        <w:t>uring the second half of 2013</w:t>
      </w:r>
      <w:r>
        <w:rPr>
          <w:rFonts w:asciiTheme="minorHAnsi" w:hAnsiTheme="minorHAnsi" w:cstheme="minorHAnsi"/>
          <w:color w:val="5F5F5F"/>
          <w:szCs w:val="19"/>
        </w:rPr>
        <w:t xml:space="preserve"> </w:t>
      </w:r>
      <w:r w:rsidR="00DC1B84">
        <w:rPr>
          <w:rFonts w:asciiTheme="minorHAnsi" w:hAnsiTheme="minorHAnsi" w:cstheme="minorHAnsi"/>
          <w:color w:val="5F5F5F"/>
          <w:szCs w:val="19"/>
        </w:rPr>
        <w:t xml:space="preserve">due to a number of unplanned shutdowns </w:t>
      </w:r>
      <w:r w:rsidR="003E2F8E">
        <w:rPr>
          <w:rFonts w:asciiTheme="minorHAnsi" w:hAnsiTheme="minorHAnsi" w:cstheme="minorHAnsi"/>
          <w:color w:val="5F5F5F"/>
          <w:szCs w:val="19"/>
        </w:rPr>
        <w:t xml:space="preserve">of </w:t>
      </w:r>
      <w:r w:rsidRPr="006575AE">
        <w:rPr>
          <w:rFonts w:asciiTheme="minorHAnsi" w:hAnsiTheme="minorHAnsi" w:cstheme="minorHAnsi"/>
          <w:color w:val="5F5F5F"/>
          <w:szCs w:val="19"/>
        </w:rPr>
        <w:t>the FPSO</w:t>
      </w:r>
      <w:r>
        <w:rPr>
          <w:rFonts w:asciiTheme="minorHAnsi" w:hAnsiTheme="minorHAnsi" w:cstheme="minorHAnsi"/>
          <w:color w:val="5F5F5F"/>
          <w:szCs w:val="19"/>
        </w:rPr>
        <w:t>’s water injection system</w:t>
      </w:r>
      <w:r w:rsidR="0010659F">
        <w:rPr>
          <w:rFonts w:asciiTheme="minorHAnsi" w:hAnsiTheme="minorHAnsi" w:cstheme="minorHAnsi"/>
          <w:color w:val="5F5F5F"/>
          <w:szCs w:val="19"/>
        </w:rPr>
        <w:t>. The system</w:t>
      </w:r>
      <w:r w:rsidR="003E2F8E">
        <w:rPr>
          <w:rFonts w:asciiTheme="minorHAnsi" w:hAnsiTheme="minorHAnsi" w:cstheme="minorHAnsi"/>
          <w:color w:val="5F5F5F"/>
          <w:szCs w:val="19"/>
        </w:rPr>
        <w:t xml:space="preserve"> is now</w:t>
      </w:r>
      <w:r>
        <w:rPr>
          <w:rFonts w:asciiTheme="minorHAnsi" w:hAnsiTheme="minorHAnsi" w:cstheme="minorHAnsi"/>
          <w:color w:val="5F5F5F"/>
          <w:szCs w:val="19"/>
        </w:rPr>
        <w:t xml:space="preserve"> fully operational and </w:t>
      </w:r>
      <w:r w:rsidRPr="006575AE">
        <w:rPr>
          <w:rFonts w:asciiTheme="minorHAnsi" w:hAnsiTheme="minorHAnsi" w:cstheme="minorHAnsi"/>
          <w:color w:val="5F5F5F"/>
          <w:szCs w:val="19"/>
        </w:rPr>
        <w:t xml:space="preserve">reservoir pressure </w:t>
      </w:r>
      <w:r>
        <w:rPr>
          <w:rFonts w:asciiTheme="minorHAnsi" w:hAnsiTheme="minorHAnsi" w:cstheme="minorHAnsi"/>
          <w:color w:val="5F5F5F"/>
          <w:szCs w:val="19"/>
        </w:rPr>
        <w:t xml:space="preserve">and well capacity </w:t>
      </w:r>
      <w:r w:rsidR="003E2F8E">
        <w:rPr>
          <w:rFonts w:asciiTheme="minorHAnsi" w:hAnsiTheme="minorHAnsi" w:cstheme="minorHAnsi"/>
          <w:color w:val="5F5F5F"/>
          <w:szCs w:val="19"/>
        </w:rPr>
        <w:t xml:space="preserve">have been </w:t>
      </w:r>
      <w:r>
        <w:rPr>
          <w:rFonts w:asciiTheme="minorHAnsi" w:hAnsiTheme="minorHAnsi" w:cstheme="minorHAnsi"/>
          <w:color w:val="5F5F5F"/>
          <w:szCs w:val="19"/>
        </w:rPr>
        <w:t>restored</w:t>
      </w:r>
      <w:r w:rsidR="00623009">
        <w:rPr>
          <w:rFonts w:asciiTheme="minorHAnsi" w:hAnsiTheme="minorHAnsi" w:cstheme="minorHAnsi"/>
          <w:color w:val="5F5F5F"/>
          <w:szCs w:val="19"/>
        </w:rPr>
        <w:t xml:space="preserve"> to over 130,000 bopd</w:t>
      </w:r>
      <w:r>
        <w:rPr>
          <w:rFonts w:asciiTheme="minorHAnsi" w:hAnsiTheme="minorHAnsi" w:cstheme="minorHAnsi"/>
          <w:color w:val="5F5F5F"/>
          <w:szCs w:val="19"/>
        </w:rPr>
        <w:t xml:space="preserve">.  </w:t>
      </w:r>
    </w:p>
    <w:p w:rsidR="00DB17AC" w:rsidRDefault="006345F8" w:rsidP="00DB17AC">
      <w:pPr>
        <w:rPr>
          <w:rFonts w:asciiTheme="minorHAnsi" w:hAnsiTheme="minorHAnsi" w:cstheme="minorHAnsi"/>
          <w:color w:val="5F5F5F"/>
        </w:rPr>
      </w:pPr>
      <w:r>
        <w:rPr>
          <w:rFonts w:asciiTheme="minorHAnsi" w:hAnsiTheme="minorHAnsi" w:cstheme="minorHAnsi"/>
          <w:color w:val="5F5F5F"/>
          <w:szCs w:val="19"/>
        </w:rPr>
        <w:t>During</w:t>
      </w:r>
      <w:r w:rsidRPr="006575AE">
        <w:rPr>
          <w:rFonts w:asciiTheme="minorHAnsi" w:hAnsiTheme="minorHAnsi" w:cstheme="minorHAnsi"/>
          <w:color w:val="5F5F5F"/>
          <w:szCs w:val="19"/>
        </w:rPr>
        <w:t xml:space="preserve"> 2013</w:t>
      </w:r>
      <w:r>
        <w:rPr>
          <w:rFonts w:asciiTheme="minorHAnsi" w:hAnsiTheme="minorHAnsi" w:cstheme="minorHAnsi"/>
          <w:color w:val="5F5F5F"/>
          <w:szCs w:val="19"/>
        </w:rPr>
        <w:t>,</w:t>
      </w:r>
      <w:r w:rsidRPr="006575AE">
        <w:rPr>
          <w:rFonts w:asciiTheme="minorHAnsi" w:hAnsiTheme="minorHAnsi" w:cstheme="minorHAnsi"/>
          <w:color w:val="5F5F5F"/>
          <w:szCs w:val="19"/>
        </w:rPr>
        <w:t xml:space="preserve"> the Ghana National Gas Company</w:t>
      </w:r>
      <w:r>
        <w:rPr>
          <w:rFonts w:asciiTheme="minorHAnsi" w:hAnsiTheme="minorHAnsi" w:cstheme="minorHAnsi"/>
          <w:color w:val="5F5F5F"/>
          <w:szCs w:val="19"/>
        </w:rPr>
        <w:t xml:space="preserve"> announced further delays to the start up of the</w:t>
      </w:r>
      <w:r w:rsidRPr="006575AE">
        <w:rPr>
          <w:rFonts w:asciiTheme="minorHAnsi" w:hAnsiTheme="minorHAnsi" w:cstheme="minorHAnsi"/>
          <w:color w:val="5F5F5F"/>
          <w:szCs w:val="19"/>
        </w:rPr>
        <w:t xml:space="preserve"> onshore gas processing plant </w:t>
      </w:r>
      <w:r>
        <w:rPr>
          <w:rFonts w:asciiTheme="minorHAnsi" w:hAnsiTheme="minorHAnsi" w:cstheme="minorHAnsi"/>
          <w:color w:val="5F5F5F"/>
          <w:szCs w:val="19"/>
        </w:rPr>
        <w:t xml:space="preserve">that is required to enable the export of Jubilee </w:t>
      </w:r>
      <w:r w:rsidR="00623009">
        <w:rPr>
          <w:rFonts w:asciiTheme="minorHAnsi" w:hAnsiTheme="minorHAnsi" w:cstheme="minorHAnsi"/>
          <w:color w:val="5F5F5F"/>
          <w:szCs w:val="19"/>
        </w:rPr>
        <w:t xml:space="preserve">associated </w:t>
      </w:r>
      <w:r>
        <w:rPr>
          <w:rFonts w:asciiTheme="minorHAnsi" w:hAnsiTheme="minorHAnsi" w:cstheme="minorHAnsi"/>
          <w:color w:val="5F5F5F"/>
          <w:szCs w:val="19"/>
        </w:rPr>
        <w:t xml:space="preserve">gas. The gas plant is now expected to be fully operational in the second half </w:t>
      </w:r>
      <w:r w:rsidR="00A5650F">
        <w:rPr>
          <w:rFonts w:asciiTheme="minorHAnsi" w:hAnsiTheme="minorHAnsi" w:cstheme="minorHAnsi"/>
          <w:color w:val="5F5F5F"/>
          <w:szCs w:val="19"/>
        </w:rPr>
        <w:t xml:space="preserve">of </w:t>
      </w:r>
      <w:r>
        <w:rPr>
          <w:rFonts w:asciiTheme="minorHAnsi" w:hAnsiTheme="minorHAnsi" w:cstheme="minorHAnsi"/>
          <w:color w:val="5F5F5F"/>
          <w:szCs w:val="19"/>
        </w:rPr>
        <w:t>2014. As a consequence of this ongoing delay in gas export</w:t>
      </w:r>
      <w:r w:rsidR="00866DB5">
        <w:rPr>
          <w:rFonts w:asciiTheme="minorHAnsi" w:hAnsiTheme="minorHAnsi" w:cstheme="minorHAnsi"/>
          <w:color w:val="5F5F5F"/>
          <w:szCs w:val="19"/>
        </w:rPr>
        <w:t>,</w:t>
      </w:r>
      <w:r>
        <w:rPr>
          <w:rFonts w:asciiTheme="minorHAnsi" w:hAnsiTheme="minorHAnsi" w:cstheme="minorHAnsi"/>
          <w:color w:val="5F5F5F"/>
          <w:szCs w:val="19"/>
        </w:rPr>
        <w:t xml:space="preserve"> the Jubilee partners have had to pursue</w:t>
      </w:r>
      <w:r w:rsidRPr="006575AE">
        <w:rPr>
          <w:rFonts w:asciiTheme="minorHAnsi" w:hAnsiTheme="minorHAnsi" w:cstheme="minorHAnsi"/>
          <w:color w:val="5F5F5F"/>
          <w:szCs w:val="19"/>
        </w:rPr>
        <w:t xml:space="preserve"> various </w:t>
      </w:r>
      <w:r>
        <w:rPr>
          <w:rFonts w:asciiTheme="minorHAnsi" w:hAnsiTheme="minorHAnsi" w:cstheme="minorHAnsi"/>
          <w:color w:val="5F5F5F"/>
          <w:szCs w:val="19"/>
        </w:rPr>
        <w:t xml:space="preserve">alternative </w:t>
      </w:r>
      <w:r w:rsidRPr="006575AE">
        <w:rPr>
          <w:rFonts w:asciiTheme="minorHAnsi" w:hAnsiTheme="minorHAnsi" w:cstheme="minorHAnsi"/>
          <w:color w:val="5F5F5F"/>
          <w:szCs w:val="19"/>
        </w:rPr>
        <w:t xml:space="preserve">gas </w:t>
      </w:r>
      <w:r>
        <w:rPr>
          <w:rFonts w:asciiTheme="minorHAnsi" w:hAnsiTheme="minorHAnsi" w:cstheme="minorHAnsi"/>
          <w:color w:val="5F5F5F"/>
          <w:szCs w:val="19"/>
        </w:rPr>
        <w:t>handling</w:t>
      </w:r>
      <w:r w:rsidRPr="006575AE">
        <w:rPr>
          <w:rFonts w:asciiTheme="minorHAnsi" w:hAnsiTheme="minorHAnsi" w:cstheme="minorHAnsi"/>
          <w:color w:val="5F5F5F"/>
          <w:szCs w:val="19"/>
        </w:rPr>
        <w:t xml:space="preserve"> options</w:t>
      </w:r>
      <w:r>
        <w:rPr>
          <w:rFonts w:asciiTheme="minorHAnsi" w:hAnsiTheme="minorHAnsi" w:cstheme="minorHAnsi"/>
          <w:color w:val="5F5F5F"/>
          <w:szCs w:val="19"/>
        </w:rPr>
        <w:t xml:space="preserve">. </w:t>
      </w:r>
      <w:r w:rsidRPr="00554EEA">
        <w:rPr>
          <w:rFonts w:asciiTheme="minorHAnsi" w:hAnsiTheme="minorHAnsi" w:cstheme="minorHAnsi"/>
          <w:color w:val="5F5F5F"/>
          <w:szCs w:val="19"/>
        </w:rPr>
        <w:t>In the fourth quarter of 2</w:t>
      </w:r>
      <w:r w:rsidR="00A5650F">
        <w:rPr>
          <w:rFonts w:asciiTheme="minorHAnsi" w:hAnsiTheme="minorHAnsi" w:cstheme="minorHAnsi"/>
          <w:color w:val="5F5F5F"/>
          <w:szCs w:val="19"/>
        </w:rPr>
        <w:t>013, a third gas injection well</w:t>
      </w:r>
      <w:r>
        <w:rPr>
          <w:rFonts w:asciiTheme="minorHAnsi" w:hAnsiTheme="minorHAnsi" w:cstheme="minorHAnsi"/>
          <w:color w:val="5F5F5F"/>
          <w:szCs w:val="19"/>
        </w:rPr>
        <w:t xml:space="preserve"> </w:t>
      </w:r>
      <w:r w:rsidRPr="00554EEA">
        <w:rPr>
          <w:rFonts w:asciiTheme="minorHAnsi" w:hAnsiTheme="minorHAnsi" w:cstheme="minorHAnsi"/>
          <w:color w:val="5F5F5F"/>
          <w:szCs w:val="19"/>
        </w:rPr>
        <w:t xml:space="preserve">was drilled and brought online. </w:t>
      </w:r>
      <w:r w:rsidRPr="00554EEA">
        <w:rPr>
          <w:rFonts w:asciiTheme="minorHAnsi" w:hAnsiTheme="minorHAnsi" w:cstheme="minorHAnsi"/>
          <w:color w:val="5F5F5F"/>
        </w:rPr>
        <w:t>However, this well has had a limited impact</w:t>
      </w:r>
      <w:r>
        <w:rPr>
          <w:rFonts w:asciiTheme="minorHAnsi" w:hAnsiTheme="minorHAnsi" w:cstheme="minorHAnsi"/>
          <w:color w:val="5F5F5F"/>
        </w:rPr>
        <w:t xml:space="preserve">. </w:t>
      </w:r>
      <w:r>
        <w:rPr>
          <w:rFonts w:asciiTheme="minorHAnsi" w:hAnsiTheme="minorHAnsi" w:cstheme="minorHAnsi"/>
          <w:color w:val="5F5F5F"/>
          <w:szCs w:val="19"/>
        </w:rPr>
        <w:t>D</w:t>
      </w:r>
      <w:r w:rsidRPr="00554EEA">
        <w:rPr>
          <w:rFonts w:asciiTheme="minorHAnsi" w:hAnsiTheme="minorHAnsi" w:cstheme="minorHAnsi"/>
          <w:color w:val="5F5F5F"/>
          <w:szCs w:val="19"/>
        </w:rPr>
        <w:t>iscuss</w:t>
      </w:r>
      <w:r>
        <w:rPr>
          <w:rFonts w:asciiTheme="minorHAnsi" w:hAnsiTheme="minorHAnsi" w:cstheme="minorHAnsi"/>
          <w:color w:val="5F5F5F"/>
          <w:szCs w:val="19"/>
        </w:rPr>
        <w:t>ions are ongoing with the Government of Ghana on other alternatives, including limited flaring, that will enable the field t</w:t>
      </w:r>
      <w:r w:rsidRPr="00554EEA">
        <w:rPr>
          <w:rFonts w:asciiTheme="minorHAnsi" w:hAnsiTheme="minorHAnsi" w:cstheme="minorHAnsi"/>
          <w:color w:val="5F5F5F"/>
        </w:rPr>
        <w:t xml:space="preserve">o </w:t>
      </w:r>
      <w:r w:rsidR="003E2F8E">
        <w:rPr>
          <w:rFonts w:asciiTheme="minorHAnsi" w:hAnsiTheme="minorHAnsi" w:cstheme="minorHAnsi"/>
          <w:color w:val="5F5F5F"/>
        </w:rPr>
        <w:t xml:space="preserve">average </w:t>
      </w:r>
      <w:r w:rsidRPr="00554EEA">
        <w:rPr>
          <w:rFonts w:asciiTheme="minorHAnsi" w:hAnsiTheme="minorHAnsi" w:cstheme="minorHAnsi"/>
          <w:color w:val="5F5F5F"/>
        </w:rPr>
        <w:t>100,000 bopd</w:t>
      </w:r>
      <w:r w:rsidR="00623009">
        <w:rPr>
          <w:rFonts w:asciiTheme="minorHAnsi" w:hAnsiTheme="minorHAnsi" w:cstheme="minorHAnsi"/>
          <w:color w:val="5F5F5F"/>
        </w:rPr>
        <w:t xml:space="preserve"> gross </w:t>
      </w:r>
      <w:r w:rsidRPr="00554EEA">
        <w:rPr>
          <w:rFonts w:asciiTheme="minorHAnsi" w:hAnsiTheme="minorHAnsi" w:cstheme="minorHAnsi"/>
          <w:color w:val="5F5F5F"/>
        </w:rPr>
        <w:t xml:space="preserve"> </w:t>
      </w:r>
      <w:r w:rsidR="003E2F8E">
        <w:rPr>
          <w:rFonts w:asciiTheme="minorHAnsi" w:hAnsiTheme="minorHAnsi" w:cstheme="minorHAnsi"/>
          <w:color w:val="5F5F5F"/>
        </w:rPr>
        <w:t>in 2014.</w:t>
      </w:r>
    </w:p>
    <w:p w:rsidR="00DB17AC" w:rsidRDefault="00DB17AC" w:rsidP="00DB17AC">
      <w:pPr>
        <w:rPr>
          <w:rFonts w:asciiTheme="minorHAnsi" w:hAnsiTheme="minorHAnsi" w:cstheme="minorHAnsi"/>
          <w:color w:val="5F5F5F"/>
        </w:rPr>
      </w:pPr>
    </w:p>
    <w:p w:rsidR="006575AE" w:rsidRPr="00A36FAF" w:rsidRDefault="006575AE" w:rsidP="00DB17AC">
      <w:pPr>
        <w:rPr>
          <w:rFonts w:asciiTheme="minorHAnsi" w:hAnsiTheme="minorHAnsi" w:cstheme="minorHAnsi"/>
          <w:i/>
          <w:color w:val="5F5F5F"/>
        </w:rPr>
      </w:pPr>
      <w:r w:rsidRPr="00A36FAF">
        <w:rPr>
          <w:rFonts w:asciiTheme="minorHAnsi" w:hAnsiTheme="minorHAnsi" w:cstheme="minorHAnsi"/>
          <w:i/>
          <w:color w:val="00305C"/>
          <w:sz w:val="20"/>
          <w:szCs w:val="20"/>
        </w:rPr>
        <w:t>TEN</w:t>
      </w:r>
    </w:p>
    <w:p w:rsidR="00547C02" w:rsidRDefault="006345F8" w:rsidP="002347D5">
      <w:pPr>
        <w:spacing w:after="120"/>
        <w:rPr>
          <w:rFonts w:asciiTheme="minorHAnsi" w:hAnsiTheme="minorHAnsi" w:cstheme="minorHAnsi"/>
          <w:color w:val="5F5F5F"/>
          <w:szCs w:val="19"/>
        </w:rPr>
      </w:pPr>
      <w:r w:rsidRPr="006345F8">
        <w:rPr>
          <w:rFonts w:asciiTheme="minorHAnsi" w:hAnsiTheme="minorHAnsi" w:cstheme="minorHAnsi"/>
          <w:color w:val="5F5F5F"/>
          <w:szCs w:val="19"/>
        </w:rPr>
        <w:t xml:space="preserve">On 29 May 2013, the Government of Ghana formally approved the TEN </w:t>
      </w:r>
      <w:r w:rsidR="00623009">
        <w:rPr>
          <w:rFonts w:asciiTheme="minorHAnsi" w:hAnsiTheme="minorHAnsi" w:cstheme="minorHAnsi"/>
          <w:color w:val="5F5F5F"/>
          <w:szCs w:val="19"/>
        </w:rPr>
        <w:t>PoD</w:t>
      </w:r>
      <w:r w:rsidRPr="006345F8">
        <w:rPr>
          <w:rFonts w:asciiTheme="minorHAnsi" w:hAnsiTheme="minorHAnsi" w:cstheme="minorHAnsi"/>
          <w:color w:val="5F5F5F"/>
          <w:szCs w:val="19"/>
        </w:rPr>
        <w:t xml:space="preserve">. This paved the way for Tullow and its partners to proceed with the development. The project is on target to deliver first oil </w:t>
      </w:r>
      <w:r w:rsidR="00623009">
        <w:rPr>
          <w:rFonts w:asciiTheme="minorHAnsi" w:hAnsiTheme="minorHAnsi" w:cstheme="minorHAnsi"/>
          <w:color w:val="5F5F5F"/>
          <w:szCs w:val="19"/>
        </w:rPr>
        <w:t>in</w:t>
      </w:r>
      <w:r w:rsidRPr="006345F8">
        <w:rPr>
          <w:rFonts w:asciiTheme="minorHAnsi" w:hAnsiTheme="minorHAnsi" w:cstheme="minorHAnsi"/>
          <w:color w:val="5F5F5F"/>
          <w:szCs w:val="19"/>
        </w:rPr>
        <w:t xml:space="preserve"> mid-2016 which will be followed by a steady ramp up to an expected FPSO </w:t>
      </w:r>
      <w:r w:rsidR="00623009">
        <w:rPr>
          <w:rFonts w:asciiTheme="minorHAnsi" w:hAnsiTheme="minorHAnsi" w:cstheme="minorHAnsi"/>
          <w:color w:val="5F5F5F"/>
          <w:szCs w:val="19"/>
        </w:rPr>
        <w:t xml:space="preserve">gross production </w:t>
      </w:r>
      <w:r w:rsidRPr="006345F8">
        <w:rPr>
          <w:rFonts w:asciiTheme="minorHAnsi" w:hAnsiTheme="minorHAnsi" w:cstheme="minorHAnsi"/>
          <w:color w:val="5F5F5F"/>
          <w:szCs w:val="19"/>
        </w:rPr>
        <w:t xml:space="preserve">capacity of 80,000 bopd. </w:t>
      </w:r>
    </w:p>
    <w:p w:rsidR="00547C02" w:rsidRDefault="006345F8" w:rsidP="002347D5">
      <w:pPr>
        <w:spacing w:after="120"/>
        <w:rPr>
          <w:rFonts w:asciiTheme="minorHAnsi" w:hAnsiTheme="minorHAnsi" w:cstheme="minorHAnsi"/>
          <w:color w:val="5F5F5F"/>
          <w:szCs w:val="19"/>
        </w:rPr>
      </w:pPr>
      <w:r w:rsidRPr="006345F8">
        <w:rPr>
          <w:rFonts w:asciiTheme="minorHAnsi" w:hAnsiTheme="minorHAnsi" w:cstheme="minorHAnsi"/>
          <w:color w:val="5F5F5F"/>
          <w:szCs w:val="19"/>
        </w:rPr>
        <w:t>Development of the TEN Project will require the drilling and completion of up to 24 development wells which will be connected through subsea infrastructure to a FPSO vessel, moored in approximately 1,500 metres of water. The overall cost of the development is estimated to be $4.9</w:t>
      </w:r>
      <w:r w:rsidR="009E3D53">
        <w:rPr>
          <w:rFonts w:asciiTheme="minorHAnsi" w:hAnsiTheme="minorHAnsi" w:cstheme="minorHAnsi"/>
          <w:color w:val="5F5F5F"/>
          <w:szCs w:val="19"/>
        </w:rPr>
        <w:t xml:space="preserve"> </w:t>
      </w:r>
      <w:r w:rsidRPr="006345F8">
        <w:rPr>
          <w:rFonts w:asciiTheme="minorHAnsi" w:hAnsiTheme="minorHAnsi" w:cstheme="minorHAnsi"/>
          <w:color w:val="5F5F5F"/>
          <w:szCs w:val="19"/>
        </w:rPr>
        <w:t>b</w:t>
      </w:r>
      <w:r w:rsidR="009E3D53">
        <w:rPr>
          <w:rFonts w:asciiTheme="minorHAnsi" w:hAnsiTheme="minorHAnsi" w:cstheme="minorHAnsi"/>
          <w:color w:val="5F5F5F"/>
          <w:szCs w:val="19"/>
        </w:rPr>
        <w:t>illio</w:t>
      </w:r>
      <w:r w:rsidRPr="006345F8">
        <w:rPr>
          <w:rFonts w:asciiTheme="minorHAnsi" w:hAnsiTheme="minorHAnsi" w:cstheme="minorHAnsi"/>
          <w:color w:val="5F5F5F"/>
          <w:szCs w:val="19"/>
        </w:rPr>
        <w:t>n, excluding FPSO lease costs.</w:t>
      </w:r>
      <w:r>
        <w:rPr>
          <w:rFonts w:asciiTheme="minorHAnsi" w:hAnsiTheme="minorHAnsi" w:cstheme="minorHAnsi"/>
          <w:color w:val="5F5F5F"/>
          <w:szCs w:val="19"/>
        </w:rPr>
        <w:t xml:space="preserve"> </w:t>
      </w:r>
      <w:r w:rsidR="00303E49">
        <w:rPr>
          <w:rFonts w:asciiTheme="minorHAnsi" w:hAnsiTheme="minorHAnsi" w:cstheme="minorHAnsi"/>
          <w:color w:val="5F5F5F"/>
          <w:szCs w:val="19"/>
        </w:rPr>
        <w:t>A</w:t>
      </w:r>
      <w:r w:rsidRPr="006345F8">
        <w:rPr>
          <w:rFonts w:asciiTheme="minorHAnsi" w:hAnsiTheme="minorHAnsi" w:cstheme="minorHAnsi"/>
          <w:color w:val="5F5F5F"/>
          <w:szCs w:val="19"/>
        </w:rPr>
        <w:t>ll major contract</w:t>
      </w:r>
      <w:r w:rsidR="00303E49">
        <w:rPr>
          <w:rFonts w:asciiTheme="minorHAnsi" w:hAnsiTheme="minorHAnsi" w:cstheme="minorHAnsi"/>
          <w:color w:val="5F5F5F"/>
          <w:szCs w:val="19"/>
        </w:rPr>
        <w:t>s, including</w:t>
      </w:r>
      <w:r w:rsidRPr="006345F8">
        <w:rPr>
          <w:rFonts w:asciiTheme="minorHAnsi" w:hAnsiTheme="minorHAnsi" w:cstheme="minorHAnsi"/>
          <w:color w:val="5F5F5F"/>
          <w:szCs w:val="19"/>
        </w:rPr>
        <w:t xml:space="preserve"> the FPSO and subsea infrastructure ha</w:t>
      </w:r>
      <w:r w:rsidR="00303E49">
        <w:rPr>
          <w:rFonts w:asciiTheme="minorHAnsi" w:hAnsiTheme="minorHAnsi" w:cstheme="minorHAnsi"/>
          <w:color w:val="5F5F5F"/>
          <w:szCs w:val="19"/>
        </w:rPr>
        <w:t>ve</w:t>
      </w:r>
      <w:r w:rsidRPr="006345F8">
        <w:rPr>
          <w:rFonts w:asciiTheme="minorHAnsi" w:hAnsiTheme="minorHAnsi" w:cstheme="minorHAnsi"/>
          <w:color w:val="5F5F5F"/>
          <w:szCs w:val="19"/>
        </w:rPr>
        <w:t xml:space="preserve"> been awarded and the West Leo rig ha</w:t>
      </w:r>
      <w:r w:rsidR="00866DB5">
        <w:rPr>
          <w:rFonts w:asciiTheme="minorHAnsi" w:hAnsiTheme="minorHAnsi" w:cstheme="minorHAnsi"/>
          <w:color w:val="5F5F5F"/>
          <w:szCs w:val="19"/>
        </w:rPr>
        <w:t>s</w:t>
      </w:r>
      <w:r w:rsidRPr="006345F8">
        <w:rPr>
          <w:rFonts w:asciiTheme="minorHAnsi" w:hAnsiTheme="minorHAnsi" w:cstheme="minorHAnsi"/>
          <w:color w:val="5F5F5F"/>
          <w:szCs w:val="19"/>
        </w:rPr>
        <w:t xml:space="preserve"> been secured to carry out the drilling and completion of the development wells. In October 2013, the Centennial Jewel trading tanker arrived in the Jurong Shipyard in Singapore, where it has begun its conversion into the TEN FPSO. </w:t>
      </w:r>
      <w:r w:rsidR="006D237A">
        <w:rPr>
          <w:rFonts w:asciiTheme="minorHAnsi" w:hAnsiTheme="minorHAnsi" w:cstheme="minorHAnsi"/>
          <w:color w:val="5F5F5F"/>
          <w:szCs w:val="19"/>
        </w:rPr>
        <w:t>The</w:t>
      </w:r>
      <w:r w:rsidRPr="006345F8">
        <w:rPr>
          <w:rFonts w:asciiTheme="minorHAnsi" w:hAnsiTheme="minorHAnsi" w:cstheme="minorHAnsi"/>
          <w:color w:val="5F5F5F"/>
          <w:szCs w:val="19"/>
        </w:rPr>
        <w:t xml:space="preserve"> appraisal of the TEN fields was completed</w:t>
      </w:r>
      <w:r w:rsidR="006D237A">
        <w:rPr>
          <w:rFonts w:asciiTheme="minorHAnsi" w:hAnsiTheme="minorHAnsi" w:cstheme="minorHAnsi"/>
          <w:color w:val="5F5F5F"/>
          <w:szCs w:val="19"/>
        </w:rPr>
        <w:t xml:space="preserve"> in 2013</w:t>
      </w:r>
      <w:r w:rsidRPr="006345F8">
        <w:rPr>
          <w:rFonts w:asciiTheme="minorHAnsi" w:hAnsiTheme="minorHAnsi" w:cstheme="minorHAnsi"/>
          <w:color w:val="5F5F5F"/>
          <w:szCs w:val="19"/>
        </w:rPr>
        <w:t xml:space="preserve"> with the drilling of the Enyenra-6A well</w:t>
      </w:r>
      <w:r w:rsidR="0010659F">
        <w:rPr>
          <w:rFonts w:asciiTheme="minorHAnsi" w:hAnsiTheme="minorHAnsi" w:cstheme="minorHAnsi"/>
          <w:color w:val="5F5F5F"/>
          <w:szCs w:val="19"/>
        </w:rPr>
        <w:t>.</w:t>
      </w:r>
      <w:r w:rsidR="006D237A">
        <w:rPr>
          <w:rFonts w:asciiTheme="minorHAnsi" w:hAnsiTheme="minorHAnsi" w:cstheme="minorHAnsi"/>
          <w:color w:val="5F5F5F"/>
          <w:szCs w:val="19"/>
        </w:rPr>
        <w:t xml:space="preserve"> </w:t>
      </w:r>
      <w:r w:rsidR="0010659F">
        <w:rPr>
          <w:rFonts w:asciiTheme="minorHAnsi" w:hAnsiTheme="minorHAnsi" w:cstheme="minorHAnsi"/>
          <w:color w:val="5F5F5F"/>
          <w:szCs w:val="19"/>
        </w:rPr>
        <w:t>D</w:t>
      </w:r>
      <w:r w:rsidRPr="006345F8">
        <w:rPr>
          <w:rFonts w:asciiTheme="minorHAnsi" w:hAnsiTheme="minorHAnsi" w:cstheme="minorHAnsi"/>
          <w:color w:val="5F5F5F"/>
          <w:szCs w:val="19"/>
        </w:rPr>
        <w:t xml:space="preserve">evelopment drilling commenced </w:t>
      </w:r>
      <w:r w:rsidR="0010659F">
        <w:rPr>
          <w:rFonts w:asciiTheme="minorHAnsi" w:hAnsiTheme="minorHAnsi" w:cstheme="minorHAnsi"/>
          <w:color w:val="5F5F5F"/>
          <w:szCs w:val="19"/>
        </w:rPr>
        <w:t xml:space="preserve">in 2014 </w:t>
      </w:r>
      <w:r w:rsidRPr="006345F8">
        <w:rPr>
          <w:rFonts w:asciiTheme="minorHAnsi" w:hAnsiTheme="minorHAnsi" w:cstheme="minorHAnsi"/>
          <w:color w:val="5F5F5F"/>
          <w:szCs w:val="19"/>
        </w:rPr>
        <w:t xml:space="preserve">with the drilling of the Nt-04 and En-01 water injection wells. </w:t>
      </w:r>
    </w:p>
    <w:p w:rsidR="00DB17AC" w:rsidRDefault="006345F8" w:rsidP="00DB17AC">
      <w:pPr>
        <w:rPr>
          <w:rFonts w:asciiTheme="minorHAnsi" w:hAnsiTheme="minorHAnsi" w:cstheme="minorHAnsi"/>
          <w:color w:val="5F5F5F"/>
          <w:szCs w:val="19"/>
        </w:rPr>
      </w:pPr>
      <w:r w:rsidRPr="006345F8">
        <w:rPr>
          <w:rFonts w:asciiTheme="minorHAnsi" w:hAnsiTheme="minorHAnsi" w:cstheme="minorHAnsi"/>
          <w:color w:val="5F5F5F"/>
          <w:szCs w:val="19"/>
        </w:rPr>
        <w:t xml:space="preserve">Following approval of the </w:t>
      </w:r>
      <w:r w:rsidR="00623009">
        <w:rPr>
          <w:rFonts w:asciiTheme="minorHAnsi" w:hAnsiTheme="minorHAnsi" w:cstheme="minorHAnsi"/>
          <w:color w:val="5F5F5F"/>
          <w:szCs w:val="19"/>
        </w:rPr>
        <w:t>PoD</w:t>
      </w:r>
      <w:r w:rsidRPr="006345F8">
        <w:rPr>
          <w:rFonts w:asciiTheme="minorHAnsi" w:hAnsiTheme="minorHAnsi" w:cstheme="minorHAnsi"/>
          <w:color w:val="5F5F5F"/>
          <w:szCs w:val="19"/>
        </w:rPr>
        <w:t>, Tullow sought consent from the Government to farm down its interest in the TEN project</w:t>
      </w:r>
      <w:r w:rsidR="004A4205">
        <w:rPr>
          <w:rFonts w:asciiTheme="minorHAnsi" w:hAnsiTheme="minorHAnsi" w:cstheme="minorHAnsi"/>
          <w:color w:val="5F5F5F"/>
          <w:szCs w:val="19"/>
        </w:rPr>
        <w:t xml:space="preserve"> whilst remaining operator</w:t>
      </w:r>
      <w:r w:rsidRPr="006345F8">
        <w:rPr>
          <w:rFonts w:asciiTheme="minorHAnsi" w:hAnsiTheme="minorHAnsi" w:cstheme="minorHAnsi"/>
          <w:color w:val="5F5F5F"/>
          <w:szCs w:val="19"/>
        </w:rPr>
        <w:t>. The farm down process is continuing in parallel to the development project. Gross capex spend for 2014 on the TEN project is expected to be approximately $1.</w:t>
      </w:r>
      <w:r w:rsidR="00A86670">
        <w:rPr>
          <w:rFonts w:asciiTheme="minorHAnsi" w:hAnsiTheme="minorHAnsi" w:cstheme="minorHAnsi"/>
          <w:color w:val="5F5F5F"/>
          <w:szCs w:val="19"/>
        </w:rPr>
        <w:t>2</w:t>
      </w:r>
      <w:r w:rsidRPr="006345F8">
        <w:rPr>
          <w:rFonts w:asciiTheme="minorHAnsi" w:hAnsiTheme="minorHAnsi" w:cstheme="minorHAnsi"/>
          <w:color w:val="5F5F5F"/>
          <w:szCs w:val="19"/>
        </w:rPr>
        <w:t xml:space="preserve"> billion.</w:t>
      </w:r>
    </w:p>
    <w:p w:rsidR="00DB17AC" w:rsidRDefault="00DB17AC" w:rsidP="00DB17AC">
      <w:pPr>
        <w:rPr>
          <w:rFonts w:asciiTheme="minorHAnsi" w:hAnsiTheme="minorHAnsi" w:cstheme="minorHAnsi"/>
          <w:color w:val="5F5F5F"/>
          <w:szCs w:val="19"/>
        </w:rPr>
      </w:pPr>
    </w:p>
    <w:p w:rsidR="006575AE" w:rsidRPr="00A36FAF" w:rsidRDefault="006575AE" w:rsidP="00DB17AC">
      <w:pPr>
        <w:rPr>
          <w:rFonts w:ascii="Calibri" w:hAnsi="Calibri" w:cs="Calibri"/>
          <w:i/>
          <w:color w:val="991F36"/>
          <w:sz w:val="24"/>
        </w:rPr>
      </w:pPr>
      <w:r w:rsidRPr="00A36FAF">
        <w:rPr>
          <w:rFonts w:asciiTheme="minorHAnsi" w:hAnsiTheme="minorHAnsi" w:cstheme="minorHAnsi"/>
          <w:i/>
          <w:color w:val="00305C"/>
          <w:sz w:val="20"/>
          <w:szCs w:val="20"/>
        </w:rPr>
        <w:t>E</w:t>
      </w:r>
      <w:r w:rsidR="00787286" w:rsidRPr="00A36FAF">
        <w:rPr>
          <w:rFonts w:asciiTheme="minorHAnsi" w:hAnsiTheme="minorHAnsi" w:cstheme="minorHAnsi"/>
          <w:i/>
          <w:color w:val="00305C"/>
          <w:sz w:val="20"/>
          <w:szCs w:val="20"/>
        </w:rPr>
        <w:t>xploration and Appraisal</w:t>
      </w:r>
    </w:p>
    <w:p w:rsidR="003270DB" w:rsidRPr="006575AE" w:rsidRDefault="006575AE" w:rsidP="00A82EEA">
      <w:pPr>
        <w:spacing w:after="120"/>
        <w:rPr>
          <w:rFonts w:asciiTheme="minorHAnsi" w:hAnsiTheme="minorHAnsi" w:cstheme="minorHAnsi"/>
          <w:color w:val="5F5F5F"/>
          <w:szCs w:val="19"/>
        </w:rPr>
      </w:pPr>
      <w:r w:rsidRPr="006575AE">
        <w:rPr>
          <w:rFonts w:asciiTheme="minorHAnsi" w:hAnsiTheme="minorHAnsi" w:cstheme="minorHAnsi"/>
          <w:color w:val="5F5F5F"/>
          <w:szCs w:val="19"/>
        </w:rPr>
        <w:t>The Sapele-1 exploration well</w:t>
      </w:r>
      <w:r w:rsidR="004A4205">
        <w:rPr>
          <w:rFonts w:asciiTheme="minorHAnsi" w:hAnsiTheme="minorHAnsi" w:cstheme="minorHAnsi"/>
          <w:color w:val="5F5F5F"/>
          <w:szCs w:val="19"/>
        </w:rPr>
        <w:t>,</w:t>
      </w:r>
      <w:r w:rsidRPr="006575AE">
        <w:rPr>
          <w:rFonts w:asciiTheme="minorHAnsi" w:hAnsiTheme="minorHAnsi" w:cstheme="minorHAnsi"/>
          <w:color w:val="5F5F5F"/>
          <w:szCs w:val="19"/>
        </w:rPr>
        <w:t xml:space="preserve"> which was completed in February 2013</w:t>
      </w:r>
      <w:r w:rsidR="004A4205">
        <w:rPr>
          <w:rFonts w:asciiTheme="minorHAnsi" w:hAnsiTheme="minorHAnsi" w:cstheme="minorHAnsi"/>
          <w:color w:val="5F5F5F"/>
          <w:szCs w:val="19"/>
        </w:rPr>
        <w:t>,</w:t>
      </w:r>
      <w:r w:rsidRPr="006575AE">
        <w:rPr>
          <w:rFonts w:asciiTheme="minorHAnsi" w:hAnsiTheme="minorHAnsi" w:cstheme="minorHAnsi"/>
          <w:color w:val="5F5F5F"/>
          <w:szCs w:val="19"/>
        </w:rPr>
        <w:t xml:space="preserve"> </w:t>
      </w:r>
      <w:r w:rsidR="00F779A9">
        <w:rPr>
          <w:rFonts w:asciiTheme="minorHAnsi" w:hAnsiTheme="minorHAnsi" w:cstheme="minorHAnsi"/>
          <w:color w:val="5F5F5F"/>
          <w:szCs w:val="19"/>
        </w:rPr>
        <w:t>was</w:t>
      </w:r>
      <w:r w:rsidR="00F779A9" w:rsidRPr="006575AE">
        <w:rPr>
          <w:rFonts w:asciiTheme="minorHAnsi" w:hAnsiTheme="minorHAnsi" w:cstheme="minorHAnsi"/>
          <w:color w:val="5F5F5F"/>
          <w:szCs w:val="19"/>
        </w:rPr>
        <w:t xml:space="preserve"> </w:t>
      </w:r>
      <w:r w:rsidRPr="006575AE">
        <w:rPr>
          <w:rFonts w:asciiTheme="minorHAnsi" w:hAnsiTheme="minorHAnsi" w:cstheme="minorHAnsi"/>
          <w:color w:val="5F5F5F"/>
          <w:szCs w:val="19"/>
        </w:rPr>
        <w:t>plugged and abandoned as a dry hole. This completed our drill-out of the Deepwater Tano licence which expired on 18 May 2013 with the remaining</w:t>
      </w:r>
      <w:r w:rsidR="00866DB5">
        <w:rPr>
          <w:rFonts w:asciiTheme="minorHAnsi" w:hAnsiTheme="minorHAnsi" w:cstheme="minorHAnsi"/>
          <w:color w:val="5F5F5F"/>
          <w:szCs w:val="19"/>
        </w:rPr>
        <w:t>,</w:t>
      </w:r>
      <w:r w:rsidRPr="006575AE">
        <w:rPr>
          <w:rFonts w:asciiTheme="minorHAnsi" w:hAnsiTheme="minorHAnsi" w:cstheme="minorHAnsi"/>
          <w:color w:val="5F5F5F"/>
          <w:szCs w:val="19"/>
        </w:rPr>
        <w:t xml:space="preserve"> non-prospective acreage being relinquished</w:t>
      </w:r>
      <w:r w:rsidR="004A4205">
        <w:rPr>
          <w:rFonts w:asciiTheme="minorHAnsi" w:hAnsiTheme="minorHAnsi" w:cstheme="minorHAnsi"/>
          <w:color w:val="5F5F5F"/>
          <w:szCs w:val="19"/>
        </w:rPr>
        <w:t>.</w:t>
      </w:r>
      <w:r w:rsidRPr="006575AE">
        <w:rPr>
          <w:rFonts w:asciiTheme="minorHAnsi" w:hAnsiTheme="minorHAnsi" w:cstheme="minorHAnsi"/>
          <w:color w:val="5F5F5F"/>
          <w:szCs w:val="19"/>
        </w:rPr>
        <w:t xml:space="preserve"> </w:t>
      </w:r>
      <w:r w:rsidR="004A4205">
        <w:rPr>
          <w:rFonts w:asciiTheme="minorHAnsi" w:hAnsiTheme="minorHAnsi" w:cstheme="minorHAnsi"/>
          <w:color w:val="5F5F5F"/>
          <w:szCs w:val="19"/>
        </w:rPr>
        <w:t>T</w:t>
      </w:r>
      <w:r w:rsidRPr="006575AE">
        <w:rPr>
          <w:rFonts w:asciiTheme="minorHAnsi" w:hAnsiTheme="minorHAnsi" w:cstheme="minorHAnsi"/>
          <w:color w:val="5F5F5F"/>
          <w:szCs w:val="19"/>
        </w:rPr>
        <w:t xml:space="preserve">he Jubilee Unit Area, the TEN Development and Production Area and the Wawa Discovery Area </w:t>
      </w:r>
      <w:r w:rsidR="00A5650F">
        <w:rPr>
          <w:rFonts w:asciiTheme="minorHAnsi" w:hAnsiTheme="minorHAnsi" w:cstheme="minorHAnsi"/>
          <w:color w:val="5F5F5F"/>
          <w:szCs w:val="19"/>
        </w:rPr>
        <w:t xml:space="preserve">are </w:t>
      </w:r>
      <w:r w:rsidRPr="006575AE">
        <w:rPr>
          <w:rFonts w:asciiTheme="minorHAnsi" w:hAnsiTheme="minorHAnsi" w:cstheme="minorHAnsi"/>
          <w:color w:val="5F5F5F"/>
          <w:szCs w:val="19"/>
        </w:rPr>
        <w:t>being retained.</w:t>
      </w:r>
    </w:p>
    <w:p w:rsidR="006575AE" w:rsidRPr="00A82EEA" w:rsidRDefault="006575AE" w:rsidP="00A82EEA">
      <w:pPr>
        <w:spacing w:after="120"/>
        <w:rPr>
          <w:rFonts w:asciiTheme="minorHAnsi" w:hAnsiTheme="minorHAnsi" w:cstheme="minorHAnsi"/>
          <w:color w:val="5F5F5F"/>
          <w:szCs w:val="19"/>
        </w:rPr>
      </w:pPr>
      <w:r w:rsidRPr="006575AE">
        <w:rPr>
          <w:rFonts w:asciiTheme="minorHAnsi" w:hAnsiTheme="minorHAnsi" w:cstheme="minorHAnsi"/>
          <w:color w:val="5F5F5F"/>
          <w:szCs w:val="19"/>
        </w:rPr>
        <w:t>In the second half of 2013, the Akasa-2A appraisal well was drilled and successfully tested the down-dip extent of the Akasa accumulation</w:t>
      </w:r>
      <w:r w:rsidR="00ED6D17">
        <w:rPr>
          <w:rFonts w:asciiTheme="minorHAnsi" w:hAnsiTheme="minorHAnsi" w:cstheme="minorHAnsi"/>
          <w:color w:val="5F5F5F"/>
          <w:szCs w:val="19"/>
        </w:rPr>
        <w:t>. T</w:t>
      </w:r>
      <w:r w:rsidRPr="006575AE">
        <w:rPr>
          <w:rFonts w:asciiTheme="minorHAnsi" w:hAnsiTheme="minorHAnsi" w:cstheme="minorHAnsi"/>
          <w:color w:val="5F5F5F"/>
          <w:szCs w:val="19"/>
        </w:rPr>
        <w:t xml:space="preserve">he partnership </w:t>
      </w:r>
      <w:r w:rsidR="008309E9">
        <w:rPr>
          <w:rFonts w:asciiTheme="minorHAnsi" w:hAnsiTheme="minorHAnsi" w:cstheme="minorHAnsi"/>
          <w:color w:val="5F5F5F"/>
          <w:szCs w:val="19"/>
        </w:rPr>
        <w:t>is planning some additional appraisal activities in 2014 in the West Cape Three Point</w:t>
      </w:r>
      <w:r w:rsidR="00A5650F">
        <w:rPr>
          <w:rFonts w:asciiTheme="minorHAnsi" w:hAnsiTheme="minorHAnsi" w:cstheme="minorHAnsi"/>
          <w:color w:val="5F5F5F"/>
          <w:szCs w:val="19"/>
        </w:rPr>
        <w:t>s</w:t>
      </w:r>
      <w:r w:rsidR="008309E9">
        <w:rPr>
          <w:rFonts w:asciiTheme="minorHAnsi" w:hAnsiTheme="minorHAnsi" w:cstheme="minorHAnsi"/>
          <w:color w:val="5F5F5F"/>
          <w:szCs w:val="19"/>
        </w:rPr>
        <w:t xml:space="preserve"> licen</w:t>
      </w:r>
      <w:r w:rsidR="00275A57">
        <w:rPr>
          <w:rFonts w:asciiTheme="minorHAnsi" w:hAnsiTheme="minorHAnsi" w:cstheme="minorHAnsi"/>
          <w:color w:val="5F5F5F"/>
          <w:szCs w:val="19"/>
        </w:rPr>
        <w:t>c</w:t>
      </w:r>
      <w:r w:rsidR="008309E9">
        <w:rPr>
          <w:rFonts w:asciiTheme="minorHAnsi" w:hAnsiTheme="minorHAnsi" w:cstheme="minorHAnsi"/>
          <w:color w:val="5F5F5F"/>
          <w:szCs w:val="19"/>
        </w:rPr>
        <w:t xml:space="preserve">e that will assist in identifying the optimum </w:t>
      </w:r>
      <w:r w:rsidRPr="006575AE">
        <w:rPr>
          <w:rFonts w:asciiTheme="minorHAnsi" w:hAnsiTheme="minorHAnsi" w:cstheme="minorHAnsi"/>
          <w:color w:val="5F5F5F"/>
          <w:szCs w:val="19"/>
        </w:rPr>
        <w:t xml:space="preserve">development </w:t>
      </w:r>
      <w:r w:rsidR="0072563C">
        <w:rPr>
          <w:rFonts w:asciiTheme="minorHAnsi" w:hAnsiTheme="minorHAnsi" w:cstheme="minorHAnsi"/>
          <w:color w:val="5F5F5F"/>
          <w:szCs w:val="19"/>
        </w:rPr>
        <w:t>plan</w:t>
      </w:r>
      <w:r w:rsidRPr="006575AE">
        <w:rPr>
          <w:rFonts w:asciiTheme="minorHAnsi" w:hAnsiTheme="minorHAnsi" w:cstheme="minorHAnsi"/>
          <w:color w:val="5F5F5F"/>
          <w:szCs w:val="19"/>
        </w:rPr>
        <w:t xml:space="preserve"> for </w:t>
      </w:r>
      <w:r w:rsidR="00275A57">
        <w:rPr>
          <w:rFonts w:asciiTheme="minorHAnsi" w:hAnsiTheme="minorHAnsi" w:cstheme="minorHAnsi"/>
          <w:color w:val="5F5F5F"/>
          <w:szCs w:val="19"/>
        </w:rPr>
        <w:t xml:space="preserve">the </w:t>
      </w:r>
      <w:r w:rsidRPr="006575AE">
        <w:rPr>
          <w:rFonts w:asciiTheme="minorHAnsi" w:hAnsiTheme="minorHAnsi" w:cstheme="minorHAnsi"/>
          <w:color w:val="5F5F5F"/>
          <w:szCs w:val="19"/>
        </w:rPr>
        <w:t>Mahogany, Teak and Akasa</w:t>
      </w:r>
      <w:r w:rsidR="00275A57">
        <w:rPr>
          <w:rFonts w:asciiTheme="minorHAnsi" w:hAnsiTheme="minorHAnsi" w:cstheme="minorHAnsi"/>
          <w:color w:val="5F5F5F"/>
          <w:szCs w:val="19"/>
        </w:rPr>
        <w:t xml:space="preserve"> fields</w:t>
      </w:r>
      <w:r w:rsidR="008309E9">
        <w:rPr>
          <w:rFonts w:asciiTheme="minorHAnsi" w:hAnsiTheme="minorHAnsi" w:cstheme="minorHAnsi"/>
          <w:color w:val="5F5F5F"/>
          <w:szCs w:val="19"/>
        </w:rPr>
        <w:t>.</w:t>
      </w:r>
      <w:r w:rsidRPr="006575AE">
        <w:rPr>
          <w:rFonts w:asciiTheme="minorHAnsi" w:hAnsiTheme="minorHAnsi" w:cstheme="minorHAnsi"/>
          <w:color w:val="5F5F5F"/>
          <w:szCs w:val="19"/>
        </w:rPr>
        <w:t xml:space="preserve"> In January 2013, the discovery area associated with the Banda discovery on the West Cape Three Points licence was relinquished.</w:t>
      </w:r>
    </w:p>
    <w:p w:rsidR="003B1735" w:rsidRDefault="003B1735" w:rsidP="00A162E1">
      <w:pPr>
        <w:pStyle w:val="Default"/>
        <w:spacing w:before="240" w:after="60"/>
        <w:jc w:val="both"/>
        <w:rPr>
          <w:rFonts w:asciiTheme="minorHAnsi" w:hAnsiTheme="minorHAnsi" w:cstheme="minorHAnsi"/>
          <w:b/>
          <w:color w:val="00305C"/>
          <w:sz w:val="22"/>
          <w:szCs w:val="22"/>
          <w:lang w:val="en-GB"/>
        </w:rPr>
      </w:pPr>
    </w:p>
    <w:p w:rsidR="00772C45" w:rsidRDefault="00772C45" w:rsidP="006B4FE1">
      <w:pPr>
        <w:pStyle w:val="Default"/>
        <w:spacing w:before="240" w:after="40"/>
        <w:jc w:val="both"/>
        <w:rPr>
          <w:rFonts w:asciiTheme="minorHAnsi" w:hAnsiTheme="minorHAnsi" w:cstheme="minorHAnsi"/>
          <w:b/>
          <w:color w:val="00305C"/>
          <w:sz w:val="22"/>
          <w:szCs w:val="22"/>
          <w:lang w:val="en-GB"/>
        </w:rPr>
      </w:pPr>
    </w:p>
    <w:p w:rsidR="006575AE" w:rsidRPr="00A162E1" w:rsidRDefault="006575AE" w:rsidP="006B4FE1">
      <w:pPr>
        <w:pStyle w:val="Default"/>
        <w:spacing w:before="240" w:after="40"/>
        <w:jc w:val="both"/>
        <w:rPr>
          <w:rFonts w:asciiTheme="minorHAnsi" w:hAnsiTheme="minorHAnsi" w:cstheme="minorHAnsi"/>
          <w:b/>
          <w:color w:val="00305C"/>
          <w:sz w:val="22"/>
          <w:szCs w:val="22"/>
          <w:lang w:val="en-GB"/>
        </w:rPr>
      </w:pPr>
      <w:r w:rsidRPr="00A162E1">
        <w:rPr>
          <w:rFonts w:asciiTheme="minorHAnsi" w:hAnsiTheme="minorHAnsi" w:cstheme="minorHAnsi"/>
          <w:b/>
          <w:color w:val="00305C"/>
          <w:sz w:val="22"/>
          <w:szCs w:val="22"/>
          <w:lang w:val="en-GB"/>
        </w:rPr>
        <w:t>Mauritania</w:t>
      </w:r>
    </w:p>
    <w:p w:rsidR="0022077C" w:rsidRPr="0022077C" w:rsidRDefault="0022077C" w:rsidP="008E3854">
      <w:pPr>
        <w:spacing w:after="120"/>
        <w:rPr>
          <w:rFonts w:asciiTheme="minorHAnsi" w:hAnsiTheme="minorHAnsi" w:cstheme="minorHAnsi"/>
          <w:color w:val="5F5F5F"/>
          <w:szCs w:val="19"/>
        </w:rPr>
      </w:pPr>
      <w:r w:rsidRPr="0022077C">
        <w:rPr>
          <w:rFonts w:asciiTheme="minorHAnsi" w:hAnsiTheme="minorHAnsi" w:cstheme="minorHAnsi"/>
          <w:color w:val="5F5F5F"/>
          <w:szCs w:val="19"/>
        </w:rPr>
        <w:t xml:space="preserve">In Mauritania, Tullow commenced its exploration drilling campaign in August 2013 targeting new, deeper plays in the offshore Mauritanian basin. The first well, Frégate-1, in the C-7 licence, was drilled to a depth of 5,426 metres and has encountered </w:t>
      </w:r>
      <w:r w:rsidR="00772C45">
        <w:rPr>
          <w:rFonts w:asciiTheme="minorHAnsi" w:hAnsiTheme="minorHAnsi" w:cstheme="minorHAnsi"/>
          <w:color w:val="5F5F5F"/>
          <w:szCs w:val="19"/>
        </w:rPr>
        <w:t xml:space="preserve">up to </w:t>
      </w:r>
      <w:r w:rsidRPr="0022077C">
        <w:rPr>
          <w:rFonts w:asciiTheme="minorHAnsi" w:hAnsiTheme="minorHAnsi" w:cstheme="minorHAnsi"/>
          <w:color w:val="5F5F5F"/>
          <w:szCs w:val="19"/>
        </w:rPr>
        <w:t>30 metres of net gas-condensate and oil pay in multiple sands and the data will now be integrated with Tullow’s regional 3D seismic surveys. The well is being plugged and abandoned and the rig will move to drill the Tapendar prospect in Block C-10. This wildcat well has achieved an important technical breakthrough by establishing a new oil play in deepwater Late Cretaceous</w:t>
      </w:r>
      <w:r>
        <w:rPr>
          <w:rFonts w:asciiTheme="minorHAnsi" w:hAnsiTheme="minorHAnsi" w:cstheme="minorHAnsi"/>
          <w:color w:val="5F5F5F"/>
          <w:szCs w:val="19"/>
        </w:rPr>
        <w:t xml:space="preserve"> </w:t>
      </w:r>
      <w:r w:rsidRPr="0022077C">
        <w:rPr>
          <w:rFonts w:asciiTheme="minorHAnsi" w:hAnsiTheme="minorHAnsi" w:cstheme="minorHAnsi"/>
          <w:color w:val="5F5F5F"/>
          <w:szCs w:val="19"/>
        </w:rPr>
        <w:t>turbidites. Whilst encouraging, further assessment and analysis will be required before follow up activities.</w:t>
      </w:r>
    </w:p>
    <w:p w:rsidR="008E3854" w:rsidRPr="008E3854" w:rsidRDefault="008E3854" w:rsidP="008E3854">
      <w:pPr>
        <w:spacing w:after="120"/>
        <w:rPr>
          <w:rFonts w:asciiTheme="minorHAnsi" w:hAnsiTheme="minorHAnsi" w:cstheme="minorHAnsi"/>
          <w:color w:val="5F5F5F"/>
          <w:szCs w:val="19"/>
        </w:rPr>
      </w:pPr>
      <w:r w:rsidRPr="008E3854">
        <w:rPr>
          <w:rFonts w:asciiTheme="minorHAnsi" w:hAnsiTheme="minorHAnsi" w:cstheme="minorHAnsi"/>
          <w:color w:val="5F5F5F"/>
          <w:szCs w:val="19"/>
        </w:rPr>
        <w:t>The approval of a Field Development Plan by the Government of Mauritania has allowed good progress to be made on the Banda gas to power development. The Engineering, Procurement and Construction bids have been received and pre-award negotiations are ongoing with contractors. Commercial discussions on the Gas Sales Agreement and associated Power Purchase Agreements are ongoing and are critical to the final sanction of this project.</w:t>
      </w:r>
    </w:p>
    <w:p w:rsidR="008E3854" w:rsidRPr="008E3854" w:rsidRDefault="008E3854" w:rsidP="008E3854">
      <w:pPr>
        <w:spacing w:after="120"/>
        <w:rPr>
          <w:rFonts w:asciiTheme="minorHAnsi" w:hAnsiTheme="minorHAnsi" w:cstheme="minorHAnsi"/>
          <w:color w:val="5F5F5F"/>
          <w:szCs w:val="19"/>
        </w:rPr>
      </w:pPr>
      <w:r w:rsidRPr="008E3854">
        <w:rPr>
          <w:rFonts w:asciiTheme="minorHAnsi" w:hAnsiTheme="minorHAnsi" w:cstheme="minorHAnsi"/>
          <w:color w:val="5F5F5F"/>
          <w:szCs w:val="19"/>
        </w:rPr>
        <w:t>Net production from the Chinguetti field in Mauritania, which is a separate play type from the Group’s exploration interests, averaged just over 1,</w:t>
      </w:r>
      <w:r w:rsidR="009E3D53">
        <w:rPr>
          <w:rFonts w:asciiTheme="minorHAnsi" w:hAnsiTheme="minorHAnsi" w:cstheme="minorHAnsi"/>
          <w:color w:val="5F5F5F"/>
          <w:szCs w:val="19"/>
        </w:rPr>
        <w:t>3</w:t>
      </w:r>
      <w:r w:rsidRPr="008E3854">
        <w:rPr>
          <w:rFonts w:asciiTheme="minorHAnsi" w:hAnsiTheme="minorHAnsi" w:cstheme="minorHAnsi"/>
          <w:color w:val="5F5F5F"/>
          <w:szCs w:val="19"/>
        </w:rPr>
        <w:t>00 boepd in 2013, which is in line with expectations.</w:t>
      </w:r>
    </w:p>
    <w:p w:rsidR="00DC37D5" w:rsidRPr="00FB358D" w:rsidRDefault="00DC37D5" w:rsidP="00DC37D5">
      <w:pPr>
        <w:pStyle w:val="Default"/>
        <w:spacing w:before="240" w:after="40"/>
        <w:jc w:val="both"/>
        <w:rPr>
          <w:rFonts w:asciiTheme="minorHAnsi" w:hAnsiTheme="minorHAnsi" w:cstheme="minorHAnsi"/>
          <w:b/>
          <w:color w:val="00305C"/>
          <w:sz w:val="22"/>
          <w:szCs w:val="22"/>
          <w:lang w:val="en-GB"/>
        </w:rPr>
      </w:pPr>
      <w:r w:rsidRPr="00FB358D">
        <w:rPr>
          <w:rFonts w:asciiTheme="minorHAnsi" w:hAnsiTheme="minorHAnsi" w:cstheme="minorHAnsi"/>
          <w:b/>
          <w:color w:val="00305C"/>
          <w:sz w:val="22"/>
          <w:szCs w:val="22"/>
          <w:lang w:val="en-GB"/>
        </w:rPr>
        <w:t>Gabon</w:t>
      </w:r>
    </w:p>
    <w:p w:rsidR="00DC37D5" w:rsidRPr="006575AE" w:rsidRDefault="00DC37D5" w:rsidP="00DC37D5">
      <w:pPr>
        <w:spacing w:after="120"/>
        <w:rPr>
          <w:rFonts w:asciiTheme="minorHAnsi" w:hAnsiTheme="minorHAnsi" w:cstheme="minorHAnsi"/>
          <w:color w:val="5F5F5F"/>
          <w:szCs w:val="19"/>
        </w:rPr>
      </w:pPr>
      <w:r w:rsidRPr="00FB358D">
        <w:rPr>
          <w:rFonts w:asciiTheme="minorHAnsi" w:hAnsiTheme="minorHAnsi" w:cstheme="minorHAnsi"/>
          <w:color w:val="5F5F5F"/>
          <w:szCs w:val="19"/>
        </w:rPr>
        <w:t>Gabon net production averaged 13,300 bopd in 2013, slightly lower than expectations due to the impact of an oil sector workers strike in March 2013 and delays to the planned infill drilling programmes at Tchatamba. The Tchatamba drilling programme re-commenced in December 2013 with plans to</w:t>
      </w:r>
      <w:r w:rsidRPr="006575AE">
        <w:rPr>
          <w:rFonts w:asciiTheme="minorHAnsi" w:hAnsiTheme="minorHAnsi" w:cstheme="minorHAnsi"/>
          <w:color w:val="5F5F5F"/>
          <w:szCs w:val="19"/>
        </w:rPr>
        <w:t xml:space="preserve"> drill four </w:t>
      </w:r>
      <w:r>
        <w:rPr>
          <w:rFonts w:asciiTheme="minorHAnsi" w:hAnsiTheme="minorHAnsi" w:cstheme="minorHAnsi"/>
          <w:color w:val="5F5F5F"/>
          <w:szCs w:val="19"/>
        </w:rPr>
        <w:t>wells</w:t>
      </w:r>
      <w:r w:rsidRPr="006575AE">
        <w:rPr>
          <w:rFonts w:asciiTheme="minorHAnsi" w:hAnsiTheme="minorHAnsi" w:cstheme="minorHAnsi"/>
          <w:color w:val="5F5F5F"/>
          <w:szCs w:val="19"/>
        </w:rPr>
        <w:t xml:space="preserve">, plus two contingent infill wells, </w:t>
      </w:r>
      <w:r>
        <w:rPr>
          <w:rFonts w:asciiTheme="minorHAnsi" w:hAnsiTheme="minorHAnsi" w:cstheme="minorHAnsi"/>
          <w:color w:val="5F5F5F"/>
          <w:szCs w:val="19"/>
        </w:rPr>
        <w:t xml:space="preserve">and this will be followed by a </w:t>
      </w:r>
      <w:r w:rsidRPr="006575AE">
        <w:rPr>
          <w:rFonts w:asciiTheme="minorHAnsi" w:hAnsiTheme="minorHAnsi" w:cstheme="minorHAnsi"/>
          <w:color w:val="5F5F5F"/>
          <w:szCs w:val="19"/>
        </w:rPr>
        <w:t>three</w:t>
      </w:r>
      <w:r>
        <w:rPr>
          <w:rFonts w:asciiTheme="minorHAnsi" w:hAnsiTheme="minorHAnsi" w:cstheme="minorHAnsi"/>
          <w:color w:val="5F5F5F"/>
          <w:szCs w:val="19"/>
        </w:rPr>
        <w:t xml:space="preserve"> well campaign on</w:t>
      </w:r>
      <w:r w:rsidRPr="006575AE">
        <w:rPr>
          <w:rFonts w:asciiTheme="minorHAnsi" w:hAnsiTheme="minorHAnsi" w:cstheme="minorHAnsi"/>
          <w:color w:val="5F5F5F"/>
          <w:szCs w:val="19"/>
        </w:rPr>
        <w:t xml:space="preserve"> </w:t>
      </w:r>
      <w:r>
        <w:rPr>
          <w:rFonts w:asciiTheme="minorHAnsi" w:hAnsiTheme="minorHAnsi" w:cstheme="minorHAnsi"/>
          <w:color w:val="5F5F5F"/>
          <w:szCs w:val="19"/>
        </w:rPr>
        <w:t xml:space="preserve">the </w:t>
      </w:r>
      <w:r w:rsidRPr="006575AE">
        <w:rPr>
          <w:rFonts w:asciiTheme="minorHAnsi" w:hAnsiTheme="minorHAnsi" w:cstheme="minorHAnsi"/>
          <w:color w:val="5F5F5F"/>
          <w:szCs w:val="19"/>
        </w:rPr>
        <w:t xml:space="preserve">Turnix </w:t>
      </w:r>
      <w:r>
        <w:rPr>
          <w:rFonts w:asciiTheme="minorHAnsi" w:hAnsiTheme="minorHAnsi" w:cstheme="minorHAnsi"/>
          <w:color w:val="5F5F5F"/>
          <w:szCs w:val="19"/>
        </w:rPr>
        <w:t>field</w:t>
      </w:r>
      <w:r w:rsidRPr="006575AE">
        <w:rPr>
          <w:rFonts w:asciiTheme="minorHAnsi" w:hAnsiTheme="minorHAnsi" w:cstheme="minorHAnsi"/>
          <w:color w:val="5F5F5F"/>
          <w:szCs w:val="19"/>
        </w:rPr>
        <w:t xml:space="preserve">. The Limande field continues to outperform expectations due to two wells drilled </w:t>
      </w:r>
      <w:r>
        <w:rPr>
          <w:rFonts w:asciiTheme="minorHAnsi" w:hAnsiTheme="minorHAnsi" w:cstheme="minorHAnsi"/>
          <w:color w:val="5F5F5F"/>
          <w:szCs w:val="19"/>
        </w:rPr>
        <w:t>in</w:t>
      </w:r>
      <w:r w:rsidRPr="006575AE">
        <w:rPr>
          <w:rFonts w:asciiTheme="minorHAnsi" w:hAnsiTheme="minorHAnsi" w:cstheme="minorHAnsi"/>
          <w:color w:val="5F5F5F"/>
          <w:szCs w:val="19"/>
        </w:rPr>
        <w:t xml:space="preserve"> the South of the field during the year.</w:t>
      </w:r>
    </w:p>
    <w:p w:rsidR="00DC37D5" w:rsidRPr="00FB358D" w:rsidRDefault="00DC37D5" w:rsidP="00DC37D5">
      <w:pPr>
        <w:spacing w:after="120"/>
        <w:rPr>
          <w:rFonts w:asciiTheme="minorHAnsi" w:hAnsiTheme="minorHAnsi" w:cstheme="minorHAnsi"/>
          <w:color w:val="5F5F5F"/>
          <w:szCs w:val="19"/>
        </w:rPr>
      </w:pPr>
      <w:r>
        <w:rPr>
          <w:rFonts w:asciiTheme="minorHAnsi" w:hAnsiTheme="minorHAnsi" w:cstheme="minorHAnsi"/>
          <w:color w:val="5F5F5F"/>
          <w:szCs w:val="19"/>
        </w:rPr>
        <w:t>A</w:t>
      </w:r>
      <w:r w:rsidRPr="006575AE">
        <w:rPr>
          <w:rFonts w:asciiTheme="minorHAnsi" w:hAnsiTheme="minorHAnsi" w:cstheme="minorHAnsi"/>
          <w:color w:val="5F5F5F"/>
          <w:szCs w:val="19"/>
        </w:rPr>
        <w:t xml:space="preserve"> modest </w:t>
      </w:r>
      <w:r w:rsidRPr="00BC091E">
        <w:rPr>
          <w:rFonts w:asciiTheme="minorHAnsi" w:hAnsiTheme="minorHAnsi" w:cstheme="minorHAnsi"/>
          <w:color w:val="5F5F5F"/>
          <w:szCs w:val="19"/>
        </w:rPr>
        <w:t xml:space="preserve">carbonates </w:t>
      </w:r>
      <w:r w:rsidRPr="006575AE">
        <w:rPr>
          <w:rFonts w:asciiTheme="minorHAnsi" w:hAnsiTheme="minorHAnsi" w:cstheme="minorHAnsi"/>
          <w:color w:val="5F5F5F"/>
          <w:szCs w:val="19"/>
        </w:rPr>
        <w:t xml:space="preserve">oil discovery </w:t>
      </w:r>
      <w:r>
        <w:rPr>
          <w:rFonts w:asciiTheme="minorHAnsi" w:hAnsiTheme="minorHAnsi" w:cstheme="minorHAnsi"/>
          <w:color w:val="5F5F5F"/>
          <w:szCs w:val="19"/>
        </w:rPr>
        <w:t xml:space="preserve">was </w:t>
      </w:r>
      <w:r w:rsidRPr="006575AE">
        <w:rPr>
          <w:rFonts w:asciiTheme="minorHAnsi" w:hAnsiTheme="minorHAnsi" w:cstheme="minorHAnsi"/>
          <w:color w:val="5F5F5F"/>
          <w:szCs w:val="19"/>
        </w:rPr>
        <w:t xml:space="preserve">made </w:t>
      </w:r>
      <w:r w:rsidRPr="00BC091E">
        <w:rPr>
          <w:rFonts w:asciiTheme="minorHAnsi" w:hAnsiTheme="minorHAnsi" w:cstheme="minorHAnsi"/>
          <w:color w:val="5F5F5F"/>
          <w:szCs w:val="19"/>
        </w:rPr>
        <w:t>by the MOBA</w:t>
      </w:r>
      <w:r w:rsidRPr="006575AE">
        <w:rPr>
          <w:rFonts w:asciiTheme="minorHAnsi" w:hAnsiTheme="minorHAnsi" w:cstheme="minorHAnsi"/>
          <w:color w:val="5F5F5F"/>
          <w:szCs w:val="19"/>
        </w:rPr>
        <w:t>-1 well</w:t>
      </w:r>
      <w:r w:rsidRPr="00972E21">
        <w:rPr>
          <w:rFonts w:asciiTheme="minorHAnsi" w:hAnsiTheme="minorHAnsi" w:cstheme="minorHAnsi"/>
          <w:color w:val="5F5F5F"/>
          <w:szCs w:val="19"/>
        </w:rPr>
        <w:t xml:space="preserve"> </w:t>
      </w:r>
      <w:r w:rsidRPr="006575AE">
        <w:rPr>
          <w:rFonts w:asciiTheme="minorHAnsi" w:hAnsiTheme="minorHAnsi" w:cstheme="minorHAnsi"/>
          <w:color w:val="5F5F5F"/>
          <w:szCs w:val="19"/>
        </w:rPr>
        <w:t>in October 2013</w:t>
      </w:r>
      <w:r>
        <w:rPr>
          <w:rFonts w:asciiTheme="minorHAnsi" w:hAnsiTheme="minorHAnsi" w:cstheme="minorHAnsi"/>
          <w:color w:val="5F5F5F"/>
          <w:szCs w:val="19"/>
        </w:rPr>
        <w:t>, in the DE-7 licence. A</w:t>
      </w:r>
      <w:r w:rsidRPr="006575AE">
        <w:rPr>
          <w:rFonts w:asciiTheme="minorHAnsi" w:hAnsiTheme="minorHAnsi" w:cstheme="minorHAnsi"/>
          <w:color w:val="5F5F5F"/>
          <w:szCs w:val="19"/>
        </w:rPr>
        <w:t xml:space="preserve"> flow test is being carried out to determine the potential size of the discovery. The Perroquet exploration well in the Kiarsseny Marine licence was completed in December 2013 and has been plugged and abandoned as a dry hole.</w:t>
      </w:r>
      <w:r w:rsidRPr="00FB358D">
        <w:rPr>
          <w:rFonts w:asciiTheme="minorHAnsi" w:hAnsiTheme="minorHAnsi" w:cstheme="minorHAnsi"/>
          <w:color w:val="5F5F5F"/>
          <w:szCs w:val="19"/>
        </w:rPr>
        <w:t xml:space="preserve"> Interpretation of data acquired from a 3D survey over the pre-salt Sputnik prospect in the complex Arouwe Block was completed in mid-2013, with drilling scheduled to commence in the first half of 2014.</w:t>
      </w:r>
    </w:p>
    <w:p w:rsidR="006575AE" w:rsidRPr="00A162E1" w:rsidRDefault="006575AE" w:rsidP="006B4FE1">
      <w:pPr>
        <w:pStyle w:val="Default"/>
        <w:spacing w:before="240" w:after="40"/>
        <w:jc w:val="both"/>
        <w:rPr>
          <w:rFonts w:asciiTheme="minorHAnsi" w:hAnsiTheme="minorHAnsi" w:cstheme="minorHAnsi"/>
          <w:b/>
          <w:color w:val="00305C"/>
          <w:sz w:val="22"/>
          <w:szCs w:val="22"/>
          <w:lang w:val="en-GB"/>
        </w:rPr>
      </w:pPr>
      <w:r w:rsidRPr="00A162E1">
        <w:rPr>
          <w:rFonts w:asciiTheme="minorHAnsi" w:hAnsiTheme="minorHAnsi" w:cstheme="minorHAnsi"/>
          <w:b/>
          <w:color w:val="00305C"/>
          <w:sz w:val="22"/>
          <w:szCs w:val="22"/>
          <w:lang w:val="en-GB"/>
        </w:rPr>
        <w:t>Equatorial Guinea</w:t>
      </w:r>
    </w:p>
    <w:p w:rsidR="006575AE" w:rsidRDefault="006575AE" w:rsidP="00A162E1">
      <w:pPr>
        <w:spacing w:after="120"/>
        <w:rPr>
          <w:rFonts w:asciiTheme="minorHAnsi" w:hAnsiTheme="minorHAnsi" w:cstheme="minorHAnsi"/>
          <w:color w:val="5F5F5F"/>
          <w:szCs w:val="19"/>
        </w:rPr>
      </w:pPr>
      <w:r w:rsidRPr="00A162E1">
        <w:rPr>
          <w:rFonts w:asciiTheme="minorHAnsi" w:hAnsiTheme="minorHAnsi" w:cstheme="minorHAnsi"/>
          <w:color w:val="5F5F5F"/>
          <w:szCs w:val="19"/>
        </w:rPr>
        <w:t>The Ceiba field has performed strongly in 2013 following the completion of a successful workover and infill drilling programme in the first half of the year</w:t>
      </w:r>
      <w:r w:rsidR="00AF70F1" w:rsidRPr="00A162E1">
        <w:rPr>
          <w:rFonts w:asciiTheme="minorHAnsi" w:hAnsiTheme="minorHAnsi" w:cstheme="minorHAnsi"/>
          <w:color w:val="5F5F5F"/>
          <w:szCs w:val="19"/>
        </w:rPr>
        <w:t>,</w:t>
      </w:r>
      <w:r w:rsidR="00AF70F1" w:rsidRPr="00AF70F1">
        <w:rPr>
          <w:rFonts w:asciiTheme="minorHAnsi" w:hAnsiTheme="minorHAnsi" w:cstheme="minorHAnsi"/>
          <w:color w:val="5F5F5F"/>
          <w:szCs w:val="19"/>
        </w:rPr>
        <w:t xml:space="preserve"> </w:t>
      </w:r>
      <w:r w:rsidR="00AF70F1" w:rsidRPr="006575AE">
        <w:rPr>
          <w:rFonts w:asciiTheme="minorHAnsi" w:hAnsiTheme="minorHAnsi" w:cstheme="minorHAnsi"/>
          <w:color w:val="5F5F5F"/>
          <w:szCs w:val="19"/>
        </w:rPr>
        <w:t>with the final two producers coming online in July and September 2013</w:t>
      </w:r>
      <w:r w:rsidR="00A5650F">
        <w:rPr>
          <w:rFonts w:asciiTheme="minorHAnsi" w:hAnsiTheme="minorHAnsi" w:cstheme="minorHAnsi"/>
          <w:color w:val="5F5F5F"/>
          <w:szCs w:val="19"/>
        </w:rPr>
        <w:t xml:space="preserve"> respectively</w:t>
      </w:r>
      <w:r w:rsidRPr="00A162E1">
        <w:rPr>
          <w:rFonts w:asciiTheme="minorHAnsi" w:hAnsiTheme="minorHAnsi" w:cstheme="minorHAnsi"/>
          <w:color w:val="5F5F5F"/>
          <w:szCs w:val="19"/>
        </w:rPr>
        <w:t xml:space="preserve">. The programme has increased production, with net production averaging </w:t>
      </w:r>
      <w:r w:rsidR="006345F8" w:rsidRPr="00A162E1">
        <w:rPr>
          <w:rFonts w:asciiTheme="minorHAnsi" w:hAnsiTheme="minorHAnsi" w:cstheme="minorHAnsi"/>
          <w:color w:val="5F5F5F"/>
          <w:szCs w:val="19"/>
        </w:rPr>
        <w:t>3,500</w:t>
      </w:r>
      <w:r w:rsidRPr="00A162E1">
        <w:rPr>
          <w:rFonts w:asciiTheme="minorHAnsi" w:hAnsiTheme="minorHAnsi" w:cstheme="minorHAnsi"/>
          <w:color w:val="5F5F5F"/>
          <w:szCs w:val="19"/>
        </w:rPr>
        <w:t xml:space="preserve"> bo</w:t>
      </w:r>
      <w:r w:rsidR="00231FEA" w:rsidRPr="00A162E1">
        <w:rPr>
          <w:rFonts w:asciiTheme="minorHAnsi" w:hAnsiTheme="minorHAnsi" w:cstheme="minorHAnsi"/>
          <w:color w:val="5F5F5F"/>
          <w:szCs w:val="19"/>
        </w:rPr>
        <w:t>pd</w:t>
      </w:r>
      <w:r w:rsidRPr="00A162E1">
        <w:rPr>
          <w:rFonts w:asciiTheme="minorHAnsi" w:hAnsiTheme="minorHAnsi" w:cstheme="minorHAnsi"/>
          <w:color w:val="5F5F5F"/>
          <w:szCs w:val="19"/>
        </w:rPr>
        <w:t xml:space="preserve"> for the full year. </w:t>
      </w:r>
      <w:r w:rsidRPr="006575AE">
        <w:rPr>
          <w:rFonts w:asciiTheme="minorHAnsi" w:hAnsiTheme="minorHAnsi" w:cstheme="minorHAnsi"/>
          <w:color w:val="5F5F5F"/>
          <w:szCs w:val="19"/>
        </w:rPr>
        <w:t xml:space="preserve">A new 4D seismic survey is planned for 2014 in anticipation of a </w:t>
      </w:r>
      <w:r w:rsidR="00AF70F1">
        <w:rPr>
          <w:rFonts w:asciiTheme="minorHAnsi" w:hAnsiTheme="minorHAnsi" w:cstheme="minorHAnsi"/>
          <w:color w:val="5F5F5F"/>
          <w:szCs w:val="19"/>
        </w:rPr>
        <w:t xml:space="preserve">further </w:t>
      </w:r>
      <w:r w:rsidRPr="006575AE">
        <w:rPr>
          <w:rFonts w:asciiTheme="minorHAnsi" w:hAnsiTheme="minorHAnsi" w:cstheme="minorHAnsi"/>
          <w:color w:val="5F5F5F"/>
          <w:szCs w:val="19"/>
        </w:rPr>
        <w:t>drilling campaign in 2017.</w:t>
      </w:r>
    </w:p>
    <w:p w:rsidR="006575AE" w:rsidRPr="00A162E1" w:rsidRDefault="006D1167" w:rsidP="00A162E1">
      <w:pPr>
        <w:spacing w:after="120"/>
        <w:rPr>
          <w:rFonts w:asciiTheme="minorHAnsi" w:hAnsiTheme="minorHAnsi" w:cstheme="minorHAnsi"/>
          <w:color w:val="5F5F5F"/>
          <w:szCs w:val="19"/>
        </w:rPr>
      </w:pPr>
      <w:r>
        <w:rPr>
          <w:rFonts w:asciiTheme="minorHAnsi" w:hAnsiTheme="minorHAnsi" w:cstheme="minorHAnsi"/>
          <w:color w:val="5F5F5F"/>
          <w:szCs w:val="19"/>
        </w:rPr>
        <w:t>Net p</w:t>
      </w:r>
      <w:r w:rsidR="006575AE" w:rsidRPr="00A162E1">
        <w:rPr>
          <w:rFonts w:asciiTheme="minorHAnsi" w:hAnsiTheme="minorHAnsi" w:cstheme="minorHAnsi"/>
          <w:color w:val="5F5F5F"/>
          <w:szCs w:val="19"/>
        </w:rPr>
        <w:t xml:space="preserve">roduction from the Okume Complex has been stable but marginally below expectations, averaging </w:t>
      </w:r>
      <w:r w:rsidR="006345F8" w:rsidRPr="00A162E1">
        <w:rPr>
          <w:rFonts w:asciiTheme="minorHAnsi" w:hAnsiTheme="minorHAnsi" w:cstheme="minorHAnsi"/>
          <w:color w:val="5F5F5F"/>
          <w:szCs w:val="19"/>
        </w:rPr>
        <w:t>6,200</w:t>
      </w:r>
      <w:r w:rsidR="006575AE" w:rsidRPr="00A162E1">
        <w:rPr>
          <w:rFonts w:asciiTheme="minorHAnsi" w:hAnsiTheme="minorHAnsi" w:cstheme="minorHAnsi"/>
          <w:color w:val="5F5F5F"/>
          <w:szCs w:val="19"/>
        </w:rPr>
        <w:t xml:space="preserve"> </w:t>
      </w:r>
      <w:r w:rsidR="00A86670">
        <w:rPr>
          <w:rFonts w:asciiTheme="minorHAnsi" w:hAnsiTheme="minorHAnsi" w:cstheme="minorHAnsi"/>
          <w:color w:val="5F5F5F"/>
          <w:szCs w:val="19"/>
        </w:rPr>
        <w:t xml:space="preserve">bopd </w:t>
      </w:r>
      <w:r w:rsidR="006575AE" w:rsidRPr="00A162E1">
        <w:rPr>
          <w:rFonts w:asciiTheme="minorHAnsi" w:hAnsiTheme="minorHAnsi" w:cstheme="minorHAnsi"/>
          <w:color w:val="5F5F5F"/>
          <w:szCs w:val="19"/>
        </w:rPr>
        <w:t xml:space="preserve">for the full year. </w:t>
      </w:r>
      <w:r w:rsidR="005A02DA">
        <w:rPr>
          <w:rFonts w:asciiTheme="minorHAnsi" w:hAnsiTheme="minorHAnsi" w:cstheme="minorHAnsi"/>
          <w:color w:val="5F5F5F"/>
          <w:szCs w:val="19"/>
        </w:rPr>
        <w:t xml:space="preserve">A </w:t>
      </w:r>
      <w:r w:rsidR="00AF70F1" w:rsidRPr="00A162E1">
        <w:rPr>
          <w:rFonts w:asciiTheme="minorHAnsi" w:hAnsiTheme="minorHAnsi" w:cstheme="minorHAnsi"/>
          <w:color w:val="5F5F5F"/>
          <w:szCs w:val="19"/>
        </w:rPr>
        <w:t>major infill drilling programme of 14 wells</w:t>
      </w:r>
      <w:r w:rsidR="006575AE" w:rsidRPr="00A162E1">
        <w:rPr>
          <w:rFonts w:asciiTheme="minorHAnsi" w:hAnsiTheme="minorHAnsi" w:cstheme="minorHAnsi"/>
          <w:color w:val="5F5F5F"/>
          <w:szCs w:val="19"/>
        </w:rPr>
        <w:t xml:space="preserve"> commenced in October 2013 and is expected to continue until mid-2016</w:t>
      </w:r>
      <w:r w:rsidR="005A02DA">
        <w:rPr>
          <w:rFonts w:asciiTheme="minorHAnsi" w:hAnsiTheme="minorHAnsi" w:cstheme="minorHAnsi"/>
          <w:color w:val="5F5F5F"/>
          <w:szCs w:val="19"/>
        </w:rPr>
        <w:t xml:space="preserve"> </w:t>
      </w:r>
      <w:r w:rsidR="00A8510D">
        <w:rPr>
          <w:rFonts w:asciiTheme="minorHAnsi" w:hAnsiTheme="minorHAnsi" w:cstheme="minorHAnsi"/>
          <w:color w:val="5F5F5F"/>
          <w:szCs w:val="19"/>
        </w:rPr>
        <w:t>which should</w:t>
      </w:r>
      <w:r w:rsidR="005A02DA" w:rsidRPr="00A162E1">
        <w:rPr>
          <w:rFonts w:asciiTheme="minorHAnsi" w:hAnsiTheme="minorHAnsi" w:cstheme="minorHAnsi"/>
          <w:color w:val="5F5F5F"/>
          <w:szCs w:val="19"/>
        </w:rPr>
        <w:t xml:space="preserve"> significantly </w:t>
      </w:r>
      <w:r w:rsidR="005A02DA">
        <w:rPr>
          <w:rFonts w:asciiTheme="minorHAnsi" w:hAnsiTheme="minorHAnsi" w:cstheme="minorHAnsi"/>
          <w:color w:val="5F5F5F"/>
          <w:szCs w:val="19"/>
        </w:rPr>
        <w:t>enhance production and the life of this asset.</w:t>
      </w:r>
      <w:r w:rsidR="005A02DA" w:rsidRPr="00A162E1">
        <w:rPr>
          <w:rFonts w:asciiTheme="minorHAnsi" w:hAnsiTheme="minorHAnsi" w:cstheme="minorHAnsi"/>
          <w:color w:val="5F5F5F"/>
          <w:szCs w:val="19"/>
        </w:rPr>
        <w:t xml:space="preserve">  </w:t>
      </w:r>
    </w:p>
    <w:p w:rsidR="00DC37D5" w:rsidRPr="00A162E1" w:rsidRDefault="00DC37D5" w:rsidP="00DC37D5">
      <w:pPr>
        <w:pStyle w:val="Default"/>
        <w:spacing w:before="240" w:after="40"/>
        <w:jc w:val="both"/>
        <w:rPr>
          <w:rFonts w:asciiTheme="minorHAnsi" w:hAnsiTheme="minorHAnsi" w:cstheme="minorHAnsi"/>
          <w:b/>
          <w:color w:val="00305C"/>
          <w:sz w:val="22"/>
          <w:szCs w:val="22"/>
          <w:lang w:val="en-GB"/>
        </w:rPr>
      </w:pPr>
      <w:r w:rsidRPr="00A162E1">
        <w:rPr>
          <w:rFonts w:asciiTheme="minorHAnsi" w:hAnsiTheme="minorHAnsi" w:cstheme="minorHAnsi"/>
          <w:b/>
          <w:color w:val="00305C"/>
          <w:sz w:val="22"/>
          <w:szCs w:val="22"/>
          <w:lang w:val="en-GB"/>
        </w:rPr>
        <w:t>Côte d’Ivoire</w:t>
      </w:r>
    </w:p>
    <w:p w:rsidR="00DC37D5" w:rsidRDefault="00DC37D5" w:rsidP="00DC37D5">
      <w:pPr>
        <w:spacing w:after="120"/>
        <w:rPr>
          <w:rFonts w:asciiTheme="minorHAnsi" w:hAnsiTheme="minorHAnsi" w:cstheme="minorHAnsi"/>
          <w:color w:val="5F5F5F"/>
          <w:szCs w:val="19"/>
        </w:rPr>
      </w:pPr>
      <w:r w:rsidRPr="00A162E1">
        <w:rPr>
          <w:rFonts w:asciiTheme="minorHAnsi" w:hAnsiTheme="minorHAnsi" w:cstheme="minorHAnsi"/>
          <w:color w:val="5F5F5F"/>
          <w:szCs w:val="19"/>
        </w:rPr>
        <w:t>The Calao-1X exploration well in Block CI-103 was completed in May 2013, with the well encountering non-commercial gas condensate.</w:t>
      </w:r>
      <w:r w:rsidRPr="006575AE">
        <w:rPr>
          <w:rFonts w:asciiTheme="minorHAnsi" w:hAnsiTheme="minorHAnsi" w:cstheme="minorHAnsi"/>
          <w:color w:val="5F5F5F"/>
          <w:szCs w:val="19"/>
        </w:rPr>
        <w:t xml:space="preserve"> In December 2013, Tullow announced that the Paon-2A appraisal well in the CI-103 licence offshore Côte d’Ivoire </w:t>
      </w:r>
      <w:r>
        <w:rPr>
          <w:rFonts w:asciiTheme="minorHAnsi" w:hAnsiTheme="minorHAnsi" w:cstheme="minorHAnsi"/>
          <w:color w:val="5F5F5F"/>
          <w:szCs w:val="19"/>
        </w:rPr>
        <w:t xml:space="preserve">had </w:t>
      </w:r>
      <w:r w:rsidRPr="006575AE">
        <w:rPr>
          <w:rFonts w:asciiTheme="minorHAnsi" w:hAnsiTheme="minorHAnsi" w:cstheme="minorHAnsi"/>
          <w:color w:val="5F5F5F"/>
          <w:szCs w:val="19"/>
        </w:rPr>
        <w:t>determined the down-dip extent of the Paon oil accumulation. The well encountered the water below the oil accumulation discovered at the Paon-1X well and pressure logging has located the likely oil water contact and a</w:t>
      </w:r>
      <w:r>
        <w:rPr>
          <w:rFonts w:asciiTheme="minorHAnsi" w:hAnsiTheme="minorHAnsi" w:cstheme="minorHAnsi"/>
          <w:color w:val="5F5F5F"/>
          <w:szCs w:val="19"/>
        </w:rPr>
        <w:t>n estimated</w:t>
      </w:r>
      <w:r w:rsidRPr="006575AE">
        <w:rPr>
          <w:rFonts w:asciiTheme="minorHAnsi" w:hAnsiTheme="minorHAnsi" w:cstheme="minorHAnsi"/>
          <w:color w:val="5F5F5F"/>
          <w:szCs w:val="19"/>
        </w:rPr>
        <w:t xml:space="preserve"> hydrocarbon column of 700 metres.</w:t>
      </w:r>
      <w:r>
        <w:rPr>
          <w:rFonts w:asciiTheme="minorHAnsi" w:hAnsiTheme="minorHAnsi" w:cstheme="minorHAnsi"/>
          <w:color w:val="5F5F5F"/>
          <w:szCs w:val="19"/>
        </w:rPr>
        <w:t xml:space="preserve"> </w:t>
      </w:r>
      <w:r w:rsidRPr="00540F25">
        <w:rPr>
          <w:rFonts w:asciiTheme="minorHAnsi" w:hAnsiTheme="minorHAnsi" w:cstheme="minorHAnsi"/>
          <w:color w:val="5F5F5F"/>
          <w:szCs w:val="19"/>
        </w:rPr>
        <w:t xml:space="preserve">Tullow </w:t>
      </w:r>
      <w:r>
        <w:rPr>
          <w:rFonts w:asciiTheme="minorHAnsi" w:hAnsiTheme="minorHAnsi" w:cstheme="minorHAnsi"/>
          <w:color w:val="5F5F5F"/>
          <w:szCs w:val="19"/>
        </w:rPr>
        <w:t>and the block partners are currently</w:t>
      </w:r>
      <w:r w:rsidRPr="00540F25">
        <w:rPr>
          <w:rFonts w:asciiTheme="minorHAnsi" w:hAnsiTheme="minorHAnsi" w:cstheme="minorHAnsi"/>
          <w:color w:val="5F5F5F"/>
          <w:szCs w:val="19"/>
        </w:rPr>
        <w:t xml:space="preserve"> reviewing options </w:t>
      </w:r>
      <w:r>
        <w:rPr>
          <w:rFonts w:asciiTheme="minorHAnsi" w:hAnsiTheme="minorHAnsi" w:cstheme="minorHAnsi"/>
          <w:color w:val="5F5F5F"/>
          <w:szCs w:val="19"/>
        </w:rPr>
        <w:t xml:space="preserve">for the way forward. </w:t>
      </w:r>
    </w:p>
    <w:p w:rsidR="00DC37D5" w:rsidRDefault="00DC37D5" w:rsidP="00DC37D5">
      <w:pPr>
        <w:spacing w:after="120"/>
        <w:rPr>
          <w:rFonts w:asciiTheme="minorHAnsi" w:hAnsiTheme="minorHAnsi" w:cstheme="minorHAnsi"/>
          <w:color w:val="5F5F5F"/>
          <w:szCs w:val="19"/>
        </w:rPr>
      </w:pPr>
      <w:r>
        <w:rPr>
          <w:rFonts w:asciiTheme="minorHAnsi" w:hAnsiTheme="minorHAnsi" w:cstheme="minorHAnsi"/>
          <w:color w:val="5F5F5F"/>
          <w:szCs w:val="19"/>
        </w:rPr>
        <w:t>The</w:t>
      </w:r>
      <w:r w:rsidRPr="006575AE">
        <w:rPr>
          <w:rFonts w:asciiTheme="minorHAnsi" w:hAnsiTheme="minorHAnsi" w:cstheme="minorHAnsi"/>
          <w:color w:val="5F5F5F"/>
          <w:szCs w:val="19"/>
        </w:rPr>
        <w:t xml:space="preserve"> </w:t>
      </w:r>
      <w:r>
        <w:rPr>
          <w:rFonts w:asciiTheme="minorHAnsi" w:hAnsiTheme="minorHAnsi" w:cstheme="minorHAnsi"/>
          <w:color w:val="5F5F5F"/>
          <w:szCs w:val="19"/>
        </w:rPr>
        <w:t xml:space="preserve">infill </w:t>
      </w:r>
      <w:r w:rsidRPr="006575AE">
        <w:rPr>
          <w:rFonts w:asciiTheme="minorHAnsi" w:hAnsiTheme="minorHAnsi" w:cstheme="minorHAnsi"/>
          <w:color w:val="5F5F5F"/>
          <w:szCs w:val="19"/>
        </w:rPr>
        <w:t xml:space="preserve">drilling campaign </w:t>
      </w:r>
      <w:r w:rsidRPr="00A162E1">
        <w:rPr>
          <w:rFonts w:asciiTheme="minorHAnsi" w:hAnsiTheme="minorHAnsi" w:cstheme="minorHAnsi"/>
          <w:color w:val="5F5F5F"/>
          <w:szCs w:val="19"/>
        </w:rPr>
        <w:t>in the East and West Espoir</w:t>
      </w:r>
      <w:r w:rsidRPr="006575AE">
        <w:rPr>
          <w:rFonts w:asciiTheme="minorHAnsi" w:hAnsiTheme="minorHAnsi" w:cstheme="minorHAnsi"/>
          <w:color w:val="5F5F5F"/>
          <w:szCs w:val="19"/>
        </w:rPr>
        <w:t xml:space="preserve"> fields was delayed in 2013 due to</w:t>
      </w:r>
      <w:r w:rsidRPr="00A162E1">
        <w:rPr>
          <w:rFonts w:asciiTheme="minorHAnsi" w:hAnsiTheme="minorHAnsi" w:cstheme="minorHAnsi"/>
          <w:color w:val="5F5F5F"/>
          <w:szCs w:val="19"/>
        </w:rPr>
        <w:t xml:space="preserve"> performance problems with the drilling contractor. The delay to this activity was partially</w:t>
      </w:r>
      <w:r w:rsidRPr="006575AE">
        <w:rPr>
          <w:rFonts w:asciiTheme="minorHAnsi" w:hAnsiTheme="minorHAnsi" w:cstheme="minorHAnsi"/>
          <w:color w:val="5F5F5F"/>
          <w:szCs w:val="19"/>
        </w:rPr>
        <w:t xml:space="preserve"> offset by good facilities uptime and gas production performance</w:t>
      </w:r>
      <w:r w:rsidRPr="00A162E1">
        <w:rPr>
          <w:rFonts w:asciiTheme="minorHAnsi" w:hAnsiTheme="minorHAnsi" w:cstheme="minorHAnsi"/>
          <w:color w:val="5F5F5F"/>
          <w:szCs w:val="19"/>
        </w:rPr>
        <w:t xml:space="preserve"> from the field resulting in net production for the year of 3,500 boepd. </w:t>
      </w:r>
      <w:r w:rsidRPr="006575AE">
        <w:rPr>
          <w:rFonts w:asciiTheme="minorHAnsi" w:hAnsiTheme="minorHAnsi" w:cstheme="minorHAnsi"/>
          <w:color w:val="5F5F5F"/>
          <w:szCs w:val="19"/>
        </w:rPr>
        <w:t xml:space="preserve">The operator is currently well advanced in procuring an alternative drilling unit </w:t>
      </w:r>
      <w:r w:rsidRPr="00A162E1">
        <w:rPr>
          <w:rFonts w:asciiTheme="minorHAnsi" w:hAnsiTheme="minorHAnsi" w:cstheme="minorHAnsi"/>
          <w:color w:val="5F5F5F"/>
          <w:szCs w:val="19"/>
        </w:rPr>
        <w:t xml:space="preserve">for the </w:t>
      </w:r>
      <w:r w:rsidRPr="006575AE">
        <w:rPr>
          <w:rFonts w:asciiTheme="minorHAnsi" w:hAnsiTheme="minorHAnsi" w:cstheme="minorHAnsi"/>
          <w:color w:val="5F5F5F"/>
          <w:szCs w:val="19"/>
        </w:rPr>
        <w:t>11-well campaign</w:t>
      </w:r>
      <w:r w:rsidRPr="00A162E1">
        <w:rPr>
          <w:rFonts w:asciiTheme="minorHAnsi" w:hAnsiTheme="minorHAnsi" w:cstheme="minorHAnsi"/>
          <w:color w:val="5F5F5F"/>
          <w:szCs w:val="19"/>
        </w:rPr>
        <w:t xml:space="preserve"> which is now expected to commence in the second half of 2014. This campaign will have a significant impact on field production in the latter part of 2014 and future years. </w:t>
      </w:r>
    </w:p>
    <w:p w:rsidR="006575AE" w:rsidRPr="00FB358D" w:rsidRDefault="006575AE" w:rsidP="006B4FE1">
      <w:pPr>
        <w:pStyle w:val="Default"/>
        <w:spacing w:before="240" w:after="40"/>
        <w:jc w:val="both"/>
        <w:rPr>
          <w:rFonts w:asciiTheme="minorHAnsi" w:hAnsiTheme="minorHAnsi" w:cstheme="minorHAnsi"/>
          <w:b/>
          <w:color w:val="00305C"/>
          <w:sz w:val="22"/>
          <w:szCs w:val="22"/>
          <w:lang w:val="en-GB"/>
        </w:rPr>
      </w:pPr>
      <w:r w:rsidRPr="00FB358D">
        <w:rPr>
          <w:rFonts w:asciiTheme="minorHAnsi" w:hAnsiTheme="minorHAnsi" w:cstheme="minorHAnsi"/>
          <w:b/>
          <w:color w:val="00305C"/>
          <w:sz w:val="22"/>
          <w:szCs w:val="22"/>
          <w:lang w:val="en-GB"/>
        </w:rPr>
        <w:t>Congo (Brazzaville)</w:t>
      </w:r>
    </w:p>
    <w:p w:rsidR="0028730B" w:rsidRPr="006575AE" w:rsidRDefault="006575AE" w:rsidP="006575AE">
      <w:pPr>
        <w:rPr>
          <w:rFonts w:asciiTheme="minorHAnsi" w:eastAsia="Calibri" w:hAnsiTheme="minorHAnsi" w:cstheme="minorHAnsi"/>
          <w:color w:val="5F5F5F"/>
          <w:szCs w:val="19"/>
        </w:rPr>
      </w:pPr>
      <w:r w:rsidRPr="006575AE">
        <w:rPr>
          <w:rFonts w:asciiTheme="minorHAnsi" w:hAnsiTheme="minorHAnsi" w:cstheme="minorHAnsi"/>
          <w:color w:val="5F5F5F"/>
          <w:szCs w:val="19"/>
        </w:rPr>
        <w:t>M</w:t>
      </w:r>
      <w:r w:rsidR="00DC37D5">
        <w:rPr>
          <w:rFonts w:asciiTheme="minorHAnsi" w:hAnsiTheme="minorHAnsi" w:cstheme="minorHAnsi"/>
          <w:color w:val="5F5F5F"/>
          <w:szCs w:val="19"/>
        </w:rPr>
        <w:t>’B</w:t>
      </w:r>
      <w:r w:rsidRPr="006575AE">
        <w:rPr>
          <w:rFonts w:asciiTheme="minorHAnsi" w:hAnsiTheme="minorHAnsi" w:cstheme="minorHAnsi"/>
          <w:color w:val="5F5F5F"/>
          <w:szCs w:val="19"/>
        </w:rPr>
        <w:t xml:space="preserve">oundi field </w:t>
      </w:r>
      <w:r w:rsidR="005D4781">
        <w:rPr>
          <w:rFonts w:asciiTheme="minorHAnsi" w:hAnsiTheme="minorHAnsi" w:cstheme="minorHAnsi"/>
          <w:color w:val="5F5F5F"/>
          <w:szCs w:val="19"/>
        </w:rPr>
        <w:t xml:space="preserve">production </w:t>
      </w:r>
      <w:r w:rsidRPr="006575AE">
        <w:rPr>
          <w:rFonts w:asciiTheme="minorHAnsi" w:hAnsiTheme="minorHAnsi" w:cstheme="minorHAnsi"/>
          <w:color w:val="5F5F5F"/>
          <w:szCs w:val="19"/>
        </w:rPr>
        <w:t>was stable throughout 2013,</w:t>
      </w:r>
      <w:r w:rsidR="00A5650F">
        <w:rPr>
          <w:rFonts w:asciiTheme="minorHAnsi" w:hAnsiTheme="minorHAnsi" w:cstheme="minorHAnsi"/>
          <w:color w:val="5F5F5F"/>
          <w:szCs w:val="19"/>
        </w:rPr>
        <w:t xml:space="preserve"> averaging 2,</w:t>
      </w:r>
      <w:r w:rsidR="009E3D53">
        <w:rPr>
          <w:rFonts w:asciiTheme="minorHAnsi" w:hAnsiTheme="minorHAnsi" w:cstheme="minorHAnsi"/>
          <w:color w:val="5F5F5F"/>
          <w:szCs w:val="19"/>
        </w:rPr>
        <w:t>60</w:t>
      </w:r>
      <w:r w:rsidR="00A5650F">
        <w:rPr>
          <w:rFonts w:asciiTheme="minorHAnsi" w:hAnsiTheme="minorHAnsi" w:cstheme="minorHAnsi"/>
          <w:color w:val="5F5F5F"/>
          <w:szCs w:val="19"/>
        </w:rPr>
        <w:t xml:space="preserve">0 </w:t>
      </w:r>
      <w:r w:rsidR="007268C4">
        <w:rPr>
          <w:rFonts w:asciiTheme="minorHAnsi" w:hAnsiTheme="minorHAnsi" w:cstheme="minorHAnsi"/>
          <w:color w:val="5F5F5F"/>
          <w:szCs w:val="19"/>
        </w:rPr>
        <w:t>boepd</w:t>
      </w:r>
      <w:r w:rsidR="006D1167">
        <w:rPr>
          <w:rFonts w:asciiTheme="minorHAnsi" w:hAnsiTheme="minorHAnsi" w:cstheme="minorHAnsi"/>
          <w:color w:val="5F5F5F"/>
          <w:szCs w:val="19"/>
        </w:rPr>
        <w:t xml:space="preserve"> net</w:t>
      </w:r>
      <w:r w:rsidR="007268C4">
        <w:rPr>
          <w:rFonts w:asciiTheme="minorHAnsi" w:hAnsiTheme="minorHAnsi" w:cstheme="minorHAnsi"/>
          <w:color w:val="5F5F5F"/>
          <w:szCs w:val="19"/>
        </w:rPr>
        <w:t>,</w:t>
      </w:r>
      <w:r w:rsidRPr="006575AE">
        <w:rPr>
          <w:rFonts w:asciiTheme="minorHAnsi" w:hAnsiTheme="minorHAnsi" w:cstheme="minorHAnsi"/>
          <w:color w:val="5F5F5F"/>
          <w:szCs w:val="19"/>
        </w:rPr>
        <w:t xml:space="preserve"> with </w:t>
      </w:r>
      <w:r w:rsidR="00ED6D17">
        <w:rPr>
          <w:rFonts w:asciiTheme="minorHAnsi" w:hAnsiTheme="minorHAnsi" w:cstheme="minorHAnsi"/>
          <w:color w:val="5F5F5F"/>
          <w:szCs w:val="19"/>
        </w:rPr>
        <w:t xml:space="preserve">a </w:t>
      </w:r>
      <w:r w:rsidRPr="006575AE">
        <w:rPr>
          <w:rFonts w:asciiTheme="minorHAnsi" w:hAnsiTheme="minorHAnsi" w:cstheme="minorHAnsi"/>
          <w:color w:val="5F5F5F"/>
          <w:szCs w:val="19"/>
        </w:rPr>
        <w:t>strong contribution from the southeast region</w:t>
      </w:r>
      <w:r w:rsidRPr="006575AE">
        <w:rPr>
          <w:rFonts w:asciiTheme="minorHAnsi" w:hAnsiTheme="minorHAnsi" w:cstheme="minorHAnsi"/>
          <w:color w:val="595959" w:themeColor="text1" w:themeTint="A6"/>
          <w:szCs w:val="19"/>
          <w:lang w:bidi="en-US"/>
        </w:rPr>
        <w:t xml:space="preserve"> of the</w:t>
      </w:r>
      <w:r w:rsidRPr="006575AE">
        <w:rPr>
          <w:rFonts w:asciiTheme="minorHAnsi" w:hAnsiTheme="minorHAnsi" w:cstheme="minorHAnsi"/>
          <w:color w:val="5F5F5F"/>
          <w:szCs w:val="19"/>
        </w:rPr>
        <w:t xml:space="preserve"> field</w:t>
      </w:r>
      <w:r w:rsidRPr="006575AE">
        <w:rPr>
          <w:rFonts w:asciiTheme="minorHAnsi" w:hAnsiTheme="minorHAnsi" w:cstheme="minorHAnsi"/>
          <w:color w:val="595959" w:themeColor="text1" w:themeTint="A6"/>
          <w:szCs w:val="19"/>
          <w:lang w:bidi="en-US"/>
        </w:rPr>
        <w:t xml:space="preserve"> following the discovery of a southeast extension in 2012. To optimise performance, f</w:t>
      </w:r>
      <w:r w:rsidRPr="006575AE">
        <w:rPr>
          <w:rFonts w:asciiTheme="minorHAnsi" w:hAnsiTheme="minorHAnsi" w:cstheme="minorHAnsi"/>
          <w:color w:val="5F5F5F"/>
          <w:szCs w:val="19"/>
        </w:rPr>
        <w:t>our infill wells have been completed in the past six months and the rig count for 2014 will increase from one to three, allowing up to 16 wells to be delivered per year as part of the field redevelopment strategy.</w:t>
      </w:r>
    </w:p>
    <w:p w:rsidR="00DC37D5" w:rsidRDefault="00DC37D5" w:rsidP="00DC37D5">
      <w:pPr>
        <w:pStyle w:val="Default"/>
        <w:spacing w:before="240" w:after="40"/>
        <w:jc w:val="both"/>
        <w:rPr>
          <w:rFonts w:asciiTheme="minorHAnsi" w:hAnsiTheme="minorHAnsi" w:cstheme="minorHAnsi"/>
          <w:b/>
          <w:color w:val="00305C"/>
          <w:sz w:val="22"/>
          <w:szCs w:val="22"/>
          <w:lang w:val="en-GB"/>
        </w:rPr>
      </w:pPr>
    </w:p>
    <w:p w:rsidR="00DC37D5" w:rsidRDefault="00DC37D5" w:rsidP="00DC37D5">
      <w:pPr>
        <w:pStyle w:val="Default"/>
        <w:spacing w:before="240" w:after="40"/>
        <w:jc w:val="both"/>
        <w:rPr>
          <w:rFonts w:asciiTheme="minorHAnsi" w:hAnsiTheme="minorHAnsi" w:cstheme="minorHAnsi"/>
          <w:b/>
          <w:color w:val="00305C"/>
          <w:sz w:val="22"/>
          <w:szCs w:val="22"/>
          <w:lang w:val="en-GB"/>
        </w:rPr>
      </w:pPr>
    </w:p>
    <w:p w:rsidR="00DC37D5" w:rsidRPr="00A162E1" w:rsidRDefault="00DC37D5" w:rsidP="00DC37D5">
      <w:pPr>
        <w:pStyle w:val="Default"/>
        <w:spacing w:before="240" w:after="40"/>
        <w:jc w:val="both"/>
        <w:rPr>
          <w:rFonts w:asciiTheme="minorHAnsi" w:hAnsiTheme="minorHAnsi" w:cstheme="minorHAnsi"/>
          <w:b/>
          <w:color w:val="00305C"/>
          <w:sz w:val="22"/>
          <w:szCs w:val="22"/>
          <w:lang w:val="en-GB"/>
        </w:rPr>
      </w:pPr>
      <w:r w:rsidRPr="00A162E1">
        <w:rPr>
          <w:rFonts w:asciiTheme="minorHAnsi" w:hAnsiTheme="minorHAnsi" w:cstheme="minorHAnsi"/>
          <w:b/>
          <w:color w:val="00305C"/>
          <w:sz w:val="22"/>
          <w:szCs w:val="22"/>
          <w:lang w:val="en-GB"/>
        </w:rPr>
        <w:t>Guinea</w:t>
      </w:r>
    </w:p>
    <w:p w:rsidR="00DC37D5" w:rsidRPr="006575AE" w:rsidRDefault="00DC37D5" w:rsidP="00DC37D5">
      <w:pPr>
        <w:rPr>
          <w:rFonts w:asciiTheme="minorHAnsi" w:hAnsiTheme="minorHAnsi" w:cstheme="minorHAnsi"/>
          <w:b/>
          <w:color w:val="002B45"/>
          <w:szCs w:val="19"/>
        </w:rPr>
      </w:pPr>
      <w:r w:rsidRPr="006575AE">
        <w:rPr>
          <w:rFonts w:asciiTheme="minorHAnsi" w:hAnsiTheme="minorHAnsi" w:cstheme="minorHAnsi"/>
          <w:color w:val="5F5F5F"/>
          <w:szCs w:val="19"/>
        </w:rPr>
        <w:t>Tullow and its p</w:t>
      </w:r>
      <w:r w:rsidRPr="006575AE">
        <w:rPr>
          <w:rFonts w:asciiTheme="minorHAnsi" w:hAnsiTheme="minorHAnsi" w:cstheme="minorHAnsi"/>
          <w:color w:val="595959" w:themeColor="text1" w:themeTint="A6"/>
          <w:szCs w:val="19"/>
          <w:lang w:bidi="en-US"/>
        </w:rPr>
        <w:t xml:space="preserve">artners are processing </w:t>
      </w:r>
      <w:r w:rsidRPr="006575AE">
        <w:rPr>
          <w:rFonts w:asciiTheme="minorHAnsi" w:hAnsiTheme="minorHAnsi" w:cstheme="minorHAnsi"/>
          <w:color w:val="5F5F5F"/>
          <w:szCs w:val="19"/>
        </w:rPr>
        <w:t>4,000 sq km of</w:t>
      </w:r>
      <w:r w:rsidRPr="006575AE">
        <w:rPr>
          <w:rFonts w:asciiTheme="minorHAnsi" w:hAnsiTheme="minorHAnsi" w:cstheme="minorHAnsi"/>
          <w:color w:val="595959" w:themeColor="text1" w:themeTint="A6"/>
          <w:szCs w:val="19"/>
          <w:lang w:bidi="en-US"/>
        </w:rPr>
        <w:t xml:space="preserve"> 3D data as preparations continue</w:t>
      </w:r>
      <w:r w:rsidRPr="006575AE">
        <w:rPr>
          <w:rFonts w:asciiTheme="minorHAnsi" w:hAnsiTheme="minorHAnsi" w:cstheme="minorHAnsi"/>
          <w:color w:val="000000"/>
          <w:szCs w:val="19"/>
          <w:lang w:val="en-ZA"/>
        </w:rPr>
        <w:t xml:space="preserve"> </w:t>
      </w:r>
      <w:r w:rsidRPr="006575AE">
        <w:rPr>
          <w:rFonts w:asciiTheme="minorHAnsi" w:hAnsiTheme="minorHAnsi" w:cstheme="minorHAnsi"/>
          <w:color w:val="595959" w:themeColor="text1" w:themeTint="A6"/>
          <w:szCs w:val="19"/>
          <w:lang w:bidi="en-US"/>
        </w:rPr>
        <w:t xml:space="preserve">to begin drilling the deepwater </w:t>
      </w:r>
      <w:r w:rsidRPr="006575AE">
        <w:rPr>
          <w:rFonts w:asciiTheme="minorHAnsi" w:hAnsiTheme="minorHAnsi" w:cstheme="minorHAnsi"/>
          <w:color w:val="5F5F5F"/>
          <w:szCs w:val="19"/>
        </w:rPr>
        <w:t xml:space="preserve">Fatala prospect (formerly named Eos) </w:t>
      </w:r>
      <w:r w:rsidRPr="006575AE">
        <w:rPr>
          <w:rFonts w:asciiTheme="minorHAnsi" w:hAnsiTheme="minorHAnsi" w:cstheme="minorHAnsi"/>
          <w:color w:val="595959" w:themeColor="text1" w:themeTint="A6"/>
          <w:szCs w:val="19"/>
          <w:lang w:bidi="en-US"/>
        </w:rPr>
        <w:t>in</w:t>
      </w:r>
      <w:r w:rsidRPr="006575AE">
        <w:rPr>
          <w:rFonts w:asciiTheme="minorHAnsi" w:hAnsiTheme="minorHAnsi" w:cstheme="minorHAnsi"/>
          <w:color w:val="5F5F5F"/>
          <w:szCs w:val="19"/>
        </w:rPr>
        <w:t xml:space="preserve"> the second quarter of 2014</w:t>
      </w:r>
      <w:r w:rsidRPr="006575AE">
        <w:rPr>
          <w:rFonts w:asciiTheme="minorHAnsi" w:hAnsiTheme="minorHAnsi" w:cstheme="minorHAnsi"/>
          <w:color w:val="595959" w:themeColor="text1" w:themeTint="A6"/>
          <w:szCs w:val="19"/>
          <w:lang w:bidi="en-US"/>
        </w:rPr>
        <w:t>. Tullow took over operatorship of the exploration concession in April 2013.</w:t>
      </w:r>
    </w:p>
    <w:p w:rsidR="00DC37D5" w:rsidRPr="00A162E1" w:rsidRDefault="00DC37D5" w:rsidP="00DC37D5">
      <w:pPr>
        <w:pStyle w:val="Default"/>
        <w:spacing w:before="240" w:after="40"/>
        <w:jc w:val="both"/>
        <w:rPr>
          <w:rFonts w:asciiTheme="minorHAnsi" w:hAnsiTheme="minorHAnsi" w:cstheme="minorHAnsi"/>
          <w:b/>
          <w:color w:val="00305C"/>
          <w:sz w:val="22"/>
          <w:szCs w:val="22"/>
          <w:lang w:val="en-GB"/>
        </w:rPr>
      </w:pPr>
      <w:r w:rsidRPr="00A162E1">
        <w:rPr>
          <w:rFonts w:asciiTheme="minorHAnsi" w:hAnsiTheme="minorHAnsi" w:cstheme="minorHAnsi"/>
          <w:b/>
          <w:color w:val="00305C"/>
          <w:sz w:val="22"/>
          <w:szCs w:val="22"/>
          <w:lang w:val="en-GB"/>
        </w:rPr>
        <w:t>Liberia and Sierra Leone</w:t>
      </w:r>
    </w:p>
    <w:p w:rsidR="00DC37D5" w:rsidRPr="006575AE" w:rsidRDefault="00DC37D5" w:rsidP="00DC37D5">
      <w:pPr>
        <w:rPr>
          <w:rFonts w:asciiTheme="minorHAnsi" w:hAnsiTheme="minorHAnsi" w:cstheme="minorHAnsi"/>
          <w:color w:val="5F5F5F"/>
          <w:szCs w:val="19"/>
        </w:rPr>
      </w:pPr>
      <w:r w:rsidRPr="006575AE">
        <w:rPr>
          <w:rFonts w:asciiTheme="minorHAnsi" w:hAnsiTheme="minorHAnsi" w:cstheme="minorHAnsi"/>
          <w:color w:val="595959" w:themeColor="text1" w:themeTint="A6"/>
          <w:szCs w:val="19"/>
          <w:lang w:val="en-ZA"/>
        </w:rPr>
        <w:t>In June 2013, Tullow relinquished its interests in Blocks LB-16 and LB-17 offshore Liberia following a detailed review of the results to date from our West Africa Transform Margin acreage.</w:t>
      </w:r>
      <w:r w:rsidRPr="006575AE">
        <w:rPr>
          <w:rFonts w:asciiTheme="minorHAnsi" w:hAnsiTheme="minorHAnsi" w:cstheme="minorHAnsi"/>
          <w:color w:val="5F5F5F"/>
          <w:szCs w:val="19"/>
        </w:rPr>
        <w:t xml:space="preserve"> Tullow</w:t>
      </w:r>
      <w:r>
        <w:rPr>
          <w:rFonts w:asciiTheme="minorHAnsi" w:hAnsiTheme="minorHAnsi" w:cstheme="minorHAnsi"/>
          <w:color w:val="5F5F5F"/>
          <w:szCs w:val="19"/>
        </w:rPr>
        <w:t xml:space="preserve"> retains its </w:t>
      </w:r>
      <w:r w:rsidRPr="006575AE">
        <w:rPr>
          <w:rFonts w:asciiTheme="minorHAnsi" w:hAnsiTheme="minorHAnsi" w:cstheme="minorHAnsi"/>
          <w:color w:val="5F5F5F"/>
          <w:szCs w:val="19"/>
        </w:rPr>
        <w:t>interests</w:t>
      </w:r>
      <w:r>
        <w:rPr>
          <w:rFonts w:asciiTheme="minorHAnsi" w:hAnsiTheme="minorHAnsi" w:cstheme="minorHAnsi"/>
          <w:color w:val="5F5F5F"/>
          <w:szCs w:val="19"/>
        </w:rPr>
        <w:t xml:space="preserve"> in </w:t>
      </w:r>
      <w:r w:rsidRPr="006575AE">
        <w:rPr>
          <w:rFonts w:asciiTheme="minorHAnsi" w:hAnsiTheme="minorHAnsi" w:cstheme="minorHAnsi"/>
          <w:color w:val="5F5F5F"/>
          <w:szCs w:val="19"/>
        </w:rPr>
        <w:t xml:space="preserve">Block 15 in Liberia and block SL-07B-11 in Sierra Leone, </w:t>
      </w:r>
      <w:r>
        <w:rPr>
          <w:rFonts w:asciiTheme="minorHAnsi" w:hAnsiTheme="minorHAnsi" w:cstheme="minorHAnsi"/>
          <w:color w:val="5F5F5F"/>
          <w:szCs w:val="19"/>
        </w:rPr>
        <w:t>and is currently evaluating options for these blocks with partners</w:t>
      </w:r>
      <w:r w:rsidRPr="006575AE">
        <w:rPr>
          <w:rFonts w:asciiTheme="minorHAnsi" w:hAnsiTheme="minorHAnsi" w:cstheme="minorHAnsi"/>
          <w:color w:val="5F5F5F"/>
          <w:szCs w:val="19"/>
        </w:rPr>
        <w:t>.</w:t>
      </w:r>
    </w:p>
    <w:p w:rsidR="0028730B" w:rsidRDefault="0028730B" w:rsidP="008B37A5">
      <w:pPr>
        <w:rPr>
          <w:rFonts w:asciiTheme="minorHAnsi" w:eastAsia="Calibri" w:hAnsiTheme="minorHAnsi" w:cstheme="minorHAnsi"/>
          <w:color w:val="5F5F5F"/>
          <w:szCs w:val="19"/>
        </w:rPr>
      </w:pPr>
    </w:p>
    <w:p w:rsidR="00DB17AC" w:rsidRPr="006575AE" w:rsidRDefault="00DB17AC" w:rsidP="008B37A5">
      <w:pPr>
        <w:rPr>
          <w:rFonts w:asciiTheme="minorHAnsi" w:eastAsia="Calibri" w:hAnsiTheme="minorHAnsi" w:cstheme="minorHAnsi"/>
          <w:color w:val="5F5F5F"/>
          <w:szCs w:val="19"/>
        </w:rPr>
      </w:pPr>
    </w:p>
    <w:p w:rsidR="00AF6F0E" w:rsidRPr="00FB358D" w:rsidRDefault="00AF6F0E" w:rsidP="00FB358D">
      <w:pPr>
        <w:pStyle w:val="StyleHeadingCustomColorRGB1533154"/>
        <w:spacing w:after="120"/>
        <w:outlineLvl w:val="0"/>
        <w:rPr>
          <w:rFonts w:ascii="Calibri" w:hAnsi="Calibri" w:cs="Calibri"/>
          <w:b/>
          <w:color w:val="991F36"/>
          <w:sz w:val="24"/>
          <w:szCs w:val="24"/>
        </w:rPr>
      </w:pPr>
      <w:r w:rsidRPr="00FB358D">
        <w:rPr>
          <w:rFonts w:ascii="Calibri" w:hAnsi="Calibri" w:cs="Calibri"/>
          <w:b/>
          <w:color w:val="991F36"/>
          <w:sz w:val="24"/>
          <w:szCs w:val="24"/>
        </w:rPr>
        <w:t xml:space="preserve">SOUTH AND EAST AFRICA </w:t>
      </w:r>
    </w:p>
    <w:tbl>
      <w:tblPr>
        <w:tblW w:w="9923" w:type="dxa"/>
        <w:tblBorders>
          <w:top w:val="single" w:sz="4" w:space="0" w:color="A6A6A6"/>
          <w:bottom w:val="single" w:sz="4" w:space="0" w:color="A6A6A6"/>
          <w:insideH w:val="single" w:sz="4" w:space="0" w:color="A6A6A6"/>
          <w:insideV w:val="single" w:sz="4" w:space="0" w:color="A6A6A6"/>
        </w:tblBorders>
        <w:tblCellMar>
          <w:left w:w="0" w:type="dxa"/>
          <w:right w:w="0" w:type="dxa"/>
        </w:tblCellMar>
        <w:tblLook w:val="04A0" w:firstRow="1" w:lastRow="0" w:firstColumn="1" w:lastColumn="0" w:noHBand="0" w:noVBand="1"/>
      </w:tblPr>
      <w:tblGrid>
        <w:gridCol w:w="2480"/>
        <w:gridCol w:w="2481"/>
        <w:gridCol w:w="2481"/>
        <w:gridCol w:w="2481"/>
      </w:tblGrid>
      <w:tr w:rsidR="00FB358D" w:rsidRPr="00FB358D" w:rsidTr="00FB358D">
        <w:trPr>
          <w:trHeight w:val="545"/>
        </w:trPr>
        <w:tc>
          <w:tcPr>
            <w:tcW w:w="2480" w:type="dxa"/>
            <w:vAlign w:val="center"/>
          </w:tcPr>
          <w:p w:rsidR="00AF6F0E" w:rsidRPr="00FB358D" w:rsidRDefault="00385C96" w:rsidP="006D3ADD">
            <w:pPr>
              <w:pStyle w:val="StyleCustomColorRGB04369CenteredLeft015cmRight"/>
              <w:ind w:left="0"/>
              <w:rPr>
                <w:rFonts w:ascii="Calibri" w:hAnsi="Calibri" w:cs="Calibri"/>
                <w:color w:val="00305C"/>
              </w:rPr>
            </w:pPr>
            <w:r w:rsidRPr="00FB358D">
              <w:rPr>
                <w:rFonts w:ascii="Calibri" w:hAnsi="Calibri" w:cs="Calibri"/>
                <w:color w:val="00305C"/>
              </w:rPr>
              <w:t>201</w:t>
            </w:r>
            <w:r w:rsidR="00D55054" w:rsidRPr="00FB358D">
              <w:rPr>
                <w:rFonts w:ascii="Calibri" w:hAnsi="Calibri" w:cs="Calibri"/>
                <w:color w:val="00305C"/>
              </w:rPr>
              <w:t>3</w:t>
            </w:r>
            <w:r w:rsidRPr="00FB358D">
              <w:rPr>
                <w:rFonts w:ascii="Calibri" w:hAnsi="Calibri" w:cs="Calibri"/>
                <w:color w:val="00305C"/>
              </w:rPr>
              <w:t xml:space="preserve"> </w:t>
            </w:r>
            <w:r w:rsidR="00AF6F0E" w:rsidRPr="00FB358D">
              <w:rPr>
                <w:rFonts w:ascii="Calibri" w:hAnsi="Calibri" w:cs="Calibri"/>
                <w:color w:val="00305C"/>
              </w:rPr>
              <w:t>production</w:t>
            </w:r>
          </w:p>
          <w:p w:rsidR="00AF6F0E" w:rsidRPr="00FB358D" w:rsidRDefault="00CD1668" w:rsidP="006D3ADD">
            <w:pPr>
              <w:pStyle w:val="StyleCustomColorRGB04369CenteredLeft015cmRight"/>
              <w:ind w:left="0"/>
              <w:rPr>
                <w:rFonts w:ascii="Calibri" w:hAnsi="Calibri" w:cs="Calibri"/>
                <w:color w:val="00305C"/>
                <w:highlight w:val="yellow"/>
              </w:rPr>
            </w:pPr>
            <w:r w:rsidRPr="00FB358D">
              <w:rPr>
                <w:rFonts w:ascii="Calibri" w:hAnsi="Calibri" w:cs="Calibri"/>
                <w:color w:val="00305C"/>
              </w:rPr>
              <w:t>NIL</w:t>
            </w:r>
          </w:p>
        </w:tc>
        <w:tc>
          <w:tcPr>
            <w:tcW w:w="2481" w:type="dxa"/>
            <w:vAlign w:val="center"/>
          </w:tcPr>
          <w:p w:rsidR="00AF6F0E" w:rsidRPr="00FB358D" w:rsidRDefault="00AF6F0E" w:rsidP="006D3ADD">
            <w:pPr>
              <w:pStyle w:val="StyleCustomColorRGB04369CenteredLeft015cmRight"/>
              <w:ind w:left="0"/>
              <w:rPr>
                <w:rFonts w:ascii="Calibri" w:hAnsi="Calibri" w:cs="Calibri"/>
                <w:color w:val="00305C"/>
              </w:rPr>
            </w:pPr>
            <w:r w:rsidRPr="00FB358D">
              <w:rPr>
                <w:rFonts w:ascii="Calibri" w:hAnsi="Calibri" w:cs="Calibri"/>
                <w:color w:val="00305C"/>
              </w:rPr>
              <w:t>Total reserves and resources</w:t>
            </w:r>
          </w:p>
          <w:p w:rsidR="00AF6F0E" w:rsidRPr="00FB358D" w:rsidRDefault="00A5650F" w:rsidP="006D3ADD">
            <w:pPr>
              <w:pStyle w:val="StyleCustomColorRGB04369CenteredLeft015cmRight"/>
              <w:ind w:left="0"/>
              <w:rPr>
                <w:rFonts w:ascii="Calibri" w:hAnsi="Calibri" w:cs="Calibri"/>
                <w:color w:val="00305C"/>
                <w:highlight w:val="yellow"/>
              </w:rPr>
            </w:pPr>
            <w:r w:rsidRPr="00FB358D">
              <w:rPr>
                <w:rFonts w:ascii="Calibri" w:hAnsi="Calibri" w:cs="Calibri"/>
                <w:color w:val="00305C"/>
              </w:rPr>
              <w:t>579.8</w:t>
            </w:r>
            <w:r w:rsidR="00AF6F0E" w:rsidRPr="00FB358D">
              <w:rPr>
                <w:rFonts w:ascii="Calibri" w:hAnsi="Calibri" w:cs="Calibri"/>
                <w:color w:val="00305C"/>
              </w:rPr>
              <w:t xml:space="preserve"> mmboe</w:t>
            </w:r>
          </w:p>
        </w:tc>
        <w:tc>
          <w:tcPr>
            <w:tcW w:w="2481" w:type="dxa"/>
            <w:tcMar>
              <w:left w:w="0" w:type="dxa"/>
              <w:right w:w="0" w:type="dxa"/>
            </w:tcMar>
            <w:vAlign w:val="center"/>
          </w:tcPr>
          <w:p w:rsidR="00AF6F0E" w:rsidRPr="00FB358D" w:rsidRDefault="00D55054" w:rsidP="006D3ADD">
            <w:pPr>
              <w:pStyle w:val="StyleCustomColorRGB04369CenteredLeft015cmRight"/>
              <w:ind w:left="0"/>
              <w:rPr>
                <w:rFonts w:ascii="Calibri" w:hAnsi="Calibri" w:cs="Calibri"/>
                <w:color w:val="00305C"/>
              </w:rPr>
            </w:pPr>
            <w:r w:rsidRPr="00FB358D">
              <w:rPr>
                <w:rFonts w:ascii="Calibri" w:hAnsi="Calibri" w:cs="Calibri"/>
                <w:color w:val="00305C"/>
              </w:rPr>
              <w:t>2013 s</w:t>
            </w:r>
            <w:r w:rsidR="00AF6F0E" w:rsidRPr="00FB358D">
              <w:rPr>
                <w:rFonts w:ascii="Calibri" w:hAnsi="Calibri" w:cs="Calibri"/>
                <w:color w:val="00305C"/>
              </w:rPr>
              <w:t>ales revenue</w:t>
            </w:r>
          </w:p>
          <w:p w:rsidR="00AF6F0E" w:rsidRPr="00FB358D" w:rsidRDefault="00FC0D35" w:rsidP="006D3ADD">
            <w:pPr>
              <w:pStyle w:val="StyleCustomColorRGB04369CenteredLeft015cmRight"/>
              <w:ind w:left="0"/>
              <w:rPr>
                <w:rFonts w:ascii="Calibri" w:hAnsi="Calibri" w:cs="Calibri"/>
                <w:color w:val="00305C"/>
                <w:highlight w:val="yellow"/>
              </w:rPr>
            </w:pPr>
            <w:r w:rsidRPr="00FB358D">
              <w:rPr>
                <w:rFonts w:ascii="Calibri" w:hAnsi="Calibri" w:cs="Calibri"/>
                <w:color w:val="00305C"/>
              </w:rPr>
              <w:t>NIL</w:t>
            </w:r>
          </w:p>
        </w:tc>
        <w:tc>
          <w:tcPr>
            <w:tcW w:w="2481" w:type="dxa"/>
            <w:tcMar>
              <w:top w:w="57" w:type="dxa"/>
              <w:left w:w="0" w:type="dxa"/>
              <w:bottom w:w="57" w:type="dxa"/>
              <w:right w:w="0" w:type="dxa"/>
            </w:tcMar>
            <w:vAlign w:val="center"/>
          </w:tcPr>
          <w:p w:rsidR="00AF6F0E" w:rsidRPr="00FB358D" w:rsidRDefault="00AF6F0E" w:rsidP="006D3ADD">
            <w:pPr>
              <w:pStyle w:val="StyleCustomColorRGB04369CenteredLeft015cmRight"/>
              <w:ind w:left="0"/>
              <w:rPr>
                <w:rFonts w:ascii="Calibri" w:hAnsi="Calibri" w:cs="Calibri"/>
                <w:color w:val="00305C"/>
              </w:rPr>
            </w:pPr>
            <w:r w:rsidRPr="00FB358D">
              <w:rPr>
                <w:rFonts w:ascii="Calibri" w:hAnsi="Calibri" w:cs="Calibri"/>
                <w:color w:val="00305C"/>
              </w:rPr>
              <w:t>201</w:t>
            </w:r>
            <w:r w:rsidR="00D55054" w:rsidRPr="00FB358D">
              <w:rPr>
                <w:rFonts w:ascii="Calibri" w:hAnsi="Calibri" w:cs="Calibri"/>
                <w:color w:val="00305C"/>
              </w:rPr>
              <w:t>3</w:t>
            </w:r>
            <w:r w:rsidRPr="00FB358D">
              <w:rPr>
                <w:rFonts w:ascii="Calibri" w:hAnsi="Calibri" w:cs="Calibri"/>
                <w:color w:val="00305C"/>
              </w:rPr>
              <w:t xml:space="preserve"> investment</w:t>
            </w:r>
          </w:p>
          <w:p w:rsidR="00AF6F0E" w:rsidRPr="00FB358D" w:rsidRDefault="00AF6F0E" w:rsidP="008C4F13">
            <w:pPr>
              <w:pStyle w:val="StyleCustomColorRGB04369CenteredLeft015cmRight"/>
              <w:ind w:left="0"/>
              <w:rPr>
                <w:rFonts w:ascii="Calibri" w:hAnsi="Calibri" w:cs="Calibri"/>
                <w:color w:val="00305C"/>
                <w:highlight w:val="yellow"/>
              </w:rPr>
            </w:pPr>
            <w:r w:rsidRPr="00B70EB5">
              <w:rPr>
                <w:rFonts w:ascii="Calibri" w:hAnsi="Calibri" w:cs="Calibri"/>
                <w:color w:val="00305C"/>
              </w:rPr>
              <w:t>$</w:t>
            </w:r>
            <w:r w:rsidR="008A3064" w:rsidRPr="00B70EB5">
              <w:rPr>
                <w:rFonts w:ascii="Calibri" w:hAnsi="Calibri" w:cs="Calibri"/>
                <w:color w:val="00305C"/>
              </w:rPr>
              <w:t>515</w:t>
            </w:r>
            <w:r w:rsidRPr="00FB358D">
              <w:rPr>
                <w:rFonts w:ascii="Calibri" w:hAnsi="Calibri" w:cs="Calibri"/>
                <w:color w:val="00305C"/>
              </w:rPr>
              <w:t xml:space="preserve"> million </w:t>
            </w:r>
          </w:p>
        </w:tc>
      </w:tr>
    </w:tbl>
    <w:p w:rsidR="00B70EB5" w:rsidRDefault="00B70EB5" w:rsidP="00CB5CFF">
      <w:pPr>
        <w:spacing w:after="120"/>
        <w:rPr>
          <w:rFonts w:asciiTheme="minorHAnsi" w:hAnsiTheme="minorHAnsi" w:cstheme="minorHAnsi"/>
          <w:b/>
          <w:color w:val="00305C"/>
          <w:sz w:val="22"/>
          <w:szCs w:val="22"/>
        </w:rPr>
      </w:pPr>
    </w:p>
    <w:p w:rsidR="000E2D65" w:rsidRDefault="006B4FE1" w:rsidP="00CB5CFF">
      <w:pPr>
        <w:spacing w:after="120"/>
        <w:rPr>
          <w:rFonts w:asciiTheme="minorHAnsi" w:hAnsiTheme="minorHAnsi" w:cstheme="minorHAnsi"/>
          <w:color w:val="5F5F5F"/>
          <w:szCs w:val="19"/>
        </w:rPr>
      </w:pPr>
      <w:r w:rsidRPr="006B4FE1">
        <w:rPr>
          <w:rFonts w:asciiTheme="minorHAnsi" w:hAnsiTheme="minorHAnsi" w:cstheme="minorHAnsi"/>
          <w:b/>
          <w:color w:val="00305C"/>
          <w:sz w:val="22"/>
          <w:szCs w:val="22"/>
        </w:rPr>
        <w:t>Kenya</w:t>
      </w:r>
      <w:r w:rsidR="006575AE" w:rsidRPr="00DB17AC">
        <w:rPr>
          <w:rFonts w:asciiTheme="minorHAnsi" w:hAnsiTheme="minorHAnsi" w:cstheme="minorHAnsi"/>
          <w:b/>
          <w:color w:val="00305C"/>
          <w:sz w:val="22"/>
          <w:szCs w:val="22"/>
        </w:rPr>
        <w:br/>
      </w:r>
      <w:r w:rsidR="006575AE" w:rsidRPr="006575AE">
        <w:rPr>
          <w:rFonts w:asciiTheme="minorHAnsi" w:hAnsiTheme="minorHAnsi" w:cstheme="minorHAnsi"/>
          <w:color w:val="5F5F5F"/>
          <w:szCs w:val="19"/>
        </w:rPr>
        <w:t xml:space="preserve">In Kenya, Tullow operates five onshore blocks </w:t>
      </w:r>
      <w:r w:rsidR="008076E7">
        <w:rPr>
          <w:rFonts w:asciiTheme="minorHAnsi" w:hAnsiTheme="minorHAnsi" w:cstheme="minorHAnsi"/>
          <w:color w:val="5F5F5F"/>
          <w:szCs w:val="19"/>
        </w:rPr>
        <w:t>i</w:t>
      </w:r>
      <w:r w:rsidR="006575AE" w:rsidRPr="006575AE">
        <w:rPr>
          <w:rFonts w:asciiTheme="minorHAnsi" w:hAnsiTheme="minorHAnsi" w:cstheme="minorHAnsi"/>
          <w:color w:val="5F5F5F"/>
          <w:szCs w:val="19"/>
        </w:rPr>
        <w:t xml:space="preserve">n the East African Tertiary Rift system covering around </w:t>
      </w:r>
      <w:r w:rsidR="00BD6FE8" w:rsidRPr="00BD6FE8">
        <w:rPr>
          <w:rFonts w:asciiTheme="minorHAnsi" w:hAnsiTheme="minorHAnsi" w:cstheme="minorHAnsi"/>
          <w:color w:val="5F5F5F"/>
          <w:szCs w:val="19"/>
        </w:rPr>
        <w:t>65</w:t>
      </w:r>
      <w:r w:rsidR="006575AE" w:rsidRPr="00BD6FE8">
        <w:rPr>
          <w:rFonts w:asciiTheme="minorHAnsi" w:hAnsiTheme="minorHAnsi" w:cstheme="minorHAnsi"/>
          <w:color w:val="5F5F5F"/>
          <w:szCs w:val="19"/>
        </w:rPr>
        <w:t>,</w:t>
      </w:r>
      <w:r w:rsidR="00F47E8B">
        <w:rPr>
          <w:rFonts w:asciiTheme="minorHAnsi" w:hAnsiTheme="minorHAnsi" w:cstheme="minorHAnsi"/>
          <w:color w:val="5F5F5F"/>
          <w:szCs w:val="19"/>
        </w:rPr>
        <w:t>0</w:t>
      </w:r>
      <w:r w:rsidR="006575AE" w:rsidRPr="00BD6FE8">
        <w:rPr>
          <w:rFonts w:asciiTheme="minorHAnsi" w:hAnsiTheme="minorHAnsi" w:cstheme="minorHAnsi"/>
          <w:color w:val="5F5F5F"/>
          <w:szCs w:val="19"/>
        </w:rPr>
        <w:t>00</w:t>
      </w:r>
      <w:r w:rsidR="006575AE" w:rsidRPr="006575AE">
        <w:rPr>
          <w:rFonts w:asciiTheme="minorHAnsi" w:hAnsiTheme="minorHAnsi" w:cstheme="minorHAnsi"/>
          <w:color w:val="5F5F5F"/>
          <w:szCs w:val="19"/>
        </w:rPr>
        <w:t xml:space="preserve"> sq km</w:t>
      </w:r>
      <w:r w:rsidR="00ED6D17">
        <w:rPr>
          <w:rFonts w:asciiTheme="minorHAnsi" w:hAnsiTheme="minorHAnsi" w:cstheme="minorHAnsi"/>
          <w:color w:val="5F5F5F"/>
          <w:szCs w:val="19"/>
        </w:rPr>
        <w:t xml:space="preserve"> and has between 50% and 65% interests in these licences</w:t>
      </w:r>
      <w:r w:rsidR="006575AE" w:rsidRPr="006575AE">
        <w:rPr>
          <w:rFonts w:asciiTheme="minorHAnsi" w:hAnsiTheme="minorHAnsi" w:cstheme="minorHAnsi"/>
          <w:color w:val="5F5F5F"/>
          <w:szCs w:val="19"/>
        </w:rPr>
        <w:t xml:space="preserve">. The Group has continued to make excellent progress with its exploration campaign in Northern Kenya with seven out of seven discoveries drilled </w:t>
      </w:r>
      <w:r w:rsidR="00540F25">
        <w:rPr>
          <w:rFonts w:asciiTheme="minorHAnsi" w:hAnsiTheme="minorHAnsi" w:cstheme="minorHAnsi"/>
          <w:color w:val="5F5F5F"/>
          <w:szCs w:val="19"/>
        </w:rPr>
        <w:t xml:space="preserve">since the start of the Tertiary Rift Basins </w:t>
      </w:r>
      <w:r w:rsidR="00866DB5">
        <w:rPr>
          <w:rFonts w:asciiTheme="minorHAnsi" w:hAnsiTheme="minorHAnsi" w:cstheme="minorHAnsi"/>
          <w:color w:val="5F5F5F"/>
          <w:szCs w:val="19"/>
        </w:rPr>
        <w:t>exploration programme</w:t>
      </w:r>
      <w:r w:rsidR="00540F25">
        <w:rPr>
          <w:rFonts w:asciiTheme="minorHAnsi" w:hAnsiTheme="minorHAnsi" w:cstheme="minorHAnsi"/>
          <w:color w:val="5F5F5F"/>
          <w:szCs w:val="19"/>
        </w:rPr>
        <w:t>.</w:t>
      </w:r>
      <w:r w:rsidR="00ED6D17">
        <w:rPr>
          <w:rFonts w:asciiTheme="minorHAnsi" w:hAnsiTheme="minorHAnsi" w:cstheme="minorHAnsi"/>
          <w:color w:val="5F5F5F"/>
          <w:szCs w:val="19"/>
        </w:rPr>
        <w:t xml:space="preserve"> </w:t>
      </w:r>
      <w:r w:rsidR="00053C21" w:rsidRPr="00A5650F">
        <w:rPr>
          <w:rFonts w:asciiTheme="minorHAnsi" w:hAnsiTheme="minorHAnsi" w:cstheme="minorHAnsi"/>
          <w:color w:val="5F5F5F"/>
          <w:szCs w:val="19"/>
        </w:rPr>
        <w:t xml:space="preserve">In January 2014, as a result of the significant discoveries made to date, Tullow updated its estimate of discovered resources in this </w:t>
      </w:r>
      <w:r w:rsidR="00866DB5" w:rsidRPr="00A5650F">
        <w:rPr>
          <w:rFonts w:asciiTheme="minorHAnsi" w:hAnsiTheme="minorHAnsi" w:cstheme="minorHAnsi"/>
          <w:color w:val="5F5F5F"/>
          <w:szCs w:val="19"/>
        </w:rPr>
        <w:t xml:space="preserve">one </w:t>
      </w:r>
      <w:r w:rsidR="00053C21" w:rsidRPr="00A5650F">
        <w:rPr>
          <w:rFonts w:asciiTheme="minorHAnsi" w:hAnsiTheme="minorHAnsi" w:cstheme="minorHAnsi"/>
          <w:color w:val="5F5F5F"/>
          <w:szCs w:val="19"/>
        </w:rPr>
        <w:t>Northern Kenya basin to over 600 mmbo</w:t>
      </w:r>
      <w:r w:rsidR="00A5650F" w:rsidRPr="00A5650F">
        <w:rPr>
          <w:rFonts w:asciiTheme="minorHAnsi" w:hAnsiTheme="minorHAnsi" w:cstheme="minorHAnsi"/>
          <w:color w:val="5F5F5F"/>
          <w:szCs w:val="19"/>
        </w:rPr>
        <w:t xml:space="preserve"> gross</w:t>
      </w:r>
      <w:r w:rsidR="00053C21" w:rsidRPr="00A5650F">
        <w:rPr>
          <w:rFonts w:asciiTheme="minorHAnsi" w:hAnsiTheme="minorHAnsi" w:cstheme="minorHAnsi"/>
          <w:color w:val="5F5F5F"/>
          <w:szCs w:val="19"/>
        </w:rPr>
        <w:t xml:space="preserve"> with a potential of over one billion barrels of oil. Given the results to date in this single basin, </w:t>
      </w:r>
      <w:r w:rsidR="00ED6D17">
        <w:rPr>
          <w:rFonts w:asciiTheme="minorHAnsi" w:hAnsiTheme="minorHAnsi" w:cstheme="minorHAnsi"/>
          <w:color w:val="5F5F5F"/>
          <w:szCs w:val="19"/>
        </w:rPr>
        <w:t xml:space="preserve">Tullow </w:t>
      </w:r>
      <w:r w:rsidR="00053C21">
        <w:rPr>
          <w:rFonts w:asciiTheme="minorHAnsi" w:hAnsiTheme="minorHAnsi" w:cstheme="minorHAnsi"/>
          <w:color w:val="5F5F5F"/>
          <w:szCs w:val="19"/>
        </w:rPr>
        <w:t xml:space="preserve">considers </w:t>
      </w:r>
      <w:r w:rsidR="00ED6D17">
        <w:rPr>
          <w:rFonts w:asciiTheme="minorHAnsi" w:hAnsiTheme="minorHAnsi" w:cstheme="minorHAnsi"/>
          <w:color w:val="5F5F5F"/>
          <w:szCs w:val="19"/>
        </w:rPr>
        <w:t xml:space="preserve">that its acreage in Northern Kenya has the potential to be a </w:t>
      </w:r>
      <w:r w:rsidR="006575AE" w:rsidRPr="006575AE">
        <w:rPr>
          <w:rFonts w:asciiTheme="minorHAnsi" w:hAnsiTheme="minorHAnsi" w:cstheme="minorHAnsi"/>
          <w:color w:val="5F5F5F"/>
          <w:szCs w:val="19"/>
        </w:rPr>
        <w:t xml:space="preserve">significant </w:t>
      </w:r>
      <w:r w:rsidR="006575AE" w:rsidRPr="00BC091E">
        <w:rPr>
          <w:rFonts w:asciiTheme="minorHAnsi" w:hAnsiTheme="minorHAnsi" w:cstheme="minorHAnsi"/>
          <w:color w:val="5F5F5F"/>
          <w:szCs w:val="19"/>
        </w:rPr>
        <w:t xml:space="preserve">new </w:t>
      </w:r>
      <w:r w:rsidR="00B24AE8" w:rsidRPr="00BC091E">
        <w:rPr>
          <w:rFonts w:asciiTheme="minorHAnsi" w:hAnsiTheme="minorHAnsi" w:cstheme="minorHAnsi"/>
          <w:color w:val="5F5F5F"/>
          <w:szCs w:val="19"/>
        </w:rPr>
        <w:t>oil</w:t>
      </w:r>
      <w:r w:rsidR="00D61E9A" w:rsidRPr="00BC091E">
        <w:rPr>
          <w:rFonts w:asciiTheme="minorHAnsi" w:hAnsiTheme="minorHAnsi" w:cstheme="minorHAnsi"/>
          <w:color w:val="5F5F5F"/>
          <w:szCs w:val="19"/>
        </w:rPr>
        <w:t xml:space="preserve"> </w:t>
      </w:r>
      <w:r w:rsidR="006575AE" w:rsidRPr="00BC091E">
        <w:rPr>
          <w:rFonts w:asciiTheme="minorHAnsi" w:hAnsiTheme="minorHAnsi" w:cstheme="minorHAnsi"/>
          <w:color w:val="5F5F5F"/>
          <w:szCs w:val="19"/>
        </w:rPr>
        <w:t>province</w:t>
      </w:r>
      <w:r w:rsidR="006575AE" w:rsidRPr="006575AE">
        <w:rPr>
          <w:rFonts w:asciiTheme="minorHAnsi" w:hAnsiTheme="minorHAnsi" w:cstheme="minorHAnsi"/>
          <w:color w:val="5F5F5F"/>
          <w:szCs w:val="19"/>
        </w:rPr>
        <w:t xml:space="preserve">. </w:t>
      </w:r>
    </w:p>
    <w:p w:rsidR="006575AE" w:rsidRDefault="006575AE" w:rsidP="00FB358D">
      <w:pPr>
        <w:spacing w:after="120"/>
        <w:rPr>
          <w:rFonts w:asciiTheme="minorHAnsi" w:hAnsiTheme="minorHAnsi" w:cstheme="minorHAnsi"/>
          <w:color w:val="5F5F5F"/>
          <w:szCs w:val="19"/>
        </w:rPr>
      </w:pPr>
      <w:r w:rsidRPr="00A5650F">
        <w:rPr>
          <w:rFonts w:asciiTheme="minorHAnsi" w:hAnsiTheme="minorHAnsi" w:cstheme="minorHAnsi"/>
          <w:color w:val="5F5F5F"/>
          <w:szCs w:val="19"/>
        </w:rPr>
        <w:t xml:space="preserve">The onshore acreage covers multiple rift basins which have similar characteristics to the Lake Albert Rift Basin in Uganda. </w:t>
      </w:r>
      <w:r w:rsidR="00483AFB" w:rsidRPr="00A5650F">
        <w:rPr>
          <w:rFonts w:asciiTheme="minorHAnsi" w:hAnsiTheme="minorHAnsi" w:cstheme="minorHAnsi"/>
          <w:color w:val="5F5F5F"/>
          <w:szCs w:val="19"/>
        </w:rPr>
        <w:t xml:space="preserve">A significant inventory of </w:t>
      </w:r>
      <w:r w:rsidRPr="00A5650F">
        <w:rPr>
          <w:rFonts w:asciiTheme="minorHAnsi" w:hAnsiTheme="minorHAnsi" w:cstheme="minorHAnsi"/>
          <w:color w:val="5F5F5F"/>
          <w:szCs w:val="19"/>
        </w:rPr>
        <w:t>leads and prospects ha</w:t>
      </w:r>
      <w:r w:rsidR="00483AFB" w:rsidRPr="00A5650F">
        <w:rPr>
          <w:rFonts w:asciiTheme="minorHAnsi" w:hAnsiTheme="minorHAnsi" w:cstheme="minorHAnsi"/>
          <w:color w:val="5F5F5F"/>
          <w:szCs w:val="19"/>
        </w:rPr>
        <w:t>s</w:t>
      </w:r>
      <w:r w:rsidRPr="00A5650F">
        <w:rPr>
          <w:rFonts w:asciiTheme="minorHAnsi" w:hAnsiTheme="minorHAnsi" w:cstheme="minorHAnsi"/>
          <w:color w:val="5F5F5F"/>
          <w:szCs w:val="19"/>
        </w:rPr>
        <w:t xml:space="preserve"> been identified</w:t>
      </w:r>
      <w:r w:rsidR="00483AFB" w:rsidRPr="00A5650F">
        <w:rPr>
          <w:rFonts w:asciiTheme="minorHAnsi" w:hAnsiTheme="minorHAnsi" w:cstheme="minorHAnsi"/>
          <w:color w:val="5F5F5F"/>
          <w:szCs w:val="19"/>
        </w:rPr>
        <w:t>, to date,</w:t>
      </w:r>
      <w:r w:rsidRPr="00A5650F">
        <w:rPr>
          <w:rFonts w:asciiTheme="minorHAnsi" w:hAnsiTheme="minorHAnsi" w:cstheme="minorHAnsi"/>
          <w:color w:val="5F5F5F"/>
          <w:szCs w:val="19"/>
        </w:rPr>
        <w:t xml:space="preserve"> across this acreage following the acquisition of </w:t>
      </w:r>
      <w:r w:rsidR="00A10B1C" w:rsidRPr="00A5650F">
        <w:rPr>
          <w:rFonts w:asciiTheme="minorHAnsi" w:hAnsiTheme="minorHAnsi" w:cstheme="minorHAnsi"/>
          <w:color w:val="5F5F5F"/>
          <w:szCs w:val="19"/>
        </w:rPr>
        <w:t>60</w:t>
      </w:r>
      <w:r w:rsidRPr="00A5650F">
        <w:rPr>
          <w:rFonts w:asciiTheme="minorHAnsi" w:hAnsiTheme="minorHAnsi" w:cstheme="minorHAnsi"/>
          <w:color w:val="5F5F5F"/>
          <w:szCs w:val="19"/>
        </w:rPr>
        <w:t>,000 sq</w:t>
      </w:r>
      <w:r w:rsidR="00A10B1C" w:rsidRPr="00A5650F">
        <w:rPr>
          <w:rFonts w:asciiTheme="minorHAnsi" w:hAnsiTheme="minorHAnsi" w:cstheme="minorHAnsi"/>
          <w:color w:val="5F5F5F"/>
          <w:szCs w:val="19"/>
        </w:rPr>
        <w:t xml:space="preserve"> </w:t>
      </w:r>
      <w:r w:rsidRPr="00A5650F">
        <w:rPr>
          <w:rFonts w:asciiTheme="minorHAnsi" w:hAnsiTheme="minorHAnsi" w:cstheme="minorHAnsi"/>
          <w:color w:val="5F5F5F"/>
          <w:szCs w:val="19"/>
        </w:rPr>
        <w:t xml:space="preserve">km of FTG and </w:t>
      </w:r>
      <w:r w:rsidR="00A10B1C" w:rsidRPr="00A5650F">
        <w:rPr>
          <w:rFonts w:asciiTheme="minorHAnsi" w:hAnsiTheme="minorHAnsi" w:cstheme="minorHAnsi"/>
          <w:color w:val="5F5F5F"/>
          <w:szCs w:val="19"/>
        </w:rPr>
        <w:t>5,840</w:t>
      </w:r>
      <w:r w:rsidRPr="00A5650F">
        <w:rPr>
          <w:rFonts w:asciiTheme="minorHAnsi" w:hAnsiTheme="minorHAnsi" w:cstheme="minorHAnsi"/>
          <w:color w:val="5F5F5F"/>
          <w:szCs w:val="19"/>
        </w:rPr>
        <w:t xml:space="preserve"> km of 2D seismic. Exploration drilling and testing activity in the region commenced in January 2012 with the drilling of the Ngamia-1 well followed by the Twiga South-1 well on the Basin Bounding Fault Play. These initial discoveries were both successfully flow tested in February and July 2013</w:t>
      </w:r>
      <w:r w:rsidR="00A5650F" w:rsidRPr="00A5650F">
        <w:rPr>
          <w:rFonts w:asciiTheme="minorHAnsi" w:hAnsiTheme="minorHAnsi" w:cstheme="minorHAnsi"/>
          <w:color w:val="5F5F5F"/>
          <w:szCs w:val="19"/>
        </w:rPr>
        <w:t xml:space="preserve"> respectively</w:t>
      </w:r>
      <w:r w:rsidRPr="00A5650F">
        <w:rPr>
          <w:rFonts w:asciiTheme="minorHAnsi" w:hAnsiTheme="minorHAnsi" w:cstheme="minorHAnsi"/>
          <w:color w:val="5F5F5F"/>
          <w:szCs w:val="19"/>
        </w:rPr>
        <w:t>. Both wells flowed at constrained rate</w:t>
      </w:r>
      <w:r w:rsidR="00483AFB" w:rsidRPr="00A5650F">
        <w:rPr>
          <w:rFonts w:asciiTheme="minorHAnsi" w:hAnsiTheme="minorHAnsi" w:cstheme="minorHAnsi"/>
          <w:color w:val="5F5F5F"/>
          <w:szCs w:val="19"/>
        </w:rPr>
        <w:t>s</w:t>
      </w:r>
      <w:r w:rsidRPr="00A5650F">
        <w:rPr>
          <w:rFonts w:asciiTheme="minorHAnsi" w:hAnsiTheme="minorHAnsi" w:cstheme="minorHAnsi"/>
          <w:color w:val="5F5F5F"/>
          <w:szCs w:val="19"/>
        </w:rPr>
        <w:t xml:space="preserve"> of around 3,000 bopd of 25 to 35 degree API sweet waxy oil with no indication of pressure depletion</w:t>
      </w:r>
      <w:r w:rsidR="00483AFB" w:rsidRPr="00A5650F">
        <w:rPr>
          <w:rFonts w:asciiTheme="minorHAnsi" w:hAnsiTheme="minorHAnsi" w:cstheme="minorHAnsi"/>
          <w:color w:val="5F5F5F"/>
          <w:szCs w:val="19"/>
        </w:rPr>
        <w:t xml:space="preserve">, </w:t>
      </w:r>
      <w:r w:rsidR="00A8510D">
        <w:rPr>
          <w:rFonts w:asciiTheme="minorHAnsi" w:hAnsiTheme="minorHAnsi" w:cstheme="minorHAnsi"/>
          <w:color w:val="5F5F5F"/>
          <w:szCs w:val="19"/>
        </w:rPr>
        <w:t xml:space="preserve">and </w:t>
      </w:r>
      <w:r w:rsidRPr="00A5650F">
        <w:rPr>
          <w:rFonts w:asciiTheme="minorHAnsi" w:hAnsiTheme="minorHAnsi" w:cstheme="minorHAnsi"/>
          <w:color w:val="5F5F5F"/>
          <w:szCs w:val="19"/>
        </w:rPr>
        <w:t>unconstrained rate</w:t>
      </w:r>
      <w:r w:rsidR="00483AFB" w:rsidRPr="00A5650F">
        <w:rPr>
          <w:rFonts w:asciiTheme="minorHAnsi" w:hAnsiTheme="minorHAnsi" w:cstheme="minorHAnsi"/>
          <w:color w:val="5F5F5F"/>
          <w:szCs w:val="19"/>
        </w:rPr>
        <w:t>s</w:t>
      </w:r>
      <w:r w:rsidRPr="00A5650F">
        <w:rPr>
          <w:rFonts w:asciiTheme="minorHAnsi" w:hAnsiTheme="minorHAnsi" w:cstheme="minorHAnsi"/>
          <w:color w:val="5F5F5F"/>
          <w:szCs w:val="19"/>
        </w:rPr>
        <w:t xml:space="preserve"> of over 5,000 bopd per well</w:t>
      </w:r>
      <w:r w:rsidR="00483AFB" w:rsidRPr="00A5650F">
        <w:rPr>
          <w:rFonts w:asciiTheme="minorHAnsi" w:hAnsiTheme="minorHAnsi" w:cstheme="minorHAnsi"/>
          <w:color w:val="5F5F5F"/>
          <w:szCs w:val="19"/>
        </w:rPr>
        <w:t xml:space="preserve"> are considered possible</w:t>
      </w:r>
      <w:r w:rsidRPr="00A5650F">
        <w:rPr>
          <w:rFonts w:asciiTheme="minorHAnsi" w:hAnsiTheme="minorHAnsi" w:cstheme="minorHAnsi"/>
          <w:color w:val="5F5F5F"/>
          <w:szCs w:val="19"/>
        </w:rPr>
        <w:t>.</w:t>
      </w:r>
    </w:p>
    <w:p w:rsidR="002A1A62" w:rsidRPr="002A1A62" w:rsidRDefault="006575AE" w:rsidP="002A1A62">
      <w:pPr>
        <w:spacing w:after="120"/>
        <w:rPr>
          <w:rFonts w:asciiTheme="minorHAnsi" w:hAnsiTheme="minorHAnsi" w:cstheme="minorHAnsi"/>
          <w:color w:val="5F5F5F"/>
          <w:szCs w:val="19"/>
          <w:lang w:val="en-CA"/>
        </w:rPr>
      </w:pPr>
      <w:r w:rsidRPr="00A5650F">
        <w:rPr>
          <w:rFonts w:asciiTheme="minorHAnsi" w:hAnsiTheme="minorHAnsi" w:cstheme="minorHAnsi"/>
          <w:color w:val="5F5F5F"/>
          <w:szCs w:val="19"/>
        </w:rPr>
        <w:t>In May 2013, drilling commenced on the Etuko prospect, 14 km east of Twiga South-1 in Block 10BB. The well successfully opened the Basin Flank Play in the eastern part of the South Lokichar Basin. Ekales-1 commenced drilling in July 2013 and continued the successful run of discoveries on the Basin Bounding Fault Play,</w:t>
      </w:r>
      <w:r w:rsidR="00623009">
        <w:rPr>
          <w:rFonts w:asciiTheme="minorHAnsi" w:hAnsiTheme="minorHAnsi" w:cstheme="minorHAnsi"/>
          <w:color w:val="5F5F5F"/>
          <w:szCs w:val="19"/>
        </w:rPr>
        <w:t xml:space="preserve"> on trend with Ngamia and Twiga </w:t>
      </w:r>
      <w:r w:rsidRPr="00A5650F">
        <w:rPr>
          <w:rFonts w:asciiTheme="minorHAnsi" w:hAnsiTheme="minorHAnsi" w:cstheme="minorHAnsi"/>
          <w:color w:val="5F5F5F"/>
          <w:szCs w:val="19"/>
        </w:rPr>
        <w:t>South. The Ekales-1 well was followed by two further discoveries at Agete-1 in November 2013 and Amosing-1 in January 2014. The seventh discovery in the basin to date also came in January 2014 at Ewoi-1 which continued to de</w:t>
      </w:r>
      <w:r w:rsidR="00ED6D17" w:rsidRPr="00A5650F">
        <w:rPr>
          <w:rFonts w:asciiTheme="minorHAnsi" w:hAnsiTheme="minorHAnsi" w:cstheme="minorHAnsi"/>
          <w:color w:val="5F5F5F"/>
          <w:szCs w:val="19"/>
        </w:rPr>
        <w:t>-</w:t>
      </w:r>
      <w:r w:rsidRPr="00A5650F">
        <w:rPr>
          <w:rFonts w:asciiTheme="minorHAnsi" w:hAnsiTheme="minorHAnsi" w:cstheme="minorHAnsi"/>
          <w:color w:val="5F5F5F"/>
          <w:szCs w:val="19"/>
        </w:rPr>
        <w:t xml:space="preserve">risk the Basin Flank Play opened by </w:t>
      </w:r>
      <w:r w:rsidR="00CE27E7" w:rsidRPr="00A5650F">
        <w:rPr>
          <w:rFonts w:asciiTheme="minorHAnsi" w:hAnsiTheme="minorHAnsi" w:cstheme="minorHAnsi"/>
          <w:color w:val="5F5F5F"/>
          <w:szCs w:val="19"/>
        </w:rPr>
        <w:t>Etuko</w:t>
      </w:r>
      <w:r w:rsidRPr="00A5650F">
        <w:rPr>
          <w:rFonts w:asciiTheme="minorHAnsi" w:hAnsiTheme="minorHAnsi" w:cstheme="minorHAnsi"/>
          <w:color w:val="5F5F5F"/>
          <w:szCs w:val="19"/>
        </w:rPr>
        <w:t xml:space="preserve">-1 earlier in </w:t>
      </w:r>
      <w:r w:rsidR="00623009">
        <w:rPr>
          <w:rFonts w:asciiTheme="minorHAnsi" w:hAnsiTheme="minorHAnsi" w:cstheme="minorHAnsi"/>
          <w:color w:val="5F5F5F"/>
          <w:szCs w:val="19"/>
        </w:rPr>
        <w:t>2013</w:t>
      </w:r>
      <w:r w:rsidRPr="00A5650F">
        <w:rPr>
          <w:rFonts w:asciiTheme="minorHAnsi" w:hAnsiTheme="minorHAnsi" w:cstheme="minorHAnsi"/>
          <w:color w:val="5F5F5F"/>
          <w:szCs w:val="19"/>
        </w:rPr>
        <w:t xml:space="preserve">. </w:t>
      </w:r>
      <w:r w:rsidR="00CC7FCF" w:rsidRPr="00641D76">
        <w:rPr>
          <w:rFonts w:asciiTheme="minorHAnsi" w:hAnsiTheme="minorHAnsi" w:cstheme="minorHAnsi"/>
          <w:color w:val="5F5F5F"/>
          <w:szCs w:val="19"/>
        </w:rPr>
        <w:t>W</w:t>
      </w:r>
      <w:r w:rsidRPr="00641D76">
        <w:rPr>
          <w:rFonts w:asciiTheme="minorHAnsi" w:hAnsiTheme="minorHAnsi" w:cstheme="minorHAnsi"/>
          <w:color w:val="5F5F5F"/>
          <w:szCs w:val="19"/>
        </w:rPr>
        <w:t xml:space="preserve">ell testing </w:t>
      </w:r>
      <w:r w:rsidR="00CC7FCF" w:rsidRPr="00641D76">
        <w:rPr>
          <w:rFonts w:asciiTheme="minorHAnsi" w:hAnsiTheme="minorHAnsi" w:cstheme="minorHAnsi"/>
          <w:color w:val="5F5F5F"/>
          <w:szCs w:val="19"/>
        </w:rPr>
        <w:t>at Etuko</w:t>
      </w:r>
      <w:r w:rsidR="002A1A62">
        <w:rPr>
          <w:rFonts w:asciiTheme="minorHAnsi" w:hAnsiTheme="minorHAnsi" w:cstheme="minorHAnsi"/>
          <w:color w:val="5F5F5F"/>
          <w:szCs w:val="19"/>
        </w:rPr>
        <w:t>-1</w:t>
      </w:r>
      <w:r w:rsidR="00CC7FCF" w:rsidRPr="00641D76">
        <w:rPr>
          <w:rFonts w:asciiTheme="minorHAnsi" w:hAnsiTheme="minorHAnsi" w:cstheme="minorHAnsi"/>
          <w:color w:val="5F5F5F"/>
          <w:szCs w:val="19"/>
        </w:rPr>
        <w:t xml:space="preserve"> </w:t>
      </w:r>
      <w:r w:rsidR="00CB5CFF" w:rsidRPr="00641D76">
        <w:rPr>
          <w:rFonts w:asciiTheme="minorHAnsi" w:hAnsiTheme="minorHAnsi" w:cstheme="minorHAnsi"/>
          <w:color w:val="5F5F5F"/>
          <w:szCs w:val="19"/>
        </w:rPr>
        <w:t xml:space="preserve">has </w:t>
      </w:r>
      <w:r w:rsidR="00B24AE8" w:rsidRPr="00B24AE8">
        <w:rPr>
          <w:rFonts w:asciiTheme="minorHAnsi" w:hAnsiTheme="minorHAnsi" w:cstheme="minorHAnsi"/>
          <w:color w:val="5F5F5F"/>
          <w:szCs w:val="19"/>
        </w:rPr>
        <w:t xml:space="preserve">been completed </w:t>
      </w:r>
      <w:r w:rsidR="00B24AE8" w:rsidRPr="003B1517">
        <w:rPr>
          <w:rFonts w:asciiTheme="minorHAnsi" w:hAnsiTheme="minorHAnsi" w:cstheme="minorHAnsi"/>
          <w:color w:val="5F5F5F"/>
          <w:szCs w:val="19"/>
        </w:rPr>
        <w:t>and</w:t>
      </w:r>
      <w:r w:rsidR="002A1A62" w:rsidRPr="003B1517">
        <w:rPr>
          <w:rFonts w:asciiTheme="minorHAnsi" w:hAnsiTheme="minorHAnsi" w:cstheme="minorHAnsi"/>
          <w:color w:val="5F5F5F"/>
          <w:szCs w:val="19"/>
        </w:rPr>
        <w:t xml:space="preserve"> </w:t>
      </w:r>
      <w:r w:rsidR="003B1517" w:rsidRPr="003B1517">
        <w:rPr>
          <w:rFonts w:asciiTheme="minorHAnsi" w:hAnsiTheme="minorHAnsi" w:cstheme="minorHAnsi"/>
          <w:color w:val="5F5F5F"/>
          <w:szCs w:val="19"/>
        </w:rPr>
        <w:t>flowed a</w:t>
      </w:r>
      <w:r w:rsidR="003B1517">
        <w:rPr>
          <w:rFonts w:asciiTheme="minorHAnsi" w:hAnsiTheme="minorHAnsi" w:cstheme="minorHAnsi"/>
          <w:color w:val="5F5F5F"/>
          <w:szCs w:val="19"/>
        </w:rPr>
        <w:t>t a</w:t>
      </w:r>
      <w:r w:rsidR="003B1517" w:rsidRPr="003B1517">
        <w:rPr>
          <w:rFonts w:asciiTheme="minorHAnsi" w:hAnsiTheme="minorHAnsi" w:cstheme="minorHAnsi"/>
          <w:color w:val="5F5F5F"/>
          <w:szCs w:val="19"/>
        </w:rPr>
        <w:t xml:space="preserve"> combined rate of over 550 boepd</w:t>
      </w:r>
      <w:r w:rsidR="00BC091E">
        <w:rPr>
          <w:rFonts w:asciiTheme="minorHAnsi" w:hAnsiTheme="minorHAnsi" w:cstheme="minorHAnsi"/>
          <w:color w:val="5F5F5F"/>
          <w:szCs w:val="19"/>
        </w:rPr>
        <w:t>.</w:t>
      </w:r>
      <w:r w:rsidR="00CB5CFF" w:rsidRPr="00641D76">
        <w:rPr>
          <w:rFonts w:asciiTheme="minorHAnsi" w:hAnsiTheme="minorHAnsi" w:cstheme="minorHAnsi"/>
          <w:color w:val="5F5F5F"/>
          <w:szCs w:val="19"/>
        </w:rPr>
        <w:t xml:space="preserve"> </w:t>
      </w:r>
      <w:r w:rsidR="002A1A62" w:rsidRPr="002A1A62">
        <w:rPr>
          <w:rFonts w:asciiTheme="minorHAnsi" w:hAnsiTheme="minorHAnsi" w:cstheme="minorHAnsi"/>
          <w:color w:val="5F5F5F"/>
          <w:szCs w:val="19"/>
          <w:lang w:val="en-CA"/>
        </w:rPr>
        <w:t xml:space="preserve">Additional potential pay zones were </w:t>
      </w:r>
      <w:r w:rsidR="002A1A62">
        <w:rPr>
          <w:rFonts w:asciiTheme="minorHAnsi" w:hAnsiTheme="minorHAnsi" w:cstheme="minorHAnsi"/>
          <w:color w:val="5F5F5F"/>
          <w:szCs w:val="19"/>
          <w:lang w:val="en-CA"/>
        </w:rPr>
        <w:t>un</w:t>
      </w:r>
      <w:r w:rsidR="002A1A62" w:rsidRPr="002A1A62">
        <w:rPr>
          <w:rFonts w:asciiTheme="minorHAnsi" w:hAnsiTheme="minorHAnsi" w:cstheme="minorHAnsi"/>
          <w:color w:val="5F5F5F"/>
          <w:szCs w:val="19"/>
          <w:lang w:val="en-CA"/>
        </w:rPr>
        <w:t xml:space="preserve">able to be </w:t>
      </w:r>
      <w:r w:rsidR="002A1A62">
        <w:rPr>
          <w:rFonts w:asciiTheme="minorHAnsi" w:hAnsiTheme="minorHAnsi" w:cstheme="minorHAnsi"/>
          <w:color w:val="5F5F5F"/>
          <w:szCs w:val="19"/>
          <w:lang w:val="en-CA"/>
        </w:rPr>
        <w:t>tested due to the</w:t>
      </w:r>
      <w:r w:rsidR="002A1A62" w:rsidRPr="002A1A62">
        <w:rPr>
          <w:rFonts w:asciiTheme="minorHAnsi" w:hAnsiTheme="minorHAnsi" w:cstheme="minorHAnsi"/>
          <w:color w:val="5F5F5F"/>
          <w:szCs w:val="19"/>
          <w:lang w:val="en-CA"/>
        </w:rPr>
        <w:t xml:space="preserve"> large hole size</w:t>
      </w:r>
      <w:r w:rsidR="002A1A62">
        <w:rPr>
          <w:rFonts w:asciiTheme="minorHAnsi" w:hAnsiTheme="minorHAnsi" w:cstheme="minorHAnsi"/>
          <w:color w:val="5F5F5F"/>
          <w:szCs w:val="19"/>
          <w:lang w:val="en-CA"/>
        </w:rPr>
        <w:t xml:space="preserve"> and so t</w:t>
      </w:r>
      <w:r w:rsidR="002A1A62" w:rsidRPr="002A1A62">
        <w:rPr>
          <w:rFonts w:asciiTheme="minorHAnsi" w:hAnsiTheme="minorHAnsi" w:cstheme="minorHAnsi"/>
          <w:color w:val="5F5F5F"/>
          <w:szCs w:val="19"/>
          <w:lang w:val="en-CA"/>
        </w:rPr>
        <w:t xml:space="preserve">he rig </w:t>
      </w:r>
      <w:r w:rsidR="002A1A62">
        <w:rPr>
          <w:rFonts w:asciiTheme="minorHAnsi" w:hAnsiTheme="minorHAnsi" w:cstheme="minorHAnsi"/>
          <w:color w:val="5F5F5F"/>
          <w:szCs w:val="19"/>
          <w:lang w:val="en-CA"/>
        </w:rPr>
        <w:t>is</w:t>
      </w:r>
      <w:r w:rsidR="002A1A62" w:rsidRPr="002A1A62">
        <w:rPr>
          <w:rFonts w:asciiTheme="minorHAnsi" w:hAnsiTheme="minorHAnsi" w:cstheme="minorHAnsi"/>
          <w:color w:val="5F5F5F"/>
          <w:szCs w:val="19"/>
          <w:lang w:val="en-CA"/>
        </w:rPr>
        <w:t xml:space="preserve"> now drill</w:t>
      </w:r>
      <w:r w:rsidR="002A1A62">
        <w:rPr>
          <w:rFonts w:asciiTheme="minorHAnsi" w:hAnsiTheme="minorHAnsi" w:cstheme="minorHAnsi"/>
          <w:color w:val="5F5F5F"/>
          <w:szCs w:val="19"/>
          <w:lang w:val="en-CA"/>
        </w:rPr>
        <w:t>ing</w:t>
      </w:r>
      <w:r w:rsidR="002A1A62" w:rsidRPr="002A1A62">
        <w:rPr>
          <w:rFonts w:asciiTheme="minorHAnsi" w:hAnsiTheme="minorHAnsi" w:cstheme="minorHAnsi"/>
          <w:color w:val="5F5F5F"/>
          <w:szCs w:val="19"/>
          <w:lang w:val="en-CA"/>
        </w:rPr>
        <w:t xml:space="preserve"> a 650 </w:t>
      </w:r>
      <w:r w:rsidR="002A1A62">
        <w:rPr>
          <w:rFonts w:asciiTheme="minorHAnsi" w:hAnsiTheme="minorHAnsi" w:cstheme="minorHAnsi"/>
          <w:color w:val="5F5F5F"/>
          <w:szCs w:val="19"/>
          <w:lang w:val="en-CA"/>
        </w:rPr>
        <w:t>metre</w:t>
      </w:r>
      <w:r w:rsidR="002A1A62" w:rsidRPr="002A1A62">
        <w:rPr>
          <w:rFonts w:asciiTheme="minorHAnsi" w:hAnsiTheme="minorHAnsi" w:cstheme="minorHAnsi"/>
          <w:color w:val="5F5F5F"/>
          <w:szCs w:val="19"/>
          <w:lang w:val="en-CA"/>
        </w:rPr>
        <w:t xml:space="preserve"> well</w:t>
      </w:r>
      <w:r w:rsidR="002A1A62">
        <w:rPr>
          <w:rFonts w:asciiTheme="minorHAnsi" w:hAnsiTheme="minorHAnsi" w:cstheme="minorHAnsi"/>
          <w:color w:val="5F5F5F"/>
          <w:szCs w:val="19"/>
          <w:lang w:val="en-CA"/>
        </w:rPr>
        <w:t>, Etuko-2,</w:t>
      </w:r>
      <w:r w:rsidR="002A1A62" w:rsidRPr="002A1A62">
        <w:rPr>
          <w:rFonts w:asciiTheme="minorHAnsi" w:hAnsiTheme="minorHAnsi" w:cstheme="minorHAnsi"/>
          <w:color w:val="5F5F5F"/>
          <w:szCs w:val="19"/>
          <w:lang w:val="en-CA"/>
        </w:rPr>
        <w:t xml:space="preserve"> to evaluate and potentially test this </w:t>
      </w:r>
      <w:r w:rsidR="002A1A62">
        <w:rPr>
          <w:rFonts w:asciiTheme="minorHAnsi" w:hAnsiTheme="minorHAnsi" w:cstheme="minorHAnsi"/>
          <w:color w:val="5F5F5F"/>
          <w:szCs w:val="19"/>
          <w:lang w:val="en-CA"/>
        </w:rPr>
        <w:t>shallower interval</w:t>
      </w:r>
      <w:r w:rsidR="002A1A62" w:rsidRPr="002A1A62">
        <w:rPr>
          <w:rFonts w:asciiTheme="minorHAnsi" w:hAnsiTheme="minorHAnsi" w:cstheme="minorHAnsi"/>
          <w:color w:val="5F5F5F"/>
          <w:szCs w:val="19"/>
          <w:lang w:val="en-CA"/>
        </w:rPr>
        <w:t xml:space="preserve">.  </w:t>
      </w:r>
    </w:p>
    <w:p w:rsidR="002A1A62" w:rsidRDefault="00641D76" w:rsidP="00FB358D">
      <w:pPr>
        <w:spacing w:after="120"/>
        <w:rPr>
          <w:rFonts w:asciiTheme="minorHAnsi" w:hAnsiTheme="minorHAnsi" w:cstheme="minorHAnsi"/>
          <w:color w:val="5F5F5F"/>
          <w:szCs w:val="19"/>
        </w:rPr>
      </w:pPr>
      <w:r>
        <w:rPr>
          <w:rFonts w:asciiTheme="minorHAnsi" w:hAnsiTheme="minorHAnsi" w:cstheme="minorHAnsi"/>
          <w:color w:val="5F5F5F"/>
          <w:szCs w:val="19"/>
        </w:rPr>
        <w:t>Ongoing activities include the t</w:t>
      </w:r>
      <w:r w:rsidR="00CC7FCF" w:rsidRPr="00641D76">
        <w:rPr>
          <w:rFonts w:asciiTheme="minorHAnsi" w:hAnsiTheme="minorHAnsi" w:cstheme="minorHAnsi"/>
          <w:color w:val="5F5F5F"/>
          <w:szCs w:val="19"/>
        </w:rPr>
        <w:t xml:space="preserve">esting </w:t>
      </w:r>
      <w:r>
        <w:rPr>
          <w:rFonts w:asciiTheme="minorHAnsi" w:hAnsiTheme="minorHAnsi" w:cstheme="minorHAnsi"/>
          <w:color w:val="5F5F5F"/>
          <w:szCs w:val="19"/>
        </w:rPr>
        <w:t xml:space="preserve">of the </w:t>
      </w:r>
      <w:r w:rsidR="006575AE" w:rsidRPr="00641D76">
        <w:rPr>
          <w:rFonts w:asciiTheme="minorHAnsi" w:hAnsiTheme="minorHAnsi" w:cstheme="minorHAnsi"/>
          <w:color w:val="5F5F5F"/>
          <w:szCs w:val="19"/>
        </w:rPr>
        <w:t>Ekales</w:t>
      </w:r>
      <w:r>
        <w:rPr>
          <w:rFonts w:asciiTheme="minorHAnsi" w:hAnsiTheme="minorHAnsi" w:cstheme="minorHAnsi"/>
          <w:color w:val="5F5F5F"/>
          <w:szCs w:val="19"/>
        </w:rPr>
        <w:t xml:space="preserve">-1 well and the drilling of </w:t>
      </w:r>
      <w:r w:rsidR="006F7D7A" w:rsidRPr="00641D76">
        <w:rPr>
          <w:rFonts w:asciiTheme="minorHAnsi" w:hAnsiTheme="minorHAnsi" w:cstheme="minorHAnsi"/>
          <w:color w:val="5F5F5F"/>
          <w:szCs w:val="19"/>
        </w:rPr>
        <w:t>Emong-1</w:t>
      </w:r>
      <w:r w:rsidR="002A1A62">
        <w:rPr>
          <w:rFonts w:asciiTheme="minorHAnsi" w:hAnsiTheme="minorHAnsi" w:cstheme="minorHAnsi"/>
          <w:color w:val="5F5F5F"/>
          <w:szCs w:val="19"/>
        </w:rPr>
        <w:t xml:space="preserve"> </w:t>
      </w:r>
      <w:r>
        <w:rPr>
          <w:rFonts w:asciiTheme="minorHAnsi" w:hAnsiTheme="minorHAnsi" w:cstheme="minorHAnsi"/>
          <w:color w:val="5F5F5F"/>
          <w:szCs w:val="19"/>
        </w:rPr>
        <w:t xml:space="preserve">and </w:t>
      </w:r>
      <w:r w:rsidR="00AB4CC8">
        <w:rPr>
          <w:rFonts w:asciiTheme="minorHAnsi" w:hAnsiTheme="minorHAnsi" w:cstheme="minorHAnsi"/>
          <w:color w:val="5F5F5F"/>
          <w:szCs w:val="19"/>
        </w:rPr>
        <w:t>Twiga</w:t>
      </w:r>
      <w:r w:rsidR="002A1A62">
        <w:rPr>
          <w:rFonts w:asciiTheme="minorHAnsi" w:hAnsiTheme="minorHAnsi" w:cstheme="minorHAnsi"/>
          <w:color w:val="5F5F5F"/>
          <w:szCs w:val="19"/>
        </w:rPr>
        <w:t xml:space="preserve"> South</w:t>
      </w:r>
      <w:r w:rsidR="00AB4CC8">
        <w:rPr>
          <w:rFonts w:asciiTheme="minorHAnsi" w:hAnsiTheme="minorHAnsi" w:cstheme="minorHAnsi"/>
          <w:color w:val="5F5F5F"/>
          <w:szCs w:val="19"/>
        </w:rPr>
        <w:t>-2</w:t>
      </w:r>
      <w:r w:rsidR="006F7D7A" w:rsidRPr="00641D76">
        <w:rPr>
          <w:rFonts w:asciiTheme="minorHAnsi" w:hAnsiTheme="minorHAnsi" w:cstheme="minorHAnsi"/>
          <w:color w:val="5F5F5F"/>
          <w:szCs w:val="19"/>
        </w:rPr>
        <w:t xml:space="preserve"> </w:t>
      </w:r>
      <w:r w:rsidR="0061167F" w:rsidRPr="00641D76">
        <w:rPr>
          <w:rFonts w:asciiTheme="minorHAnsi" w:hAnsiTheme="minorHAnsi" w:cstheme="minorHAnsi"/>
          <w:color w:val="5F5F5F"/>
          <w:szCs w:val="19"/>
        </w:rPr>
        <w:t xml:space="preserve">exploration </w:t>
      </w:r>
      <w:r w:rsidR="00AB4CC8">
        <w:rPr>
          <w:rFonts w:asciiTheme="minorHAnsi" w:hAnsiTheme="minorHAnsi" w:cstheme="minorHAnsi"/>
          <w:color w:val="5F5F5F"/>
          <w:szCs w:val="19"/>
        </w:rPr>
        <w:t>and appraisal wells.</w:t>
      </w:r>
    </w:p>
    <w:p w:rsidR="00E86BAC" w:rsidRDefault="00E86BAC" w:rsidP="00FB358D">
      <w:pPr>
        <w:spacing w:after="120"/>
        <w:rPr>
          <w:rFonts w:asciiTheme="minorHAnsi" w:hAnsiTheme="minorHAnsi" w:cstheme="minorHAnsi"/>
          <w:color w:val="5F5F5F"/>
          <w:szCs w:val="19"/>
        </w:rPr>
      </w:pPr>
      <w:r w:rsidRPr="00A5650F">
        <w:rPr>
          <w:rFonts w:asciiTheme="minorHAnsi" w:hAnsiTheme="minorHAnsi" w:cstheme="minorHAnsi"/>
          <w:color w:val="5F5F5F"/>
          <w:szCs w:val="19"/>
        </w:rPr>
        <w:t xml:space="preserve">A significant programme of some </w:t>
      </w:r>
      <w:r w:rsidRPr="0061167F">
        <w:rPr>
          <w:rFonts w:asciiTheme="minorHAnsi" w:hAnsiTheme="minorHAnsi" w:cstheme="minorHAnsi"/>
          <w:color w:val="5F5F5F"/>
          <w:szCs w:val="19"/>
        </w:rPr>
        <w:t>40</w:t>
      </w:r>
      <w:r w:rsidRPr="00A5650F">
        <w:rPr>
          <w:rFonts w:asciiTheme="minorHAnsi" w:hAnsiTheme="minorHAnsi" w:cstheme="minorHAnsi"/>
          <w:color w:val="5F5F5F"/>
          <w:szCs w:val="19"/>
        </w:rPr>
        <w:t xml:space="preserve"> exploration and appraisal wells in the coming two years will assess not only the South Lokichar Basin but up to a further six separate Tertiary Rift Basins across Tullow’s Kenyan acreage. Tullow is currently operating three rigs, the PR Marriott 46, Weatherford 804 and Sakson PR5 rigs and a workover unit, the SMP-5. </w:t>
      </w:r>
    </w:p>
    <w:p w:rsidR="006575AE" w:rsidRPr="00A5650F" w:rsidRDefault="006575AE" w:rsidP="00FB358D">
      <w:pPr>
        <w:spacing w:after="120"/>
        <w:rPr>
          <w:rFonts w:asciiTheme="minorHAnsi" w:hAnsiTheme="minorHAnsi" w:cstheme="minorHAnsi"/>
          <w:color w:val="5F5F5F"/>
          <w:szCs w:val="19"/>
        </w:rPr>
      </w:pPr>
      <w:r w:rsidRPr="00A5650F">
        <w:rPr>
          <w:rFonts w:asciiTheme="minorHAnsi" w:hAnsiTheme="minorHAnsi" w:cstheme="minorHAnsi"/>
          <w:color w:val="5F5F5F"/>
          <w:szCs w:val="19"/>
        </w:rPr>
        <w:t>Given the significant volumes discovered and the extensive exploration, appraisal and seismic programme planned to fully assess the upside po</w:t>
      </w:r>
      <w:r w:rsidR="00623009">
        <w:rPr>
          <w:rFonts w:asciiTheme="minorHAnsi" w:hAnsiTheme="minorHAnsi" w:cstheme="minorHAnsi"/>
          <w:color w:val="5F5F5F"/>
          <w:szCs w:val="19"/>
        </w:rPr>
        <w:t>tential of the South Lokichar B</w:t>
      </w:r>
      <w:r w:rsidRPr="00A5650F">
        <w:rPr>
          <w:rFonts w:asciiTheme="minorHAnsi" w:hAnsiTheme="minorHAnsi" w:cstheme="minorHAnsi"/>
          <w:color w:val="5F5F5F"/>
          <w:szCs w:val="19"/>
        </w:rPr>
        <w:t xml:space="preserve">asin, Tullow and </w:t>
      </w:r>
      <w:r w:rsidR="00866DB5" w:rsidRPr="00A5650F">
        <w:rPr>
          <w:rFonts w:asciiTheme="minorHAnsi" w:hAnsiTheme="minorHAnsi" w:cstheme="minorHAnsi"/>
          <w:color w:val="5F5F5F"/>
          <w:szCs w:val="19"/>
        </w:rPr>
        <w:t xml:space="preserve">its </w:t>
      </w:r>
      <w:r w:rsidRPr="00A5650F">
        <w:rPr>
          <w:rFonts w:asciiTheme="minorHAnsi" w:hAnsiTheme="minorHAnsi" w:cstheme="minorHAnsi"/>
          <w:color w:val="5F5F5F"/>
          <w:szCs w:val="19"/>
        </w:rPr>
        <w:t xml:space="preserve">partner have agreed with the Government of Kenya to commence development studies. In addition, the partnership is involved in a comprehensive pre-FEED study </w:t>
      </w:r>
      <w:r w:rsidR="00E86BAC" w:rsidRPr="00A5650F">
        <w:rPr>
          <w:rFonts w:asciiTheme="minorHAnsi" w:hAnsiTheme="minorHAnsi" w:cstheme="minorHAnsi"/>
          <w:color w:val="5F5F5F"/>
          <w:szCs w:val="19"/>
        </w:rPr>
        <w:t xml:space="preserve">for an </w:t>
      </w:r>
      <w:r w:rsidRPr="00A5650F">
        <w:rPr>
          <w:rFonts w:asciiTheme="minorHAnsi" w:hAnsiTheme="minorHAnsi" w:cstheme="minorHAnsi"/>
          <w:color w:val="5F5F5F"/>
          <w:szCs w:val="19"/>
        </w:rPr>
        <w:t>export pipeline. The current ambition of the Government of Kenya and the joint venture partnership is to reach project sanction for development, including an export pipeline, in 2015/2016. If further exploration success opens additional basins there will be scope for the development to be expanded.</w:t>
      </w:r>
    </w:p>
    <w:p w:rsidR="006575AE" w:rsidRPr="00A5650F" w:rsidRDefault="006575AE" w:rsidP="00FB358D">
      <w:pPr>
        <w:spacing w:after="120"/>
        <w:rPr>
          <w:rFonts w:asciiTheme="minorHAnsi" w:hAnsiTheme="minorHAnsi" w:cstheme="minorHAnsi"/>
          <w:color w:val="5F5F5F"/>
          <w:szCs w:val="19"/>
        </w:rPr>
      </w:pPr>
      <w:r w:rsidRPr="00A5650F">
        <w:rPr>
          <w:rFonts w:asciiTheme="minorHAnsi" w:hAnsiTheme="minorHAnsi" w:cstheme="minorHAnsi"/>
          <w:color w:val="5F5F5F"/>
          <w:szCs w:val="19"/>
        </w:rPr>
        <w:t xml:space="preserve">In the onshore </w:t>
      </w:r>
      <w:r w:rsidR="00623009" w:rsidRPr="00A5650F">
        <w:rPr>
          <w:rFonts w:asciiTheme="minorHAnsi" w:hAnsiTheme="minorHAnsi" w:cstheme="minorHAnsi"/>
          <w:color w:val="5F5F5F"/>
          <w:szCs w:val="19"/>
        </w:rPr>
        <w:t>Anza Basin</w:t>
      </w:r>
      <w:r w:rsidR="00623009">
        <w:rPr>
          <w:rFonts w:asciiTheme="minorHAnsi" w:hAnsiTheme="minorHAnsi" w:cstheme="minorHAnsi"/>
          <w:color w:val="5F5F5F"/>
          <w:szCs w:val="19"/>
        </w:rPr>
        <w:t xml:space="preserve">, </w:t>
      </w:r>
      <w:r w:rsidRPr="00A5650F">
        <w:rPr>
          <w:rFonts w:asciiTheme="minorHAnsi" w:hAnsiTheme="minorHAnsi" w:cstheme="minorHAnsi"/>
          <w:color w:val="5F5F5F"/>
          <w:szCs w:val="19"/>
        </w:rPr>
        <w:t xml:space="preserve">Block 10A, Tullow tested a Mesozoic </w:t>
      </w:r>
      <w:r w:rsidR="00623009">
        <w:rPr>
          <w:rFonts w:asciiTheme="minorHAnsi" w:hAnsiTheme="minorHAnsi" w:cstheme="minorHAnsi"/>
          <w:color w:val="5F5F5F"/>
          <w:szCs w:val="19"/>
        </w:rPr>
        <w:t>P</w:t>
      </w:r>
      <w:r w:rsidRPr="00A5650F">
        <w:rPr>
          <w:rFonts w:asciiTheme="minorHAnsi" w:hAnsiTheme="minorHAnsi" w:cstheme="minorHAnsi"/>
          <w:color w:val="5F5F5F"/>
          <w:szCs w:val="19"/>
        </w:rPr>
        <w:t xml:space="preserve">lay with the Paipai-1 commitment well in March 2013, encountering light hydrocarbon shows. The licence has subsequently been relinquished as the partnership focuses its activities on </w:t>
      </w:r>
      <w:r w:rsidRPr="00A02483">
        <w:rPr>
          <w:rFonts w:asciiTheme="minorHAnsi" w:hAnsiTheme="minorHAnsi" w:cstheme="minorHAnsi"/>
          <w:color w:val="5F5F5F"/>
          <w:szCs w:val="19"/>
        </w:rPr>
        <w:t xml:space="preserve">the </w:t>
      </w:r>
      <w:r w:rsidR="00B24AE8" w:rsidRPr="00A02483">
        <w:rPr>
          <w:rFonts w:asciiTheme="minorHAnsi" w:hAnsiTheme="minorHAnsi" w:cstheme="minorHAnsi"/>
          <w:color w:val="5F5F5F"/>
          <w:szCs w:val="19"/>
        </w:rPr>
        <w:t>main</w:t>
      </w:r>
      <w:r w:rsidR="00CB2178" w:rsidRPr="00A02483">
        <w:rPr>
          <w:rFonts w:asciiTheme="minorHAnsi" w:hAnsiTheme="minorHAnsi" w:cstheme="minorHAnsi"/>
          <w:color w:val="5F5F5F"/>
          <w:szCs w:val="19"/>
        </w:rPr>
        <w:t xml:space="preserve"> </w:t>
      </w:r>
      <w:r w:rsidRPr="00A02483">
        <w:rPr>
          <w:rFonts w:asciiTheme="minorHAnsi" w:hAnsiTheme="minorHAnsi" w:cstheme="minorHAnsi"/>
          <w:color w:val="5F5F5F"/>
          <w:szCs w:val="19"/>
        </w:rPr>
        <w:t>Tertiary</w:t>
      </w:r>
      <w:r w:rsidRPr="00A5650F">
        <w:rPr>
          <w:rFonts w:asciiTheme="minorHAnsi" w:hAnsiTheme="minorHAnsi" w:cstheme="minorHAnsi"/>
          <w:color w:val="5F5F5F"/>
          <w:szCs w:val="19"/>
        </w:rPr>
        <w:t xml:space="preserve"> Rift Play across Kenya and Ethiopia. </w:t>
      </w:r>
    </w:p>
    <w:p w:rsidR="000E2D65" w:rsidRPr="006575AE" w:rsidRDefault="000E2D65" w:rsidP="00FB358D">
      <w:pPr>
        <w:spacing w:after="120"/>
        <w:rPr>
          <w:rFonts w:asciiTheme="minorHAnsi" w:hAnsiTheme="minorHAnsi" w:cstheme="minorHAnsi"/>
          <w:color w:val="5F5F5F"/>
          <w:szCs w:val="19"/>
        </w:rPr>
      </w:pPr>
      <w:r w:rsidRPr="006575AE">
        <w:rPr>
          <w:rFonts w:asciiTheme="minorHAnsi" w:hAnsiTheme="minorHAnsi" w:cstheme="minorHAnsi"/>
          <w:color w:val="5F5F5F"/>
          <w:szCs w:val="19"/>
        </w:rPr>
        <w:t>Tullow also ha</w:t>
      </w:r>
      <w:r>
        <w:rPr>
          <w:rFonts w:asciiTheme="minorHAnsi" w:hAnsiTheme="minorHAnsi" w:cstheme="minorHAnsi"/>
          <w:color w:val="5F5F5F"/>
          <w:szCs w:val="19"/>
        </w:rPr>
        <w:t>d</w:t>
      </w:r>
      <w:r w:rsidRPr="006575AE">
        <w:rPr>
          <w:rFonts w:asciiTheme="minorHAnsi" w:hAnsiTheme="minorHAnsi" w:cstheme="minorHAnsi"/>
          <w:color w:val="5F5F5F"/>
          <w:szCs w:val="19"/>
        </w:rPr>
        <w:t xml:space="preserve"> a 15% interest in </w:t>
      </w:r>
      <w:r>
        <w:rPr>
          <w:rFonts w:asciiTheme="minorHAnsi" w:hAnsiTheme="minorHAnsi" w:cstheme="minorHAnsi"/>
          <w:color w:val="5F5F5F"/>
          <w:szCs w:val="19"/>
        </w:rPr>
        <w:t xml:space="preserve">offshore </w:t>
      </w:r>
      <w:r w:rsidRPr="006575AE">
        <w:rPr>
          <w:rFonts w:asciiTheme="minorHAnsi" w:hAnsiTheme="minorHAnsi" w:cstheme="minorHAnsi"/>
          <w:color w:val="5F5F5F"/>
          <w:szCs w:val="19"/>
        </w:rPr>
        <w:t>Block L8, targeting a separate Transform Margin Play</w:t>
      </w:r>
      <w:r>
        <w:rPr>
          <w:rFonts w:asciiTheme="minorHAnsi" w:hAnsiTheme="minorHAnsi" w:cstheme="minorHAnsi"/>
          <w:color w:val="5F5F5F"/>
          <w:szCs w:val="19"/>
        </w:rPr>
        <w:t>, but the licence was relinquished in January 2014</w:t>
      </w:r>
      <w:r w:rsidRPr="006575AE">
        <w:rPr>
          <w:rFonts w:asciiTheme="minorHAnsi" w:hAnsiTheme="minorHAnsi" w:cstheme="minorHAnsi"/>
          <w:color w:val="5F5F5F"/>
          <w:szCs w:val="19"/>
        </w:rPr>
        <w:t>.</w:t>
      </w:r>
    </w:p>
    <w:p w:rsidR="00DC37D5" w:rsidRDefault="00DC37D5" w:rsidP="006B4FE1">
      <w:pPr>
        <w:pStyle w:val="Default"/>
        <w:spacing w:before="240" w:after="40"/>
        <w:jc w:val="both"/>
        <w:rPr>
          <w:rFonts w:asciiTheme="minorHAnsi" w:hAnsiTheme="minorHAnsi" w:cstheme="minorHAnsi"/>
          <w:b/>
          <w:color w:val="00305C"/>
          <w:sz w:val="22"/>
          <w:szCs w:val="22"/>
          <w:lang w:val="en-GB"/>
        </w:rPr>
      </w:pPr>
    </w:p>
    <w:p w:rsidR="006575AE" w:rsidRPr="00AA05A1" w:rsidRDefault="006575AE" w:rsidP="006B4FE1">
      <w:pPr>
        <w:pStyle w:val="Default"/>
        <w:spacing w:before="240" w:after="40"/>
        <w:jc w:val="both"/>
        <w:rPr>
          <w:rFonts w:asciiTheme="minorHAnsi" w:hAnsiTheme="minorHAnsi" w:cstheme="minorHAnsi"/>
          <w:b/>
          <w:color w:val="00305C"/>
          <w:sz w:val="22"/>
          <w:szCs w:val="22"/>
          <w:lang w:val="en-GB"/>
        </w:rPr>
      </w:pPr>
      <w:r w:rsidRPr="00AA05A1">
        <w:rPr>
          <w:rFonts w:asciiTheme="minorHAnsi" w:hAnsiTheme="minorHAnsi" w:cstheme="minorHAnsi"/>
          <w:b/>
          <w:color w:val="00305C"/>
          <w:sz w:val="22"/>
          <w:szCs w:val="22"/>
          <w:lang w:val="en-GB"/>
        </w:rPr>
        <w:t>Ethiopia</w:t>
      </w:r>
    </w:p>
    <w:p w:rsidR="006575AE" w:rsidRPr="00AA05A1" w:rsidRDefault="006575AE" w:rsidP="00AA05A1">
      <w:pPr>
        <w:spacing w:after="120"/>
        <w:rPr>
          <w:rFonts w:asciiTheme="minorHAnsi" w:hAnsiTheme="minorHAnsi" w:cstheme="minorHAnsi"/>
          <w:color w:val="5F5F5F"/>
          <w:szCs w:val="19"/>
        </w:rPr>
      </w:pPr>
      <w:r w:rsidRPr="00AA05A1">
        <w:rPr>
          <w:rFonts w:asciiTheme="minorHAnsi" w:hAnsiTheme="minorHAnsi" w:cstheme="minorHAnsi"/>
          <w:color w:val="5F5F5F"/>
          <w:szCs w:val="19"/>
        </w:rPr>
        <w:t>In Ethiopia, Tullow has a 50% operated interest in the South Omo block, its most northerly interest in the Kenya-Ethiopia Tertiary Rift system</w:t>
      </w:r>
      <w:r w:rsidR="00ED6D17" w:rsidRPr="00AA05A1">
        <w:rPr>
          <w:rFonts w:asciiTheme="minorHAnsi" w:hAnsiTheme="minorHAnsi" w:cstheme="minorHAnsi"/>
          <w:color w:val="5F5F5F"/>
          <w:szCs w:val="19"/>
        </w:rPr>
        <w:t xml:space="preserve">. At </w:t>
      </w:r>
      <w:r w:rsidRPr="00AA05A1">
        <w:rPr>
          <w:rFonts w:asciiTheme="minorHAnsi" w:hAnsiTheme="minorHAnsi" w:cstheme="minorHAnsi"/>
          <w:color w:val="5F5F5F"/>
          <w:szCs w:val="19"/>
        </w:rPr>
        <w:t xml:space="preserve">least </w:t>
      </w:r>
      <w:r w:rsidR="00B24AE8" w:rsidRPr="00A02483">
        <w:rPr>
          <w:rFonts w:asciiTheme="minorHAnsi" w:hAnsiTheme="minorHAnsi" w:cstheme="minorHAnsi"/>
          <w:color w:val="5F5F5F"/>
          <w:szCs w:val="19"/>
        </w:rPr>
        <w:t>three</w:t>
      </w:r>
      <w:r w:rsidR="00CB2178" w:rsidRPr="00AA05A1">
        <w:rPr>
          <w:rFonts w:asciiTheme="minorHAnsi" w:hAnsiTheme="minorHAnsi" w:cstheme="minorHAnsi"/>
          <w:color w:val="5F5F5F"/>
          <w:szCs w:val="19"/>
        </w:rPr>
        <w:t xml:space="preserve"> </w:t>
      </w:r>
      <w:r w:rsidRPr="00AA05A1">
        <w:rPr>
          <w:rFonts w:asciiTheme="minorHAnsi" w:hAnsiTheme="minorHAnsi" w:cstheme="minorHAnsi"/>
          <w:color w:val="5F5F5F"/>
          <w:szCs w:val="19"/>
        </w:rPr>
        <w:t>independent basins have been identified. In January 2013, Tullow commenced drilling Sabisa-1, the first ever well in this frontier acreage in the South Omo Basin. The well encountered reservoir quality sands</w:t>
      </w:r>
      <w:r w:rsidR="00D55054" w:rsidRPr="00AA05A1">
        <w:rPr>
          <w:rFonts w:asciiTheme="minorHAnsi" w:hAnsiTheme="minorHAnsi" w:cstheme="minorHAnsi"/>
          <w:color w:val="5F5F5F"/>
          <w:szCs w:val="19"/>
        </w:rPr>
        <w:t xml:space="preserve"> containing heavy gas </w:t>
      </w:r>
      <w:r w:rsidRPr="00AA05A1">
        <w:rPr>
          <w:rFonts w:asciiTheme="minorHAnsi" w:hAnsiTheme="minorHAnsi" w:cstheme="minorHAnsi"/>
          <w:color w:val="5F5F5F"/>
          <w:szCs w:val="19"/>
        </w:rPr>
        <w:t xml:space="preserve">shows and a thick shale section. Tullow </w:t>
      </w:r>
      <w:r w:rsidR="00951052" w:rsidRPr="00AA05A1">
        <w:rPr>
          <w:rFonts w:asciiTheme="minorHAnsi" w:hAnsiTheme="minorHAnsi" w:cstheme="minorHAnsi"/>
          <w:color w:val="5F5F5F"/>
          <w:szCs w:val="19"/>
        </w:rPr>
        <w:t xml:space="preserve">then </w:t>
      </w:r>
      <w:r w:rsidRPr="00AA05A1">
        <w:rPr>
          <w:rFonts w:asciiTheme="minorHAnsi" w:hAnsiTheme="minorHAnsi" w:cstheme="minorHAnsi"/>
          <w:color w:val="5F5F5F"/>
          <w:szCs w:val="19"/>
        </w:rPr>
        <w:t xml:space="preserve">drilled the Tultule-1 well in the same basin four kilometres east of Sabisa-1. In December 2013, the well was abandoned as a dry hole with gas shows recorded. </w:t>
      </w:r>
      <w:r w:rsidR="00951052" w:rsidRPr="00AA05A1">
        <w:rPr>
          <w:rFonts w:asciiTheme="minorHAnsi" w:hAnsiTheme="minorHAnsi" w:cstheme="minorHAnsi"/>
          <w:color w:val="5F5F5F"/>
          <w:szCs w:val="19"/>
        </w:rPr>
        <w:t>T</w:t>
      </w:r>
      <w:r w:rsidR="00A17194" w:rsidRPr="00AA05A1">
        <w:rPr>
          <w:rFonts w:asciiTheme="minorHAnsi" w:hAnsiTheme="minorHAnsi" w:cstheme="minorHAnsi"/>
          <w:color w:val="5F5F5F"/>
          <w:szCs w:val="19"/>
        </w:rPr>
        <w:t>he presence of</w:t>
      </w:r>
      <w:r w:rsidRPr="00AA05A1">
        <w:rPr>
          <w:rFonts w:asciiTheme="minorHAnsi" w:hAnsiTheme="minorHAnsi" w:cstheme="minorHAnsi"/>
          <w:color w:val="5F5F5F"/>
          <w:szCs w:val="19"/>
        </w:rPr>
        <w:t xml:space="preserve"> source rocks, reservoir sands and good seals is encouraging for the numerous fault bounded traps identified </w:t>
      </w:r>
      <w:r w:rsidR="00B24AE8" w:rsidRPr="00A02483">
        <w:rPr>
          <w:rFonts w:asciiTheme="minorHAnsi" w:hAnsiTheme="minorHAnsi" w:cstheme="minorHAnsi"/>
          <w:color w:val="5F5F5F"/>
          <w:szCs w:val="19"/>
        </w:rPr>
        <w:t>elsewhere</w:t>
      </w:r>
      <w:r w:rsidR="00CB2178">
        <w:rPr>
          <w:rFonts w:asciiTheme="minorHAnsi" w:hAnsiTheme="minorHAnsi" w:cstheme="minorHAnsi"/>
          <w:color w:val="5F5F5F"/>
          <w:szCs w:val="19"/>
        </w:rPr>
        <w:t xml:space="preserve"> </w:t>
      </w:r>
      <w:r w:rsidRPr="00AA05A1">
        <w:rPr>
          <w:rFonts w:asciiTheme="minorHAnsi" w:hAnsiTheme="minorHAnsi" w:cstheme="minorHAnsi"/>
          <w:color w:val="5F5F5F"/>
          <w:szCs w:val="19"/>
        </w:rPr>
        <w:t xml:space="preserve">in the basin where some </w:t>
      </w:r>
      <w:r w:rsidR="00DD2C5B" w:rsidRPr="00AA05A1">
        <w:rPr>
          <w:rFonts w:asciiTheme="minorHAnsi" w:hAnsiTheme="minorHAnsi" w:cstheme="minorHAnsi"/>
          <w:color w:val="5F5F5F"/>
          <w:szCs w:val="19"/>
        </w:rPr>
        <w:t>10</w:t>
      </w:r>
      <w:r w:rsidRPr="00AA05A1">
        <w:rPr>
          <w:rFonts w:asciiTheme="minorHAnsi" w:hAnsiTheme="minorHAnsi" w:cstheme="minorHAnsi"/>
          <w:color w:val="5F5F5F"/>
          <w:szCs w:val="19"/>
        </w:rPr>
        <w:t xml:space="preserve"> prospects have been identified.</w:t>
      </w:r>
    </w:p>
    <w:p w:rsidR="006575AE" w:rsidRPr="00AA05A1" w:rsidRDefault="006575AE" w:rsidP="00AA05A1">
      <w:pPr>
        <w:spacing w:after="120"/>
        <w:rPr>
          <w:rFonts w:asciiTheme="minorHAnsi" w:hAnsiTheme="minorHAnsi" w:cstheme="minorHAnsi"/>
          <w:color w:val="5F5F5F"/>
          <w:szCs w:val="19"/>
        </w:rPr>
      </w:pPr>
      <w:r w:rsidRPr="00AA05A1">
        <w:rPr>
          <w:rFonts w:asciiTheme="minorHAnsi" w:hAnsiTheme="minorHAnsi" w:cstheme="minorHAnsi"/>
          <w:color w:val="5F5F5F"/>
          <w:szCs w:val="19"/>
        </w:rPr>
        <w:t>The OGEC rig is curr</w:t>
      </w:r>
      <w:r w:rsidR="00623009">
        <w:rPr>
          <w:rFonts w:asciiTheme="minorHAnsi" w:hAnsiTheme="minorHAnsi" w:cstheme="minorHAnsi"/>
          <w:color w:val="5F5F5F"/>
          <w:szCs w:val="19"/>
        </w:rPr>
        <w:t>ently moving to the Chew Bahir B</w:t>
      </w:r>
      <w:r w:rsidRPr="00AA05A1">
        <w:rPr>
          <w:rFonts w:asciiTheme="minorHAnsi" w:hAnsiTheme="minorHAnsi" w:cstheme="minorHAnsi"/>
          <w:color w:val="5F5F5F"/>
          <w:szCs w:val="19"/>
        </w:rPr>
        <w:t xml:space="preserve">asin to drill the Shimela prospect in the eastern portion of the South Omo block where new seismic has delineated a number of exciting new prospects, some of which have encouraging seismic amplitude anomalies.  The well is expected to spud at the end of the first quarter of 2014 with the aim of derisking some further </w:t>
      </w:r>
      <w:r w:rsidR="00DD2C5B" w:rsidRPr="00AA05A1">
        <w:rPr>
          <w:rFonts w:asciiTheme="minorHAnsi" w:hAnsiTheme="minorHAnsi" w:cstheme="minorHAnsi"/>
          <w:color w:val="5F5F5F"/>
          <w:szCs w:val="19"/>
        </w:rPr>
        <w:t>15</w:t>
      </w:r>
      <w:r w:rsidRPr="00AA05A1">
        <w:rPr>
          <w:rFonts w:asciiTheme="minorHAnsi" w:hAnsiTheme="minorHAnsi" w:cstheme="minorHAnsi"/>
          <w:color w:val="5F5F5F"/>
          <w:szCs w:val="19"/>
        </w:rPr>
        <w:t xml:space="preserve"> prospects and leads across the basin.</w:t>
      </w:r>
    </w:p>
    <w:p w:rsidR="006575AE" w:rsidRPr="00AA05A1" w:rsidRDefault="006575AE" w:rsidP="006B4FE1">
      <w:pPr>
        <w:pStyle w:val="Default"/>
        <w:spacing w:before="240" w:after="40"/>
        <w:jc w:val="both"/>
        <w:rPr>
          <w:rFonts w:asciiTheme="minorHAnsi" w:hAnsiTheme="minorHAnsi" w:cstheme="minorHAnsi"/>
          <w:b/>
          <w:color w:val="00305C"/>
          <w:sz w:val="22"/>
          <w:szCs w:val="22"/>
          <w:lang w:val="en-GB"/>
        </w:rPr>
      </w:pPr>
      <w:r w:rsidRPr="00AA05A1">
        <w:rPr>
          <w:rFonts w:asciiTheme="minorHAnsi" w:hAnsiTheme="minorHAnsi" w:cstheme="minorHAnsi"/>
          <w:b/>
          <w:color w:val="00305C"/>
          <w:sz w:val="22"/>
          <w:szCs w:val="22"/>
          <w:lang w:val="en-GB"/>
        </w:rPr>
        <w:t>Uganda</w:t>
      </w:r>
    </w:p>
    <w:p w:rsidR="006575AE" w:rsidRPr="00AA05A1" w:rsidRDefault="000C0788" w:rsidP="00AA05A1">
      <w:pPr>
        <w:spacing w:after="120"/>
        <w:rPr>
          <w:rFonts w:asciiTheme="minorHAnsi" w:hAnsiTheme="minorHAnsi" w:cstheme="minorHAnsi"/>
          <w:color w:val="5F5F5F"/>
          <w:szCs w:val="19"/>
        </w:rPr>
      </w:pPr>
      <w:r w:rsidRPr="00AA05A1">
        <w:rPr>
          <w:rFonts w:asciiTheme="minorHAnsi" w:hAnsiTheme="minorHAnsi" w:cstheme="minorHAnsi"/>
          <w:color w:val="5F5F5F"/>
          <w:szCs w:val="19"/>
        </w:rPr>
        <w:t>Tullow has</w:t>
      </w:r>
      <w:r w:rsidR="006575AE" w:rsidRPr="00AA05A1">
        <w:rPr>
          <w:rFonts w:asciiTheme="minorHAnsi" w:hAnsiTheme="minorHAnsi" w:cstheme="minorHAnsi"/>
          <w:color w:val="5F5F5F"/>
          <w:szCs w:val="19"/>
        </w:rPr>
        <w:t xml:space="preserve"> a one-third interest in each of </w:t>
      </w:r>
      <w:r w:rsidR="00FC48C0" w:rsidRPr="00AA05A1">
        <w:rPr>
          <w:rFonts w:asciiTheme="minorHAnsi" w:hAnsiTheme="minorHAnsi" w:cstheme="minorHAnsi"/>
          <w:color w:val="5F5F5F"/>
          <w:szCs w:val="19"/>
        </w:rPr>
        <w:t xml:space="preserve">four </w:t>
      </w:r>
      <w:r w:rsidRPr="00AA05A1">
        <w:rPr>
          <w:rFonts w:asciiTheme="minorHAnsi" w:hAnsiTheme="minorHAnsi" w:cstheme="minorHAnsi"/>
          <w:color w:val="5F5F5F"/>
          <w:szCs w:val="19"/>
        </w:rPr>
        <w:t xml:space="preserve">licences in the Lake Albert Rift </w:t>
      </w:r>
      <w:r w:rsidR="00571515" w:rsidRPr="00AA05A1">
        <w:rPr>
          <w:rFonts w:asciiTheme="minorHAnsi" w:hAnsiTheme="minorHAnsi" w:cstheme="minorHAnsi"/>
          <w:color w:val="5F5F5F"/>
          <w:szCs w:val="19"/>
        </w:rPr>
        <w:t>B</w:t>
      </w:r>
      <w:r w:rsidRPr="00AA05A1">
        <w:rPr>
          <w:rFonts w:asciiTheme="minorHAnsi" w:hAnsiTheme="minorHAnsi" w:cstheme="minorHAnsi"/>
          <w:color w:val="5F5F5F"/>
          <w:szCs w:val="19"/>
        </w:rPr>
        <w:t>asin</w:t>
      </w:r>
      <w:r w:rsidR="00040E69">
        <w:rPr>
          <w:rFonts w:asciiTheme="minorHAnsi" w:hAnsiTheme="minorHAnsi" w:cstheme="minorHAnsi"/>
          <w:color w:val="5F5F5F"/>
          <w:szCs w:val="19"/>
        </w:rPr>
        <w:t>.</w:t>
      </w:r>
      <w:r w:rsidRPr="00AA05A1">
        <w:rPr>
          <w:rFonts w:asciiTheme="minorHAnsi" w:hAnsiTheme="minorHAnsi" w:cstheme="minorHAnsi"/>
          <w:color w:val="5F5F5F"/>
          <w:szCs w:val="19"/>
        </w:rPr>
        <w:t xml:space="preserve"> </w:t>
      </w:r>
      <w:r w:rsidR="006575AE" w:rsidRPr="00AA05A1">
        <w:rPr>
          <w:rFonts w:asciiTheme="minorHAnsi" w:hAnsiTheme="minorHAnsi" w:cstheme="minorHAnsi"/>
          <w:color w:val="5F5F5F"/>
          <w:szCs w:val="19"/>
        </w:rPr>
        <w:t xml:space="preserve">Operating responsibilities within the basin are divided between the Partners: Total operates EA-1 </w:t>
      </w:r>
      <w:r w:rsidR="00A5650F" w:rsidRPr="00AA05A1">
        <w:rPr>
          <w:rFonts w:asciiTheme="minorHAnsi" w:hAnsiTheme="minorHAnsi" w:cstheme="minorHAnsi"/>
          <w:color w:val="5F5F5F"/>
          <w:szCs w:val="19"/>
        </w:rPr>
        <w:t>and EA-1A</w:t>
      </w:r>
      <w:r w:rsidR="00DC37D5">
        <w:rPr>
          <w:rFonts w:asciiTheme="minorHAnsi" w:hAnsiTheme="minorHAnsi" w:cstheme="minorHAnsi"/>
          <w:color w:val="5F5F5F"/>
          <w:szCs w:val="19"/>
        </w:rPr>
        <w:t>;</w:t>
      </w:r>
      <w:r w:rsidR="006575AE" w:rsidRPr="00AA05A1">
        <w:rPr>
          <w:rFonts w:asciiTheme="minorHAnsi" w:hAnsiTheme="minorHAnsi" w:cstheme="minorHAnsi"/>
          <w:color w:val="5F5F5F"/>
          <w:szCs w:val="19"/>
        </w:rPr>
        <w:t xml:space="preserve"> Tullow operates EA-2</w:t>
      </w:r>
      <w:r w:rsidR="00DC37D5">
        <w:rPr>
          <w:rFonts w:asciiTheme="minorHAnsi" w:hAnsiTheme="minorHAnsi" w:cstheme="minorHAnsi"/>
          <w:color w:val="5F5F5F"/>
          <w:szCs w:val="19"/>
        </w:rPr>
        <w:t xml:space="preserve">; and </w:t>
      </w:r>
      <w:r w:rsidR="006575AE" w:rsidRPr="00AA05A1">
        <w:rPr>
          <w:rFonts w:asciiTheme="minorHAnsi" w:hAnsiTheme="minorHAnsi" w:cstheme="minorHAnsi"/>
          <w:color w:val="5F5F5F"/>
          <w:szCs w:val="19"/>
        </w:rPr>
        <w:t xml:space="preserve">CNOOC </w:t>
      </w:r>
      <w:r w:rsidR="00DC37D5">
        <w:rPr>
          <w:rFonts w:asciiTheme="minorHAnsi" w:hAnsiTheme="minorHAnsi" w:cstheme="minorHAnsi"/>
          <w:color w:val="5F5F5F"/>
          <w:szCs w:val="19"/>
        </w:rPr>
        <w:t>Limited</w:t>
      </w:r>
      <w:r w:rsidR="006575AE" w:rsidRPr="00AA05A1">
        <w:rPr>
          <w:rFonts w:asciiTheme="minorHAnsi" w:hAnsiTheme="minorHAnsi" w:cstheme="minorHAnsi"/>
          <w:color w:val="5F5F5F"/>
          <w:szCs w:val="19"/>
        </w:rPr>
        <w:t xml:space="preserve"> operates the Kingfisher </w:t>
      </w:r>
      <w:r w:rsidR="00571515" w:rsidRPr="00AA05A1">
        <w:rPr>
          <w:rFonts w:asciiTheme="minorHAnsi" w:hAnsiTheme="minorHAnsi" w:cstheme="minorHAnsi"/>
          <w:color w:val="5F5F5F"/>
          <w:szCs w:val="19"/>
        </w:rPr>
        <w:t>P</w:t>
      </w:r>
      <w:r w:rsidR="006575AE" w:rsidRPr="00AA05A1">
        <w:rPr>
          <w:rFonts w:asciiTheme="minorHAnsi" w:hAnsiTheme="minorHAnsi" w:cstheme="minorHAnsi"/>
          <w:color w:val="5F5F5F"/>
          <w:szCs w:val="19"/>
        </w:rPr>
        <w:t xml:space="preserve">roduction </w:t>
      </w:r>
      <w:r w:rsidR="00571515" w:rsidRPr="00AA05A1">
        <w:rPr>
          <w:rFonts w:asciiTheme="minorHAnsi" w:hAnsiTheme="minorHAnsi" w:cstheme="minorHAnsi"/>
          <w:color w:val="5F5F5F"/>
          <w:szCs w:val="19"/>
        </w:rPr>
        <w:t>L</w:t>
      </w:r>
      <w:r w:rsidR="006575AE" w:rsidRPr="00AA05A1">
        <w:rPr>
          <w:rFonts w:asciiTheme="minorHAnsi" w:hAnsiTheme="minorHAnsi" w:cstheme="minorHAnsi"/>
          <w:color w:val="5F5F5F"/>
          <w:szCs w:val="19"/>
        </w:rPr>
        <w:t xml:space="preserve">icence. </w:t>
      </w:r>
    </w:p>
    <w:p w:rsidR="00040E69" w:rsidRDefault="00040E69" w:rsidP="00AA05A1">
      <w:pPr>
        <w:spacing w:after="120"/>
        <w:rPr>
          <w:rFonts w:asciiTheme="minorHAnsi" w:hAnsiTheme="minorHAnsi" w:cstheme="minorHAnsi"/>
          <w:color w:val="5F5F5F"/>
          <w:szCs w:val="19"/>
        </w:rPr>
      </w:pPr>
      <w:r>
        <w:rPr>
          <w:rFonts w:asciiTheme="minorHAnsi" w:hAnsiTheme="minorHAnsi" w:cstheme="minorHAnsi"/>
          <w:color w:val="5F5F5F"/>
          <w:szCs w:val="19"/>
        </w:rPr>
        <w:t>Operational a</w:t>
      </w:r>
      <w:r w:rsidR="006575AE" w:rsidRPr="00AA05A1">
        <w:rPr>
          <w:rFonts w:asciiTheme="minorHAnsi" w:hAnsiTheme="minorHAnsi" w:cstheme="minorHAnsi"/>
          <w:color w:val="5F5F5F"/>
          <w:szCs w:val="19"/>
        </w:rPr>
        <w:t xml:space="preserve">ctivities </w:t>
      </w:r>
      <w:r w:rsidR="004276BE">
        <w:rPr>
          <w:rFonts w:asciiTheme="minorHAnsi" w:hAnsiTheme="minorHAnsi" w:cstheme="minorHAnsi"/>
          <w:color w:val="5F5F5F"/>
          <w:szCs w:val="19"/>
        </w:rPr>
        <w:t xml:space="preserve">have focused on completing </w:t>
      </w:r>
      <w:r>
        <w:rPr>
          <w:rFonts w:asciiTheme="minorHAnsi" w:hAnsiTheme="minorHAnsi" w:cstheme="minorHAnsi"/>
          <w:color w:val="5F5F5F"/>
          <w:szCs w:val="19"/>
        </w:rPr>
        <w:t>numerous a</w:t>
      </w:r>
      <w:r w:rsidR="006575AE" w:rsidRPr="00AA05A1">
        <w:rPr>
          <w:rFonts w:asciiTheme="minorHAnsi" w:hAnsiTheme="minorHAnsi" w:cstheme="minorHAnsi"/>
          <w:color w:val="5F5F5F"/>
          <w:szCs w:val="19"/>
        </w:rPr>
        <w:t>ppraisal wells and flow tests with results achieving or exceeding expectations</w:t>
      </w:r>
      <w:r w:rsidR="00CF1D7B">
        <w:rPr>
          <w:rFonts w:asciiTheme="minorHAnsi" w:hAnsiTheme="minorHAnsi" w:cstheme="minorHAnsi"/>
          <w:color w:val="5F5F5F"/>
          <w:szCs w:val="19"/>
        </w:rPr>
        <w:t xml:space="preserve">. These </w:t>
      </w:r>
      <w:r>
        <w:rPr>
          <w:rFonts w:asciiTheme="minorHAnsi" w:hAnsiTheme="minorHAnsi" w:cstheme="minorHAnsi"/>
          <w:color w:val="5F5F5F"/>
          <w:szCs w:val="19"/>
        </w:rPr>
        <w:t>includ</w:t>
      </w:r>
      <w:r w:rsidR="00CF1D7B">
        <w:rPr>
          <w:rFonts w:asciiTheme="minorHAnsi" w:hAnsiTheme="minorHAnsi" w:cstheme="minorHAnsi"/>
          <w:color w:val="5F5F5F"/>
          <w:szCs w:val="19"/>
        </w:rPr>
        <w:t>ed</w:t>
      </w:r>
      <w:r>
        <w:rPr>
          <w:rFonts w:asciiTheme="minorHAnsi" w:hAnsiTheme="minorHAnsi" w:cstheme="minorHAnsi"/>
          <w:color w:val="5F5F5F"/>
          <w:szCs w:val="19"/>
        </w:rPr>
        <w:t xml:space="preserve"> </w:t>
      </w:r>
      <w:r w:rsidR="004276BE">
        <w:rPr>
          <w:rFonts w:asciiTheme="minorHAnsi" w:hAnsiTheme="minorHAnsi" w:cstheme="minorHAnsi"/>
          <w:color w:val="5F5F5F"/>
          <w:szCs w:val="19"/>
        </w:rPr>
        <w:t xml:space="preserve">the </w:t>
      </w:r>
      <w:r w:rsidR="00CE27E7" w:rsidRPr="00AA05A1">
        <w:rPr>
          <w:rFonts w:asciiTheme="minorHAnsi" w:hAnsiTheme="minorHAnsi" w:cstheme="minorHAnsi"/>
          <w:color w:val="5F5F5F"/>
          <w:szCs w:val="19"/>
        </w:rPr>
        <w:t xml:space="preserve">Waraga-3 well </w:t>
      </w:r>
      <w:r>
        <w:rPr>
          <w:rFonts w:asciiTheme="minorHAnsi" w:hAnsiTheme="minorHAnsi" w:cstheme="minorHAnsi"/>
          <w:color w:val="5F5F5F"/>
          <w:szCs w:val="19"/>
        </w:rPr>
        <w:t>which</w:t>
      </w:r>
      <w:r w:rsidR="00CE27E7" w:rsidRPr="00AA05A1">
        <w:rPr>
          <w:rFonts w:asciiTheme="minorHAnsi" w:hAnsiTheme="minorHAnsi" w:cstheme="minorHAnsi"/>
          <w:color w:val="5F5F5F"/>
          <w:szCs w:val="19"/>
        </w:rPr>
        <w:t xml:space="preserve"> discovered 93 metres of net oil pay, the largest pay tally since the start of the campaign</w:t>
      </w:r>
      <w:r>
        <w:rPr>
          <w:rFonts w:asciiTheme="minorHAnsi" w:hAnsiTheme="minorHAnsi" w:cstheme="minorHAnsi"/>
          <w:color w:val="5F5F5F"/>
          <w:szCs w:val="19"/>
        </w:rPr>
        <w:t xml:space="preserve">, </w:t>
      </w:r>
      <w:r w:rsidR="00A8510D">
        <w:rPr>
          <w:rFonts w:asciiTheme="minorHAnsi" w:hAnsiTheme="minorHAnsi" w:cstheme="minorHAnsi"/>
          <w:color w:val="5F5F5F"/>
          <w:szCs w:val="19"/>
        </w:rPr>
        <w:t xml:space="preserve">and </w:t>
      </w:r>
      <w:r>
        <w:rPr>
          <w:rFonts w:asciiTheme="minorHAnsi" w:hAnsiTheme="minorHAnsi" w:cstheme="minorHAnsi"/>
          <w:color w:val="5F5F5F"/>
          <w:szCs w:val="19"/>
        </w:rPr>
        <w:t>the</w:t>
      </w:r>
      <w:r w:rsidR="006575AE" w:rsidRPr="00AA05A1">
        <w:rPr>
          <w:rFonts w:asciiTheme="minorHAnsi" w:hAnsiTheme="minorHAnsi" w:cstheme="minorHAnsi"/>
          <w:color w:val="5F5F5F"/>
          <w:szCs w:val="19"/>
        </w:rPr>
        <w:t xml:space="preserve"> Jobi-6 well </w:t>
      </w:r>
      <w:r w:rsidR="00CF1D7B">
        <w:rPr>
          <w:rFonts w:asciiTheme="minorHAnsi" w:hAnsiTheme="minorHAnsi" w:cstheme="minorHAnsi"/>
          <w:color w:val="5F5F5F"/>
          <w:szCs w:val="19"/>
        </w:rPr>
        <w:t xml:space="preserve">which </w:t>
      </w:r>
      <w:r w:rsidR="006575AE" w:rsidRPr="00AA05A1">
        <w:rPr>
          <w:rFonts w:asciiTheme="minorHAnsi" w:hAnsiTheme="minorHAnsi" w:cstheme="minorHAnsi"/>
          <w:color w:val="5F5F5F"/>
          <w:szCs w:val="19"/>
        </w:rPr>
        <w:t>successfully tested horizontal drilling techniques, resulting in enhanced well productivity.</w:t>
      </w:r>
      <w:r w:rsidRPr="00AA05A1">
        <w:rPr>
          <w:rFonts w:asciiTheme="minorHAnsi" w:hAnsiTheme="minorHAnsi" w:cstheme="minorHAnsi"/>
          <w:color w:val="5F5F5F"/>
          <w:szCs w:val="19"/>
        </w:rPr>
        <w:t xml:space="preserve"> </w:t>
      </w:r>
      <w:r w:rsidR="00CF1D7B">
        <w:rPr>
          <w:rFonts w:asciiTheme="minorHAnsi" w:hAnsiTheme="minorHAnsi" w:cstheme="minorHAnsi"/>
          <w:color w:val="5F5F5F"/>
          <w:szCs w:val="19"/>
        </w:rPr>
        <w:t>In addition, a</w:t>
      </w:r>
      <w:r w:rsidRPr="00AA05A1">
        <w:rPr>
          <w:rFonts w:asciiTheme="minorHAnsi" w:hAnsiTheme="minorHAnsi" w:cstheme="minorHAnsi"/>
          <w:color w:val="5F5F5F"/>
          <w:szCs w:val="19"/>
        </w:rPr>
        <w:t xml:space="preserve"> 3</w:t>
      </w:r>
      <w:r w:rsidR="00DC37D5">
        <w:rPr>
          <w:rFonts w:asciiTheme="minorHAnsi" w:hAnsiTheme="minorHAnsi" w:cstheme="minorHAnsi"/>
          <w:color w:val="5F5F5F"/>
          <w:szCs w:val="19"/>
        </w:rPr>
        <w:t>52</w:t>
      </w:r>
      <w:r w:rsidRPr="00AA05A1">
        <w:rPr>
          <w:rFonts w:asciiTheme="minorHAnsi" w:hAnsiTheme="minorHAnsi" w:cstheme="minorHAnsi"/>
          <w:color w:val="5F5F5F"/>
          <w:szCs w:val="19"/>
        </w:rPr>
        <w:t xml:space="preserve"> sq km 3D seismic</w:t>
      </w:r>
      <w:r w:rsidR="00A8510D">
        <w:rPr>
          <w:rFonts w:asciiTheme="minorHAnsi" w:hAnsiTheme="minorHAnsi" w:cstheme="minorHAnsi"/>
          <w:color w:val="5F5F5F"/>
          <w:szCs w:val="19"/>
        </w:rPr>
        <w:t xml:space="preserve"> acquisition</w:t>
      </w:r>
      <w:r w:rsidRPr="00AA05A1">
        <w:rPr>
          <w:rFonts w:asciiTheme="minorHAnsi" w:hAnsiTheme="minorHAnsi" w:cstheme="minorHAnsi"/>
          <w:color w:val="5F5F5F"/>
          <w:szCs w:val="19"/>
        </w:rPr>
        <w:t xml:space="preserve"> across EA1 continues with over half of the programme now completed. </w:t>
      </w:r>
      <w:r w:rsidR="006575AE" w:rsidRPr="00AA05A1">
        <w:rPr>
          <w:rFonts w:asciiTheme="minorHAnsi" w:hAnsiTheme="minorHAnsi" w:cstheme="minorHAnsi"/>
          <w:color w:val="5F5F5F"/>
          <w:szCs w:val="19"/>
        </w:rPr>
        <w:t xml:space="preserve">These successful activities continue to support our estimates of gross recoverable resources of </w:t>
      </w:r>
      <w:r>
        <w:rPr>
          <w:rFonts w:asciiTheme="minorHAnsi" w:hAnsiTheme="minorHAnsi" w:cstheme="minorHAnsi"/>
          <w:color w:val="5F5F5F"/>
          <w:szCs w:val="19"/>
        </w:rPr>
        <w:t xml:space="preserve">around </w:t>
      </w:r>
      <w:r w:rsidR="006575AE" w:rsidRPr="00AA05A1">
        <w:rPr>
          <w:rFonts w:asciiTheme="minorHAnsi" w:hAnsiTheme="minorHAnsi" w:cstheme="minorHAnsi"/>
          <w:color w:val="5F5F5F"/>
          <w:szCs w:val="19"/>
        </w:rPr>
        <w:t>1.7 billion barrels of oil</w:t>
      </w:r>
      <w:r>
        <w:rPr>
          <w:rFonts w:asciiTheme="minorHAnsi" w:hAnsiTheme="minorHAnsi" w:cstheme="minorHAnsi"/>
          <w:color w:val="5F5F5F"/>
          <w:szCs w:val="19"/>
        </w:rPr>
        <w:t>.</w:t>
      </w:r>
    </w:p>
    <w:p w:rsidR="00B80995" w:rsidRDefault="00BF7A7B" w:rsidP="00B80995">
      <w:pPr>
        <w:spacing w:after="120"/>
        <w:rPr>
          <w:rFonts w:asciiTheme="minorHAnsi" w:hAnsiTheme="minorHAnsi" w:cstheme="minorHAnsi"/>
          <w:color w:val="5F5F5F"/>
          <w:szCs w:val="19"/>
        </w:rPr>
      </w:pPr>
      <w:r w:rsidRPr="00AA05A1">
        <w:rPr>
          <w:rFonts w:asciiTheme="minorHAnsi" w:hAnsiTheme="minorHAnsi" w:cstheme="minorHAnsi"/>
          <w:color w:val="5F5F5F"/>
          <w:szCs w:val="19"/>
        </w:rPr>
        <w:t>A</w:t>
      </w:r>
      <w:r w:rsidR="006575AE" w:rsidRPr="00AA05A1">
        <w:rPr>
          <w:rFonts w:asciiTheme="minorHAnsi" w:hAnsiTheme="minorHAnsi" w:cstheme="minorHAnsi"/>
          <w:color w:val="5F5F5F"/>
          <w:szCs w:val="19"/>
        </w:rPr>
        <w:t xml:space="preserve"> Memorandum of Understanding (MoU) agreeing a commercialisation plan</w:t>
      </w:r>
      <w:r w:rsidRPr="00AA05A1">
        <w:rPr>
          <w:rFonts w:asciiTheme="minorHAnsi" w:hAnsiTheme="minorHAnsi" w:cstheme="minorHAnsi"/>
          <w:color w:val="5F5F5F"/>
          <w:szCs w:val="19"/>
        </w:rPr>
        <w:t xml:space="preserve"> with the Government of Uganda was signed on</w:t>
      </w:r>
      <w:r w:rsidR="000C0788" w:rsidRPr="00AA05A1">
        <w:rPr>
          <w:rFonts w:asciiTheme="minorHAnsi" w:hAnsiTheme="minorHAnsi" w:cstheme="minorHAnsi"/>
          <w:color w:val="5F5F5F"/>
          <w:szCs w:val="19"/>
        </w:rPr>
        <w:t xml:space="preserve"> </w:t>
      </w:r>
      <w:r w:rsidR="005F0A91" w:rsidRPr="00AA05A1">
        <w:rPr>
          <w:rFonts w:asciiTheme="minorHAnsi" w:hAnsiTheme="minorHAnsi" w:cstheme="minorHAnsi"/>
          <w:color w:val="5F5F5F"/>
          <w:szCs w:val="19"/>
        </w:rPr>
        <w:t>5</w:t>
      </w:r>
      <w:r w:rsidRPr="00AA05A1">
        <w:rPr>
          <w:rFonts w:asciiTheme="minorHAnsi" w:hAnsiTheme="minorHAnsi" w:cstheme="minorHAnsi"/>
          <w:color w:val="5F5F5F"/>
          <w:szCs w:val="19"/>
        </w:rPr>
        <w:t xml:space="preserve"> February 2014</w:t>
      </w:r>
      <w:r w:rsidR="004276BE">
        <w:rPr>
          <w:rFonts w:asciiTheme="minorHAnsi" w:hAnsiTheme="minorHAnsi" w:cstheme="minorHAnsi"/>
          <w:color w:val="5F5F5F"/>
          <w:szCs w:val="19"/>
        </w:rPr>
        <w:t xml:space="preserve">. </w:t>
      </w:r>
      <w:r w:rsidRPr="00AA05A1">
        <w:rPr>
          <w:rFonts w:asciiTheme="minorHAnsi" w:hAnsiTheme="minorHAnsi" w:cstheme="minorHAnsi"/>
          <w:color w:val="5F5F5F"/>
          <w:szCs w:val="19"/>
        </w:rPr>
        <w:t xml:space="preserve">The MoU concept </w:t>
      </w:r>
      <w:r w:rsidR="006575AE" w:rsidRPr="00AA05A1">
        <w:rPr>
          <w:rFonts w:asciiTheme="minorHAnsi" w:hAnsiTheme="minorHAnsi" w:cstheme="minorHAnsi"/>
          <w:color w:val="5F5F5F"/>
          <w:szCs w:val="19"/>
        </w:rPr>
        <w:t xml:space="preserve">involves an integrated development of the upstream, an export pipeline and a refinery </w:t>
      </w:r>
      <w:r w:rsidR="00CF1D7B" w:rsidRPr="00CF1D7B">
        <w:rPr>
          <w:rFonts w:asciiTheme="minorHAnsi" w:hAnsiTheme="minorHAnsi" w:cstheme="minorHAnsi"/>
          <w:color w:val="5F5F5F"/>
          <w:szCs w:val="19"/>
        </w:rPr>
        <w:t>of 60,000 bopd to be developed in a modular m</w:t>
      </w:r>
      <w:r w:rsidR="00CF1D7B">
        <w:rPr>
          <w:rFonts w:asciiTheme="minorHAnsi" w:hAnsiTheme="minorHAnsi" w:cstheme="minorHAnsi"/>
          <w:color w:val="5F5F5F"/>
          <w:szCs w:val="19"/>
        </w:rPr>
        <w:t>anner starting with 30,000 bopd</w:t>
      </w:r>
      <w:r w:rsidR="006575AE" w:rsidRPr="00AA05A1">
        <w:rPr>
          <w:rFonts w:asciiTheme="minorHAnsi" w:hAnsiTheme="minorHAnsi" w:cstheme="minorHAnsi"/>
          <w:color w:val="5F5F5F"/>
          <w:szCs w:val="19"/>
        </w:rPr>
        <w:t xml:space="preserve">. </w:t>
      </w:r>
      <w:r w:rsidR="00CF1D7B">
        <w:rPr>
          <w:rFonts w:asciiTheme="minorHAnsi" w:hAnsiTheme="minorHAnsi" w:cstheme="minorHAnsi"/>
          <w:color w:val="5F5F5F"/>
          <w:szCs w:val="19"/>
        </w:rPr>
        <w:t>A</w:t>
      </w:r>
      <w:r w:rsidR="00CF1D7B" w:rsidRPr="00CF1D7B">
        <w:rPr>
          <w:rFonts w:asciiTheme="minorHAnsi" w:hAnsiTheme="minorHAnsi" w:cstheme="minorHAnsi"/>
          <w:color w:val="5F5F5F"/>
          <w:szCs w:val="19"/>
        </w:rPr>
        <w:t xml:space="preserve"> lead investor </w:t>
      </w:r>
      <w:r w:rsidR="00CF1D7B">
        <w:rPr>
          <w:rFonts w:asciiTheme="minorHAnsi" w:hAnsiTheme="minorHAnsi" w:cstheme="minorHAnsi"/>
          <w:color w:val="5F5F5F"/>
          <w:szCs w:val="19"/>
        </w:rPr>
        <w:t xml:space="preserve">to develop the refinery </w:t>
      </w:r>
      <w:r w:rsidR="00CF1D7B" w:rsidRPr="00CF1D7B">
        <w:rPr>
          <w:rFonts w:asciiTheme="minorHAnsi" w:hAnsiTheme="minorHAnsi" w:cstheme="minorHAnsi"/>
          <w:color w:val="5F5F5F"/>
          <w:szCs w:val="19"/>
        </w:rPr>
        <w:t xml:space="preserve">is expected be selected by </w:t>
      </w:r>
      <w:r w:rsidR="00CF1D7B">
        <w:rPr>
          <w:rFonts w:asciiTheme="minorHAnsi" w:hAnsiTheme="minorHAnsi" w:cstheme="minorHAnsi"/>
          <w:color w:val="5F5F5F"/>
          <w:szCs w:val="19"/>
        </w:rPr>
        <w:t xml:space="preserve">the Government of Uganda by the </w:t>
      </w:r>
      <w:r w:rsidR="00CF1D7B" w:rsidRPr="00CF1D7B">
        <w:rPr>
          <w:rFonts w:asciiTheme="minorHAnsi" w:hAnsiTheme="minorHAnsi" w:cstheme="minorHAnsi"/>
          <w:color w:val="5F5F5F"/>
          <w:szCs w:val="19"/>
        </w:rPr>
        <w:t>end of first half of 2014</w:t>
      </w:r>
      <w:r w:rsidR="00CF1D7B">
        <w:rPr>
          <w:rFonts w:asciiTheme="minorHAnsi" w:hAnsiTheme="minorHAnsi" w:cstheme="minorHAnsi"/>
          <w:color w:val="5F5F5F"/>
          <w:szCs w:val="19"/>
        </w:rPr>
        <w:t xml:space="preserve">. </w:t>
      </w:r>
      <w:r w:rsidR="006575AE" w:rsidRPr="00AA05A1">
        <w:rPr>
          <w:rFonts w:asciiTheme="minorHAnsi" w:hAnsiTheme="minorHAnsi" w:cstheme="minorHAnsi"/>
          <w:color w:val="5F5F5F"/>
          <w:szCs w:val="19"/>
        </w:rPr>
        <w:t xml:space="preserve">The partnership </w:t>
      </w:r>
      <w:r w:rsidRPr="00AA05A1">
        <w:rPr>
          <w:rFonts w:asciiTheme="minorHAnsi" w:hAnsiTheme="minorHAnsi" w:cstheme="minorHAnsi"/>
          <w:color w:val="5F5F5F"/>
          <w:szCs w:val="19"/>
        </w:rPr>
        <w:t xml:space="preserve">is progressing </w:t>
      </w:r>
      <w:r w:rsidR="009E6294" w:rsidRPr="00AA05A1">
        <w:rPr>
          <w:rFonts w:asciiTheme="minorHAnsi" w:hAnsiTheme="minorHAnsi" w:cstheme="minorHAnsi"/>
          <w:color w:val="5F5F5F"/>
          <w:szCs w:val="19"/>
        </w:rPr>
        <w:t xml:space="preserve">a comprehensive pre-FEED study </w:t>
      </w:r>
      <w:r w:rsidR="004175DE" w:rsidRPr="00AA05A1">
        <w:rPr>
          <w:rFonts w:asciiTheme="minorHAnsi" w:hAnsiTheme="minorHAnsi" w:cstheme="minorHAnsi"/>
          <w:color w:val="5F5F5F"/>
          <w:szCs w:val="19"/>
        </w:rPr>
        <w:t>for</w:t>
      </w:r>
      <w:r w:rsidRPr="00AA05A1">
        <w:rPr>
          <w:rFonts w:asciiTheme="minorHAnsi" w:hAnsiTheme="minorHAnsi" w:cstheme="minorHAnsi"/>
          <w:color w:val="5F5F5F"/>
          <w:szCs w:val="19"/>
        </w:rPr>
        <w:t xml:space="preserve"> the crude oil export pipeline</w:t>
      </w:r>
      <w:r w:rsidR="006575AE" w:rsidRPr="00AA05A1">
        <w:rPr>
          <w:rFonts w:asciiTheme="minorHAnsi" w:hAnsiTheme="minorHAnsi" w:cstheme="minorHAnsi"/>
          <w:color w:val="5F5F5F"/>
          <w:szCs w:val="19"/>
        </w:rPr>
        <w:t>.</w:t>
      </w:r>
      <w:r w:rsidR="00B80995" w:rsidRPr="00B80995">
        <w:rPr>
          <w:rFonts w:asciiTheme="minorHAnsi" w:hAnsiTheme="minorHAnsi" w:cstheme="minorHAnsi"/>
          <w:color w:val="5F5F5F"/>
          <w:szCs w:val="19"/>
        </w:rPr>
        <w:t xml:space="preserve"> </w:t>
      </w:r>
    </w:p>
    <w:p w:rsidR="00B80995" w:rsidRDefault="00B80995" w:rsidP="00B80995">
      <w:pPr>
        <w:spacing w:after="120"/>
        <w:rPr>
          <w:rFonts w:asciiTheme="minorHAnsi" w:hAnsiTheme="minorHAnsi" w:cstheme="minorHAnsi"/>
          <w:color w:val="5F5F5F"/>
          <w:szCs w:val="19"/>
        </w:rPr>
      </w:pPr>
      <w:r w:rsidRPr="00AA05A1">
        <w:rPr>
          <w:rFonts w:asciiTheme="minorHAnsi" w:hAnsiTheme="minorHAnsi" w:cstheme="minorHAnsi"/>
          <w:color w:val="5F5F5F"/>
          <w:szCs w:val="19"/>
        </w:rPr>
        <w:t xml:space="preserve">The partnership </w:t>
      </w:r>
      <w:r>
        <w:rPr>
          <w:rFonts w:asciiTheme="minorHAnsi" w:hAnsiTheme="minorHAnsi" w:cstheme="minorHAnsi"/>
          <w:color w:val="5F5F5F"/>
          <w:szCs w:val="19"/>
        </w:rPr>
        <w:t>submitted</w:t>
      </w:r>
      <w:r w:rsidRPr="00AA05A1">
        <w:rPr>
          <w:rFonts w:asciiTheme="minorHAnsi" w:hAnsiTheme="minorHAnsi" w:cstheme="minorHAnsi"/>
          <w:color w:val="5F5F5F"/>
          <w:szCs w:val="19"/>
        </w:rPr>
        <w:t xml:space="preserve"> Production Licence Applications (PLAs), including Field Development Plans (FDPs), </w:t>
      </w:r>
      <w:r>
        <w:rPr>
          <w:rFonts w:asciiTheme="minorHAnsi" w:hAnsiTheme="minorHAnsi" w:cstheme="minorHAnsi"/>
          <w:color w:val="5F5F5F"/>
          <w:szCs w:val="19"/>
        </w:rPr>
        <w:t xml:space="preserve">for seven of the fields </w:t>
      </w:r>
      <w:r w:rsidRPr="00AA05A1">
        <w:rPr>
          <w:rFonts w:asciiTheme="minorHAnsi" w:hAnsiTheme="minorHAnsi" w:cstheme="minorHAnsi"/>
          <w:color w:val="5F5F5F"/>
          <w:szCs w:val="19"/>
        </w:rPr>
        <w:t xml:space="preserve">in line </w:t>
      </w:r>
      <w:r>
        <w:rPr>
          <w:rFonts w:asciiTheme="minorHAnsi" w:hAnsiTheme="minorHAnsi" w:cstheme="minorHAnsi"/>
          <w:color w:val="5F5F5F"/>
          <w:szCs w:val="19"/>
        </w:rPr>
        <w:t>with the agreed commercialis</w:t>
      </w:r>
      <w:r w:rsidRPr="00B80995">
        <w:rPr>
          <w:rFonts w:asciiTheme="minorHAnsi" w:hAnsiTheme="minorHAnsi" w:cstheme="minorHAnsi"/>
          <w:color w:val="5F5F5F"/>
          <w:szCs w:val="19"/>
        </w:rPr>
        <w:t>ation plan in the MoU</w:t>
      </w:r>
      <w:r>
        <w:rPr>
          <w:rFonts w:asciiTheme="minorHAnsi" w:hAnsiTheme="minorHAnsi" w:cstheme="minorHAnsi"/>
          <w:color w:val="5F5F5F"/>
          <w:szCs w:val="19"/>
        </w:rPr>
        <w:t>.</w:t>
      </w:r>
      <w:r w:rsidRPr="00AA05A1">
        <w:rPr>
          <w:rFonts w:asciiTheme="minorHAnsi" w:hAnsiTheme="minorHAnsi" w:cstheme="minorHAnsi"/>
          <w:color w:val="5F5F5F"/>
          <w:szCs w:val="19"/>
        </w:rPr>
        <w:t xml:space="preserve"> Remaining PLAs and FDPs will be submitted during 2014. The FDP for the Kingfisher discovery </w:t>
      </w:r>
      <w:r>
        <w:rPr>
          <w:rFonts w:asciiTheme="minorHAnsi" w:hAnsiTheme="minorHAnsi" w:cstheme="minorHAnsi"/>
          <w:color w:val="5F5F5F"/>
          <w:szCs w:val="19"/>
        </w:rPr>
        <w:t xml:space="preserve">area </w:t>
      </w:r>
      <w:r w:rsidRPr="00AA05A1">
        <w:rPr>
          <w:rFonts w:asciiTheme="minorHAnsi" w:hAnsiTheme="minorHAnsi" w:cstheme="minorHAnsi"/>
          <w:color w:val="5F5F5F"/>
          <w:szCs w:val="19"/>
        </w:rPr>
        <w:t>was approved and the Production Licence conditions</w:t>
      </w:r>
      <w:r>
        <w:rPr>
          <w:rFonts w:asciiTheme="minorHAnsi" w:hAnsiTheme="minorHAnsi" w:cstheme="minorHAnsi"/>
          <w:color w:val="5F5F5F"/>
          <w:szCs w:val="19"/>
        </w:rPr>
        <w:t xml:space="preserve"> have been met</w:t>
      </w:r>
      <w:r w:rsidRPr="00AA05A1">
        <w:rPr>
          <w:rFonts w:asciiTheme="minorHAnsi" w:hAnsiTheme="minorHAnsi" w:cstheme="minorHAnsi"/>
          <w:color w:val="5F5F5F"/>
          <w:szCs w:val="19"/>
        </w:rPr>
        <w:t xml:space="preserve">. </w:t>
      </w:r>
    </w:p>
    <w:p w:rsidR="00B80995" w:rsidRPr="00AA05A1" w:rsidRDefault="00B80995" w:rsidP="00B80995">
      <w:pPr>
        <w:spacing w:after="120"/>
        <w:rPr>
          <w:rFonts w:asciiTheme="minorHAnsi" w:hAnsiTheme="minorHAnsi" w:cstheme="minorHAnsi"/>
          <w:color w:val="5F5F5F"/>
          <w:szCs w:val="19"/>
        </w:rPr>
      </w:pPr>
      <w:r>
        <w:rPr>
          <w:rFonts w:asciiTheme="minorHAnsi" w:hAnsiTheme="minorHAnsi" w:cstheme="minorHAnsi"/>
          <w:color w:val="5F5F5F"/>
          <w:szCs w:val="19"/>
        </w:rPr>
        <w:t>The development planning work has continued with a significant f</w:t>
      </w:r>
      <w:r w:rsidRPr="00AA05A1">
        <w:rPr>
          <w:rFonts w:asciiTheme="minorHAnsi" w:hAnsiTheme="minorHAnsi" w:cstheme="minorHAnsi"/>
          <w:color w:val="5F5F5F"/>
          <w:szCs w:val="19"/>
        </w:rPr>
        <w:t>ocus placed on reducing the overall cost of the development</w:t>
      </w:r>
      <w:r>
        <w:rPr>
          <w:rFonts w:asciiTheme="minorHAnsi" w:hAnsiTheme="minorHAnsi" w:cstheme="minorHAnsi"/>
          <w:color w:val="5F5F5F"/>
          <w:szCs w:val="19"/>
        </w:rPr>
        <w:t xml:space="preserve">. This work has </w:t>
      </w:r>
      <w:r w:rsidRPr="00AA05A1">
        <w:rPr>
          <w:rFonts w:asciiTheme="minorHAnsi" w:hAnsiTheme="minorHAnsi" w:cstheme="minorHAnsi"/>
          <w:color w:val="5F5F5F"/>
          <w:szCs w:val="19"/>
        </w:rPr>
        <w:t xml:space="preserve">resulted in </w:t>
      </w:r>
      <w:r>
        <w:rPr>
          <w:rFonts w:asciiTheme="minorHAnsi" w:hAnsiTheme="minorHAnsi" w:cstheme="minorHAnsi"/>
          <w:color w:val="5F5F5F"/>
          <w:szCs w:val="19"/>
        </w:rPr>
        <w:t>multi-billion dollar</w:t>
      </w:r>
      <w:r w:rsidRPr="00AA05A1">
        <w:rPr>
          <w:rFonts w:asciiTheme="minorHAnsi" w:hAnsiTheme="minorHAnsi" w:cstheme="minorHAnsi"/>
          <w:color w:val="5F5F5F"/>
          <w:szCs w:val="19"/>
        </w:rPr>
        <w:t xml:space="preserve"> cost savings</w:t>
      </w:r>
      <w:r>
        <w:rPr>
          <w:rFonts w:asciiTheme="minorHAnsi" w:hAnsiTheme="minorHAnsi" w:cstheme="minorHAnsi"/>
          <w:color w:val="5F5F5F"/>
          <w:szCs w:val="19"/>
        </w:rPr>
        <w:t xml:space="preserve">, mainly due to the optimisation of well design and numbers and the design of the surface infrastructure. </w:t>
      </w:r>
    </w:p>
    <w:p w:rsidR="00E931A2" w:rsidRDefault="006575AE" w:rsidP="00AA05A1">
      <w:pPr>
        <w:spacing w:after="120"/>
        <w:rPr>
          <w:rFonts w:asciiTheme="minorHAnsi" w:hAnsiTheme="minorHAnsi" w:cstheme="minorHAnsi"/>
          <w:color w:val="5F5F5F"/>
          <w:szCs w:val="19"/>
        </w:rPr>
      </w:pPr>
      <w:r w:rsidRPr="00AA05A1">
        <w:rPr>
          <w:rFonts w:asciiTheme="minorHAnsi" w:hAnsiTheme="minorHAnsi" w:cstheme="minorHAnsi"/>
          <w:color w:val="5F5F5F"/>
          <w:szCs w:val="19"/>
        </w:rPr>
        <w:t>In June 2013, Tullow received judgment in its favour in the High Court tax case proceedings against Heritage Oil and Gas Ltd and Heritage Oil plc (together ‘Heritage’). When taking into account interest charges, Tullow received a total payment of approximately $34</w:t>
      </w:r>
      <w:r w:rsidR="00A8510D">
        <w:rPr>
          <w:rFonts w:asciiTheme="minorHAnsi" w:hAnsiTheme="minorHAnsi" w:cstheme="minorHAnsi"/>
          <w:color w:val="5F5F5F"/>
          <w:szCs w:val="19"/>
        </w:rPr>
        <w:t>6</w:t>
      </w:r>
      <w:r w:rsidRPr="00AA05A1">
        <w:rPr>
          <w:rFonts w:asciiTheme="minorHAnsi" w:hAnsiTheme="minorHAnsi" w:cstheme="minorHAnsi"/>
          <w:color w:val="5F5F5F"/>
          <w:szCs w:val="19"/>
        </w:rPr>
        <w:t xml:space="preserve"> million in August 2013. Heritage made a direct application to the Court of Appeal for permission to appeal the judgment</w:t>
      </w:r>
      <w:r w:rsidR="00CD477B" w:rsidRPr="00AA05A1">
        <w:rPr>
          <w:rFonts w:asciiTheme="minorHAnsi" w:hAnsiTheme="minorHAnsi" w:cstheme="minorHAnsi"/>
          <w:color w:val="5F5F5F"/>
          <w:szCs w:val="19"/>
        </w:rPr>
        <w:t xml:space="preserve"> which was granted </w:t>
      </w:r>
      <w:r w:rsidR="00F23CCB" w:rsidRPr="00AA05A1">
        <w:rPr>
          <w:rFonts w:asciiTheme="minorHAnsi" w:hAnsiTheme="minorHAnsi" w:cstheme="minorHAnsi"/>
          <w:color w:val="5F5F5F"/>
          <w:szCs w:val="19"/>
        </w:rPr>
        <w:t>on 20 September 2013</w:t>
      </w:r>
      <w:r w:rsidR="00CD477B" w:rsidRPr="00AA05A1">
        <w:rPr>
          <w:rFonts w:asciiTheme="minorHAnsi" w:hAnsiTheme="minorHAnsi" w:cstheme="minorHAnsi"/>
          <w:color w:val="5F5F5F"/>
          <w:szCs w:val="19"/>
        </w:rPr>
        <w:t xml:space="preserve">. An appeal hearing is </w:t>
      </w:r>
      <w:r w:rsidR="00F23CCB" w:rsidRPr="00AA05A1">
        <w:rPr>
          <w:rFonts w:asciiTheme="minorHAnsi" w:hAnsiTheme="minorHAnsi" w:cstheme="minorHAnsi"/>
          <w:color w:val="5F5F5F"/>
          <w:szCs w:val="19"/>
        </w:rPr>
        <w:t>scheduled for 7 and 8 May 2014</w:t>
      </w:r>
      <w:r w:rsidR="00CD477B" w:rsidRPr="00AA05A1">
        <w:rPr>
          <w:rFonts w:asciiTheme="minorHAnsi" w:hAnsiTheme="minorHAnsi" w:cstheme="minorHAnsi"/>
          <w:color w:val="5F5F5F"/>
          <w:szCs w:val="19"/>
        </w:rPr>
        <w:t xml:space="preserve"> with judgment </w:t>
      </w:r>
      <w:r w:rsidR="00F23CCB" w:rsidRPr="00AA05A1">
        <w:rPr>
          <w:rFonts w:asciiTheme="minorHAnsi" w:hAnsiTheme="minorHAnsi" w:cstheme="minorHAnsi"/>
          <w:color w:val="5F5F5F"/>
          <w:szCs w:val="19"/>
        </w:rPr>
        <w:t xml:space="preserve">due by </w:t>
      </w:r>
      <w:r w:rsidR="003A5006" w:rsidRPr="00AA05A1">
        <w:rPr>
          <w:rFonts w:asciiTheme="minorHAnsi" w:hAnsiTheme="minorHAnsi" w:cstheme="minorHAnsi"/>
          <w:color w:val="5F5F5F"/>
          <w:szCs w:val="19"/>
        </w:rPr>
        <w:t xml:space="preserve">the </w:t>
      </w:r>
      <w:r w:rsidR="00F23CCB" w:rsidRPr="00AA05A1">
        <w:rPr>
          <w:rFonts w:asciiTheme="minorHAnsi" w:hAnsiTheme="minorHAnsi" w:cstheme="minorHAnsi"/>
          <w:color w:val="5F5F5F"/>
          <w:szCs w:val="19"/>
        </w:rPr>
        <w:t>autumn</w:t>
      </w:r>
      <w:r w:rsidR="00CD477B" w:rsidRPr="00AA05A1">
        <w:rPr>
          <w:rFonts w:asciiTheme="minorHAnsi" w:hAnsiTheme="minorHAnsi" w:cstheme="minorHAnsi"/>
          <w:color w:val="5F5F5F"/>
          <w:szCs w:val="19"/>
        </w:rPr>
        <w:t>.</w:t>
      </w:r>
    </w:p>
    <w:p w:rsidR="006575AE" w:rsidRDefault="006575AE" w:rsidP="00AA05A1">
      <w:pPr>
        <w:spacing w:after="120"/>
        <w:rPr>
          <w:rFonts w:asciiTheme="minorHAnsi" w:hAnsiTheme="minorHAnsi" w:cstheme="minorHAnsi"/>
          <w:color w:val="5F5F5F"/>
          <w:szCs w:val="19"/>
        </w:rPr>
      </w:pPr>
      <w:r w:rsidRPr="00AA05A1">
        <w:rPr>
          <w:rFonts w:asciiTheme="minorHAnsi" w:hAnsiTheme="minorHAnsi" w:cstheme="minorHAnsi"/>
          <w:color w:val="5F5F5F"/>
          <w:szCs w:val="19"/>
        </w:rPr>
        <w:t xml:space="preserve">Tullow has also been assessed by the </w:t>
      </w:r>
      <w:r w:rsidR="00255645">
        <w:rPr>
          <w:rFonts w:asciiTheme="minorHAnsi" w:hAnsiTheme="minorHAnsi" w:cstheme="minorHAnsi"/>
          <w:color w:val="5F5F5F"/>
          <w:szCs w:val="19"/>
        </w:rPr>
        <w:t>Uganda Revenue Authority</w:t>
      </w:r>
      <w:r w:rsidRPr="00AA05A1">
        <w:rPr>
          <w:rFonts w:asciiTheme="minorHAnsi" w:hAnsiTheme="minorHAnsi" w:cstheme="minorHAnsi"/>
          <w:color w:val="5F5F5F"/>
          <w:szCs w:val="19"/>
        </w:rPr>
        <w:t xml:space="preserve"> for Capital Gains Tax on the farm-down to CNOOC </w:t>
      </w:r>
      <w:r w:rsidR="00B80995">
        <w:rPr>
          <w:rFonts w:asciiTheme="minorHAnsi" w:hAnsiTheme="minorHAnsi" w:cstheme="minorHAnsi"/>
          <w:color w:val="5F5F5F"/>
          <w:szCs w:val="19"/>
        </w:rPr>
        <w:t xml:space="preserve">Limited </w:t>
      </w:r>
      <w:r w:rsidRPr="00AA05A1">
        <w:rPr>
          <w:rFonts w:asciiTheme="minorHAnsi" w:hAnsiTheme="minorHAnsi" w:cstheme="minorHAnsi"/>
          <w:color w:val="5F5F5F"/>
          <w:szCs w:val="19"/>
        </w:rPr>
        <w:t xml:space="preserve">and Total. The assessment of $473 million is disputed by Tullow. Following the payment of $142 million to the URA on account, being 30% of the assessed amount that Tullow was required to pay under Ugandan law in order to dispute the assessment, the case </w:t>
      </w:r>
      <w:r w:rsidR="00CD477B" w:rsidRPr="00AA05A1">
        <w:rPr>
          <w:rFonts w:asciiTheme="minorHAnsi" w:hAnsiTheme="minorHAnsi" w:cstheme="minorHAnsi"/>
          <w:color w:val="5F5F5F"/>
          <w:szCs w:val="19"/>
        </w:rPr>
        <w:t>has been heard before</w:t>
      </w:r>
      <w:r w:rsidRPr="00AA05A1">
        <w:rPr>
          <w:rFonts w:asciiTheme="minorHAnsi" w:hAnsiTheme="minorHAnsi" w:cstheme="minorHAnsi"/>
          <w:color w:val="5F5F5F"/>
          <w:szCs w:val="19"/>
        </w:rPr>
        <w:t xml:space="preserve"> the Tax Appeals Tribunal in Kampala</w:t>
      </w:r>
      <w:r w:rsidR="00F23CCB" w:rsidRPr="00AA05A1">
        <w:rPr>
          <w:rFonts w:asciiTheme="minorHAnsi" w:hAnsiTheme="minorHAnsi" w:cstheme="minorHAnsi"/>
          <w:color w:val="5F5F5F"/>
          <w:szCs w:val="19"/>
        </w:rPr>
        <w:t xml:space="preserve"> with a decision expected by May 2014</w:t>
      </w:r>
      <w:r w:rsidRPr="00AA05A1">
        <w:rPr>
          <w:rFonts w:asciiTheme="minorHAnsi" w:hAnsiTheme="minorHAnsi" w:cstheme="minorHAnsi"/>
          <w:color w:val="5F5F5F"/>
          <w:szCs w:val="19"/>
        </w:rPr>
        <w:t>. On the advice of leading counsel, the Group believes it has a strong case under both international and Ugandan law and currently views the most probable outcome to be that any liability will be at a similar level to the amount already paid on account.</w:t>
      </w:r>
      <w:r w:rsidR="00A17194" w:rsidRPr="00AA05A1">
        <w:rPr>
          <w:rFonts w:asciiTheme="minorHAnsi" w:hAnsiTheme="minorHAnsi" w:cstheme="minorHAnsi"/>
          <w:color w:val="5F5F5F"/>
          <w:szCs w:val="19"/>
        </w:rPr>
        <w:t xml:space="preserve"> </w:t>
      </w:r>
    </w:p>
    <w:p w:rsidR="004276BE" w:rsidRPr="00AA05A1" w:rsidRDefault="004276BE" w:rsidP="004276BE">
      <w:pPr>
        <w:spacing w:after="120"/>
        <w:rPr>
          <w:rFonts w:asciiTheme="minorHAnsi" w:hAnsiTheme="minorHAnsi" w:cstheme="minorHAnsi"/>
          <w:color w:val="5F5F5F"/>
          <w:szCs w:val="19"/>
        </w:rPr>
      </w:pPr>
      <w:r w:rsidRPr="00AA05A1">
        <w:rPr>
          <w:rFonts w:asciiTheme="minorHAnsi" w:hAnsiTheme="minorHAnsi" w:cstheme="minorHAnsi"/>
          <w:color w:val="5F5F5F"/>
          <w:szCs w:val="19"/>
        </w:rPr>
        <w:t xml:space="preserve">The Ngassa discovery, which extends beneath Lake Albert, has been written off </w:t>
      </w:r>
      <w:r>
        <w:rPr>
          <w:rFonts w:asciiTheme="minorHAnsi" w:hAnsiTheme="minorHAnsi" w:cstheme="minorHAnsi"/>
          <w:color w:val="5F5F5F"/>
          <w:szCs w:val="19"/>
        </w:rPr>
        <w:t xml:space="preserve">due to offshore appraisal and development being </w:t>
      </w:r>
      <w:r w:rsidRPr="00A02483">
        <w:rPr>
          <w:rFonts w:asciiTheme="minorHAnsi" w:hAnsiTheme="minorHAnsi" w:cstheme="minorHAnsi"/>
          <w:color w:val="5F5F5F"/>
          <w:szCs w:val="19"/>
        </w:rPr>
        <w:t>currently</w:t>
      </w:r>
      <w:r>
        <w:rPr>
          <w:rFonts w:asciiTheme="minorHAnsi" w:hAnsiTheme="minorHAnsi" w:cstheme="minorHAnsi"/>
          <w:color w:val="5F5F5F"/>
          <w:szCs w:val="19"/>
        </w:rPr>
        <w:t xml:space="preserve"> uneconomic</w:t>
      </w:r>
      <w:r w:rsidRPr="00AA05A1">
        <w:rPr>
          <w:rFonts w:asciiTheme="minorHAnsi" w:hAnsiTheme="minorHAnsi" w:cstheme="minorHAnsi"/>
          <w:color w:val="5F5F5F"/>
          <w:szCs w:val="19"/>
        </w:rPr>
        <w:t>.</w:t>
      </w:r>
    </w:p>
    <w:p w:rsidR="006575AE" w:rsidRPr="00AA05A1" w:rsidRDefault="006575AE" w:rsidP="006B4FE1">
      <w:pPr>
        <w:pStyle w:val="Default"/>
        <w:spacing w:before="240" w:after="40"/>
        <w:jc w:val="both"/>
        <w:rPr>
          <w:rFonts w:asciiTheme="minorHAnsi" w:hAnsiTheme="minorHAnsi" w:cstheme="minorHAnsi"/>
          <w:b/>
          <w:color w:val="00305C"/>
          <w:sz w:val="22"/>
          <w:szCs w:val="22"/>
          <w:lang w:val="en-GB"/>
        </w:rPr>
      </w:pPr>
      <w:r w:rsidRPr="00AA05A1">
        <w:rPr>
          <w:rFonts w:asciiTheme="minorHAnsi" w:hAnsiTheme="minorHAnsi" w:cstheme="minorHAnsi"/>
          <w:b/>
          <w:color w:val="00305C"/>
          <w:sz w:val="22"/>
          <w:szCs w:val="22"/>
          <w:lang w:val="en-GB"/>
        </w:rPr>
        <w:t>Namibia</w:t>
      </w:r>
    </w:p>
    <w:p w:rsidR="006575AE" w:rsidRPr="00AA05A1" w:rsidRDefault="006575AE" w:rsidP="00AA05A1">
      <w:pPr>
        <w:spacing w:after="120"/>
        <w:rPr>
          <w:rFonts w:asciiTheme="minorHAnsi" w:hAnsiTheme="minorHAnsi" w:cstheme="minorHAnsi"/>
          <w:color w:val="5F5F5F"/>
          <w:szCs w:val="19"/>
        </w:rPr>
      </w:pPr>
      <w:r w:rsidRPr="00AA05A1">
        <w:rPr>
          <w:rFonts w:asciiTheme="minorHAnsi" w:hAnsiTheme="minorHAnsi" w:cstheme="minorHAnsi"/>
          <w:color w:val="5F5F5F"/>
          <w:szCs w:val="19"/>
        </w:rPr>
        <w:t>There was continued progress on the Kudu Gas to Power Project during 2013. The revised development plan received government approval, fro</w:t>
      </w:r>
      <w:r w:rsidR="00623009">
        <w:rPr>
          <w:rFonts w:asciiTheme="minorHAnsi" w:hAnsiTheme="minorHAnsi" w:cstheme="minorHAnsi"/>
          <w:color w:val="5F5F5F"/>
          <w:szCs w:val="19"/>
        </w:rPr>
        <w:t>nt end engineering design</w:t>
      </w:r>
      <w:r w:rsidRPr="00AA05A1">
        <w:rPr>
          <w:rFonts w:asciiTheme="minorHAnsi" w:hAnsiTheme="minorHAnsi" w:cstheme="minorHAnsi"/>
          <w:color w:val="5F5F5F"/>
          <w:szCs w:val="19"/>
        </w:rPr>
        <w:t xml:space="preserve"> was completed and contractual tenders are being progressed for a FPSO and the subsea equipment. Gas Sales Agreement negotiations are also progressing in parallel. Tullow’s partner, Namibian national oil company NAMCOR, is seeking to farm-out equity and has appointed Deloitte to manage this process. </w:t>
      </w:r>
      <w:r w:rsidR="00255645">
        <w:rPr>
          <w:rFonts w:asciiTheme="minorHAnsi" w:hAnsiTheme="minorHAnsi" w:cstheme="minorHAnsi"/>
          <w:color w:val="5F5F5F"/>
          <w:szCs w:val="19"/>
        </w:rPr>
        <w:t xml:space="preserve">Tullow expects to consider a final investment decision in 2014. </w:t>
      </w:r>
    </w:p>
    <w:p w:rsidR="00D12183" w:rsidRDefault="00D12183" w:rsidP="00AA05A1">
      <w:pPr>
        <w:spacing w:after="120"/>
        <w:rPr>
          <w:rFonts w:asciiTheme="minorHAnsi" w:hAnsiTheme="minorHAnsi" w:cstheme="minorHAnsi"/>
          <w:color w:val="5F5F5F"/>
          <w:szCs w:val="19"/>
        </w:rPr>
      </w:pPr>
    </w:p>
    <w:p w:rsidR="006575AE" w:rsidRPr="00AA05A1" w:rsidRDefault="006575AE" w:rsidP="00AA05A1">
      <w:pPr>
        <w:spacing w:after="120"/>
        <w:rPr>
          <w:rFonts w:asciiTheme="minorHAnsi" w:hAnsiTheme="minorHAnsi" w:cstheme="minorHAnsi"/>
          <w:color w:val="5F5F5F"/>
          <w:szCs w:val="19"/>
        </w:rPr>
      </w:pPr>
      <w:r w:rsidRPr="00AA05A1">
        <w:rPr>
          <w:rFonts w:asciiTheme="minorHAnsi" w:hAnsiTheme="minorHAnsi" w:cstheme="minorHAnsi"/>
          <w:color w:val="5F5F5F"/>
          <w:szCs w:val="19"/>
        </w:rPr>
        <w:t xml:space="preserve">In October 2013, Tullow completed a farm-in to Namibia Licence EL 0037, taking over Operatorship from Pancontinental. </w:t>
      </w:r>
      <w:r w:rsidR="00086E22" w:rsidRPr="00AA05A1">
        <w:rPr>
          <w:rFonts w:asciiTheme="minorHAnsi" w:hAnsiTheme="minorHAnsi" w:cstheme="minorHAnsi"/>
          <w:color w:val="5F5F5F"/>
          <w:szCs w:val="19"/>
        </w:rPr>
        <w:t xml:space="preserve">Acquisition of 3,000 </w:t>
      </w:r>
      <w:r w:rsidR="00B24AE8" w:rsidRPr="00A02483">
        <w:rPr>
          <w:rFonts w:asciiTheme="minorHAnsi" w:hAnsiTheme="minorHAnsi" w:cstheme="minorHAnsi"/>
          <w:color w:val="5F5F5F"/>
          <w:szCs w:val="19"/>
        </w:rPr>
        <w:t xml:space="preserve">sq km </w:t>
      </w:r>
      <w:r w:rsidR="00086E22" w:rsidRPr="00A02483">
        <w:rPr>
          <w:rFonts w:asciiTheme="minorHAnsi" w:hAnsiTheme="minorHAnsi" w:cstheme="minorHAnsi"/>
          <w:color w:val="5F5F5F"/>
          <w:szCs w:val="19"/>
        </w:rPr>
        <w:t>of</w:t>
      </w:r>
      <w:r w:rsidR="00086E22" w:rsidRPr="00AA05A1">
        <w:rPr>
          <w:rFonts w:asciiTheme="minorHAnsi" w:hAnsiTheme="minorHAnsi" w:cstheme="minorHAnsi"/>
          <w:color w:val="5F5F5F"/>
          <w:szCs w:val="19"/>
        </w:rPr>
        <w:t xml:space="preserve"> 3D and 1,000 km of 2D seismic data commenced </w:t>
      </w:r>
      <w:r w:rsidR="00A5650F" w:rsidRPr="00AA05A1">
        <w:rPr>
          <w:rFonts w:asciiTheme="minorHAnsi" w:hAnsiTheme="minorHAnsi" w:cstheme="minorHAnsi"/>
          <w:color w:val="5F5F5F"/>
          <w:szCs w:val="19"/>
        </w:rPr>
        <w:t>in January</w:t>
      </w:r>
      <w:r w:rsidR="00086E22" w:rsidRPr="00AA05A1">
        <w:rPr>
          <w:rFonts w:asciiTheme="minorHAnsi" w:hAnsiTheme="minorHAnsi" w:cstheme="minorHAnsi"/>
          <w:color w:val="5F5F5F"/>
          <w:szCs w:val="19"/>
        </w:rPr>
        <w:t xml:space="preserve"> </w:t>
      </w:r>
      <w:r w:rsidR="00A5650F" w:rsidRPr="00AA05A1">
        <w:rPr>
          <w:rFonts w:asciiTheme="minorHAnsi" w:hAnsiTheme="minorHAnsi" w:cstheme="minorHAnsi"/>
          <w:color w:val="5F5F5F"/>
          <w:szCs w:val="19"/>
        </w:rPr>
        <w:t xml:space="preserve">2014 </w:t>
      </w:r>
      <w:r w:rsidR="00086E22" w:rsidRPr="00AA05A1">
        <w:rPr>
          <w:rFonts w:asciiTheme="minorHAnsi" w:hAnsiTheme="minorHAnsi" w:cstheme="minorHAnsi"/>
          <w:color w:val="5F5F5F"/>
          <w:szCs w:val="19"/>
        </w:rPr>
        <w:t>across the licence.</w:t>
      </w:r>
    </w:p>
    <w:p w:rsidR="006575AE" w:rsidRPr="00AA05A1" w:rsidRDefault="006575AE" w:rsidP="006B4FE1">
      <w:pPr>
        <w:pStyle w:val="Default"/>
        <w:spacing w:before="240" w:after="40"/>
        <w:jc w:val="both"/>
        <w:rPr>
          <w:rFonts w:asciiTheme="minorHAnsi" w:hAnsiTheme="minorHAnsi" w:cstheme="minorHAnsi"/>
          <w:b/>
          <w:color w:val="00305C"/>
          <w:sz w:val="22"/>
          <w:szCs w:val="22"/>
          <w:lang w:val="en-GB"/>
        </w:rPr>
      </w:pPr>
      <w:r w:rsidRPr="00AA05A1">
        <w:rPr>
          <w:rFonts w:asciiTheme="minorHAnsi" w:hAnsiTheme="minorHAnsi" w:cstheme="minorHAnsi"/>
          <w:b/>
          <w:color w:val="00305C"/>
          <w:sz w:val="22"/>
          <w:szCs w:val="22"/>
          <w:lang w:val="en-GB"/>
        </w:rPr>
        <w:t>Mozambique</w:t>
      </w:r>
    </w:p>
    <w:p w:rsidR="00A8510D" w:rsidRPr="00DB17AC" w:rsidRDefault="006575AE" w:rsidP="00DB17AC">
      <w:pPr>
        <w:rPr>
          <w:rFonts w:asciiTheme="minorHAnsi" w:hAnsiTheme="minorHAnsi" w:cstheme="minorHAnsi"/>
          <w:color w:val="595959" w:themeColor="text1" w:themeTint="A6"/>
          <w:szCs w:val="19"/>
        </w:rPr>
      </w:pPr>
      <w:r w:rsidRPr="00A5650F">
        <w:rPr>
          <w:rFonts w:asciiTheme="minorHAnsi" w:hAnsiTheme="minorHAnsi" w:cstheme="minorHAnsi"/>
          <w:color w:val="595959" w:themeColor="text1" w:themeTint="A6"/>
          <w:szCs w:val="19"/>
        </w:rPr>
        <w:t xml:space="preserve">In July 2013, the Cachalote-1 well and sidetrack, located in Area 2 offshore Mozambique, discovered 38 metres </w:t>
      </w:r>
      <w:r w:rsidRPr="00A02483">
        <w:rPr>
          <w:rFonts w:asciiTheme="minorHAnsi" w:hAnsiTheme="minorHAnsi" w:cstheme="minorHAnsi"/>
          <w:color w:val="595959" w:themeColor="text1" w:themeTint="A6"/>
          <w:szCs w:val="19"/>
        </w:rPr>
        <w:t xml:space="preserve">of </w:t>
      </w:r>
      <w:r w:rsidR="00B24AE8" w:rsidRPr="00A02483">
        <w:rPr>
          <w:rFonts w:asciiTheme="minorHAnsi" w:hAnsiTheme="minorHAnsi" w:cstheme="minorHAnsi"/>
          <w:color w:val="595959" w:themeColor="text1" w:themeTint="A6"/>
          <w:szCs w:val="19"/>
        </w:rPr>
        <w:t>wet</w:t>
      </w:r>
      <w:r w:rsidR="00CB2178" w:rsidRPr="00A02483">
        <w:rPr>
          <w:rFonts w:asciiTheme="minorHAnsi" w:hAnsiTheme="minorHAnsi" w:cstheme="minorHAnsi"/>
          <w:color w:val="595959" w:themeColor="text1" w:themeTint="A6"/>
          <w:szCs w:val="19"/>
        </w:rPr>
        <w:t xml:space="preserve"> </w:t>
      </w:r>
      <w:r w:rsidRPr="00A02483">
        <w:rPr>
          <w:rFonts w:asciiTheme="minorHAnsi" w:hAnsiTheme="minorHAnsi" w:cstheme="minorHAnsi"/>
          <w:color w:val="595959" w:themeColor="text1" w:themeTint="A6"/>
          <w:szCs w:val="19"/>
        </w:rPr>
        <w:t>gas</w:t>
      </w:r>
      <w:r w:rsidRPr="00A5650F">
        <w:rPr>
          <w:rFonts w:asciiTheme="minorHAnsi" w:hAnsiTheme="minorHAnsi" w:cstheme="minorHAnsi"/>
          <w:color w:val="595959" w:themeColor="text1" w:themeTint="A6"/>
          <w:szCs w:val="19"/>
        </w:rPr>
        <w:t xml:space="preserve"> bearing sandstone in the upper target. The Buzio well was also drilled in September 2013, but failed to encounter hydrocarbons. Further seismic reprocessing is being </w:t>
      </w:r>
      <w:r w:rsidR="00A5650F">
        <w:rPr>
          <w:rFonts w:asciiTheme="minorHAnsi" w:hAnsiTheme="minorHAnsi" w:cstheme="minorHAnsi"/>
          <w:color w:val="595959" w:themeColor="text1" w:themeTint="A6"/>
          <w:szCs w:val="19"/>
        </w:rPr>
        <w:t>undertaken</w:t>
      </w:r>
      <w:r w:rsidRPr="00A5650F">
        <w:rPr>
          <w:rFonts w:asciiTheme="minorHAnsi" w:hAnsiTheme="minorHAnsi" w:cstheme="minorHAnsi"/>
          <w:color w:val="595959" w:themeColor="text1" w:themeTint="A6"/>
          <w:szCs w:val="19"/>
        </w:rPr>
        <w:t xml:space="preserve"> to establish additional potential prospectivity in Area </w:t>
      </w:r>
      <w:r w:rsidR="00086E22" w:rsidRPr="00A5650F">
        <w:rPr>
          <w:rFonts w:asciiTheme="minorHAnsi" w:hAnsiTheme="minorHAnsi" w:cstheme="minorHAnsi"/>
          <w:color w:val="595959" w:themeColor="text1" w:themeTint="A6"/>
          <w:szCs w:val="19"/>
        </w:rPr>
        <w:t>5</w:t>
      </w:r>
      <w:r w:rsidRPr="00A5650F">
        <w:rPr>
          <w:rFonts w:asciiTheme="minorHAnsi" w:hAnsiTheme="minorHAnsi" w:cstheme="minorHAnsi"/>
          <w:color w:val="595959" w:themeColor="text1" w:themeTint="A6"/>
          <w:szCs w:val="19"/>
        </w:rPr>
        <w:t xml:space="preserve"> and this is planned to be completed by the second quarter of 2014, allowing for an exploration well </w:t>
      </w:r>
      <w:r w:rsidR="00255645" w:rsidRPr="00A5650F">
        <w:rPr>
          <w:rFonts w:asciiTheme="minorHAnsi" w:hAnsiTheme="minorHAnsi" w:cstheme="minorHAnsi"/>
          <w:color w:val="595959" w:themeColor="text1" w:themeTint="A6"/>
          <w:szCs w:val="19"/>
        </w:rPr>
        <w:t xml:space="preserve">potentially </w:t>
      </w:r>
      <w:r w:rsidRPr="00A5650F">
        <w:rPr>
          <w:rFonts w:asciiTheme="minorHAnsi" w:hAnsiTheme="minorHAnsi" w:cstheme="minorHAnsi"/>
          <w:color w:val="595959" w:themeColor="text1" w:themeTint="A6"/>
          <w:szCs w:val="19"/>
        </w:rPr>
        <w:t>to commence before the licence expires in July 2014.</w:t>
      </w:r>
    </w:p>
    <w:p w:rsidR="006575AE" w:rsidRPr="00AA05A1" w:rsidRDefault="006575AE" w:rsidP="006B4FE1">
      <w:pPr>
        <w:pStyle w:val="Default"/>
        <w:spacing w:before="240" w:after="40"/>
        <w:jc w:val="both"/>
        <w:rPr>
          <w:rFonts w:asciiTheme="minorHAnsi" w:hAnsiTheme="minorHAnsi" w:cstheme="minorHAnsi"/>
          <w:b/>
          <w:color w:val="00305C"/>
          <w:sz w:val="22"/>
          <w:szCs w:val="22"/>
          <w:lang w:val="en-GB"/>
        </w:rPr>
      </w:pPr>
      <w:r w:rsidRPr="00AA05A1">
        <w:rPr>
          <w:rFonts w:asciiTheme="minorHAnsi" w:hAnsiTheme="minorHAnsi" w:cstheme="minorHAnsi"/>
          <w:b/>
          <w:color w:val="00305C"/>
          <w:sz w:val="22"/>
          <w:szCs w:val="22"/>
          <w:lang w:val="en-GB"/>
        </w:rPr>
        <w:t>Madagascar</w:t>
      </w:r>
    </w:p>
    <w:p w:rsidR="00791C27" w:rsidRPr="00A5650F" w:rsidRDefault="00086E22" w:rsidP="00A5650F">
      <w:pPr>
        <w:rPr>
          <w:rFonts w:asciiTheme="minorHAnsi" w:hAnsiTheme="minorHAnsi" w:cstheme="minorHAnsi"/>
          <w:color w:val="595959" w:themeColor="text1" w:themeTint="A6"/>
          <w:szCs w:val="19"/>
        </w:rPr>
      </w:pPr>
      <w:r w:rsidRPr="00A5650F">
        <w:rPr>
          <w:rFonts w:asciiTheme="minorHAnsi" w:hAnsiTheme="minorHAnsi" w:cstheme="minorHAnsi"/>
          <w:color w:val="595959" w:themeColor="text1" w:themeTint="A6"/>
          <w:szCs w:val="19"/>
        </w:rPr>
        <w:t xml:space="preserve">Negotiations for a </w:t>
      </w:r>
      <w:r w:rsidR="00CE27E7" w:rsidRPr="00A5650F">
        <w:rPr>
          <w:rFonts w:asciiTheme="minorHAnsi" w:hAnsiTheme="minorHAnsi" w:cstheme="minorHAnsi"/>
          <w:color w:val="595959" w:themeColor="text1" w:themeTint="A6"/>
          <w:szCs w:val="19"/>
        </w:rPr>
        <w:t xml:space="preserve">farm-down of </w:t>
      </w:r>
      <w:r w:rsidRPr="00A5650F">
        <w:rPr>
          <w:rFonts w:asciiTheme="minorHAnsi" w:hAnsiTheme="minorHAnsi" w:cstheme="minorHAnsi"/>
          <w:color w:val="595959" w:themeColor="text1" w:themeTint="A6"/>
          <w:szCs w:val="19"/>
        </w:rPr>
        <w:t xml:space="preserve">Bocks 3109 and 3111 in Madagascar are expected to conclude before the end </w:t>
      </w:r>
      <w:r w:rsidR="00A5650F">
        <w:rPr>
          <w:rFonts w:asciiTheme="minorHAnsi" w:hAnsiTheme="minorHAnsi" w:cstheme="minorHAnsi"/>
          <w:color w:val="595959" w:themeColor="text1" w:themeTint="A6"/>
          <w:szCs w:val="19"/>
        </w:rPr>
        <w:t xml:space="preserve">of </w:t>
      </w:r>
      <w:r w:rsidRPr="00A5650F">
        <w:rPr>
          <w:rFonts w:asciiTheme="minorHAnsi" w:hAnsiTheme="minorHAnsi" w:cstheme="minorHAnsi"/>
          <w:color w:val="595959" w:themeColor="text1" w:themeTint="A6"/>
          <w:szCs w:val="19"/>
        </w:rPr>
        <w:t>February 2014. Planning is underway to execute a seismic program in Block 3109 and to drill a well in Block 3111</w:t>
      </w:r>
      <w:r w:rsidR="006575AE" w:rsidRPr="00A5650F">
        <w:rPr>
          <w:rFonts w:asciiTheme="minorHAnsi" w:hAnsiTheme="minorHAnsi" w:cstheme="minorHAnsi"/>
          <w:color w:val="595959" w:themeColor="text1" w:themeTint="A6"/>
          <w:szCs w:val="19"/>
        </w:rPr>
        <w:t>.</w:t>
      </w:r>
    </w:p>
    <w:p w:rsidR="00B62302" w:rsidRDefault="00B62302" w:rsidP="00DB17AC">
      <w:pPr>
        <w:pStyle w:val="StyleHeadingCustomColorRGB1533154"/>
        <w:spacing w:after="120"/>
        <w:outlineLvl w:val="0"/>
        <w:rPr>
          <w:rFonts w:ascii="Calibri" w:hAnsi="Calibri" w:cs="Calibri"/>
          <w:b/>
          <w:color w:val="991F36"/>
          <w:sz w:val="24"/>
          <w:szCs w:val="24"/>
        </w:rPr>
      </w:pPr>
    </w:p>
    <w:p w:rsidR="006662C2" w:rsidRPr="00AA05A1" w:rsidRDefault="006662C2" w:rsidP="00DB17AC">
      <w:pPr>
        <w:pStyle w:val="StyleHeadingCustomColorRGB1533154"/>
        <w:spacing w:after="120"/>
        <w:outlineLvl w:val="0"/>
        <w:rPr>
          <w:rFonts w:ascii="Calibri" w:hAnsi="Calibri" w:cs="Calibri"/>
          <w:b/>
          <w:color w:val="991F36"/>
          <w:sz w:val="24"/>
          <w:szCs w:val="24"/>
        </w:rPr>
      </w:pPr>
      <w:r w:rsidRPr="00AA05A1">
        <w:rPr>
          <w:rFonts w:ascii="Calibri" w:hAnsi="Calibri" w:cs="Calibri"/>
          <w:b/>
          <w:color w:val="991F36"/>
          <w:sz w:val="24"/>
          <w:szCs w:val="24"/>
        </w:rPr>
        <w:t>EUROPE, SOUTH AMERICA &amp; ASIA</w:t>
      </w:r>
    </w:p>
    <w:tbl>
      <w:tblPr>
        <w:tblW w:w="9923" w:type="dxa"/>
        <w:tblBorders>
          <w:top w:val="single" w:sz="4" w:space="0" w:color="A6A6A6"/>
          <w:bottom w:val="single" w:sz="4" w:space="0" w:color="A6A6A6"/>
          <w:insideH w:val="single" w:sz="4" w:space="0" w:color="A6A6A6"/>
          <w:insideV w:val="single" w:sz="4" w:space="0" w:color="A6A6A6"/>
        </w:tblBorders>
        <w:tblCellMar>
          <w:left w:w="0" w:type="dxa"/>
          <w:right w:w="0" w:type="dxa"/>
        </w:tblCellMar>
        <w:tblLook w:val="04A0" w:firstRow="1" w:lastRow="0" w:firstColumn="1" w:lastColumn="0" w:noHBand="0" w:noVBand="1"/>
      </w:tblPr>
      <w:tblGrid>
        <w:gridCol w:w="2480"/>
        <w:gridCol w:w="2481"/>
        <w:gridCol w:w="2481"/>
        <w:gridCol w:w="2481"/>
      </w:tblGrid>
      <w:tr w:rsidR="006662C2" w:rsidRPr="009318F0" w:rsidTr="00AA05A1">
        <w:trPr>
          <w:trHeight w:val="545"/>
        </w:trPr>
        <w:tc>
          <w:tcPr>
            <w:tcW w:w="2480" w:type="dxa"/>
            <w:vAlign w:val="center"/>
          </w:tcPr>
          <w:p w:rsidR="006662C2" w:rsidRPr="00A32E77" w:rsidRDefault="00385C96" w:rsidP="006D3ADD">
            <w:pPr>
              <w:pStyle w:val="StyleCustomColorRGB04369CenteredLeft015cmRight"/>
              <w:ind w:left="0"/>
              <w:rPr>
                <w:rFonts w:ascii="Calibri" w:hAnsi="Calibri" w:cs="Calibri"/>
                <w:color w:val="002B45"/>
              </w:rPr>
            </w:pPr>
            <w:r w:rsidRPr="00A32E77">
              <w:rPr>
                <w:rFonts w:ascii="Calibri" w:hAnsi="Calibri" w:cs="Calibri"/>
                <w:color w:val="002B45"/>
              </w:rPr>
              <w:t>201</w:t>
            </w:r>
            <w:r w:rsidR="00784BD6" w:rsidRPr="00A32E77">
              <w:rPr>
                <w:rFonts w:ascii="Calibri" w:hAnsi="Calibri" w:cs="Calibri"/>
                <w:color w:val="002B45"/>
              </w:rPr>
              <w:t>3</w:t>
            </w:r>
            <w:r w:rsidRPr="00A32E77">
              <w:rPr>
                <w:rFonts w:ascii="Calibri" w:hAnsi="Calibri" w:cs="Calibri"/>
                <w:color w:val="002B45"/>
              </w:rPr>
              <w:t xml:space="preserve"> </w:t>
            </w:r>
            <w:r w:rsidR="006662C2" w:rsidRPr="00A32E77">
              <w:rPr>
                <w:rFonts w:ascii="Calibri" w:hAnsi="Calibri" w:cs="Calibri"/>
                <w:color w:val="002B45"/>
              </w:rPr>
              <w:t>production</w:t>
            </w:r>
          </w:p>
          <w:p w:rsidR="006662C2" w:rsidRPr="006575AE" w:rsidRDefault="009E6294" w:rsidP="00AB5EEA">
            <w:pPr>
              <w:pStyle w:val="StyleCustomColorRGB04369CenteredLeft015cmRight"/>
              <w:ind w:left="0"/>
              <w:rPr>
                <w:rFonts w:ascii="Calibri" w:hAnsi="Calibri" w:cs="Calibri"/>
                <w:color w:val="002B45"/>
                <w:highlight w:val="yellow"/>
              </w:rPr>
            </w:pPr>
            <w:r w:rsidRPr="009E6294">
              <w:rPr>
                <w:rFonts w:ascii="Calibri" w:hAnsi="Calibri" w:cs="Calibri"/>
                <w:color w:val="002B45"/>
              </w:rPr>
              <w:t>19,200</w:t>
            </w:r>
            <w:r w:rsidR="006662C2" w:rsidRPr="00A32E77">
              <w:rPr>
                <w:rFonts w:ascii="Calibri" w:hAnsi="Calibri" w:cs="Calibri"/>
                <w:color w:val="002B45"/>
              </w:rPr>
              <w:t xml:space="preserve"> boepd</w:t>
            </w:r>
          </w:p>
        </w:tc>
        <w:tc>
          <w:tcPr>
            <w:tcW w:w="2481" w:type="dxa"/>
            <w:vAlign w:val="center"/>
          </w:tcPr>
          <w:p w:rsidR="006662C2" w:rsidRPr="00A5650F" w:rsidRDefault="006662C2" w:rsidP="006D3ADD">
            <w:pPr>
              <w:pStyle w:val="StyleCustomColorRGB04369CenteredLeft015cmRight"/>
              <w:ind w:left="0"/>
              <w:rPr>
                <w:rFonts w:ascii="Calibri" w:hAnsi="Calibri" w:cs="Calibri"/>
                <w:color w:val="002B45"/>
              </w:rPr>
            </w:pPr>
            <w:r w:rsidRPr="00A5650F">
              <w:rPr>
                <w:rFonts w:ascii="Calibri" w:hAnsi="Calibri" w:cs="Calibri"/>
                <w:color w:val="002B45"/>
              </w:rPr>
              <w:t>Total reserves and resources</w:t>
            </w:r>
          </w:p>
          <w:p w:rsidR="006662C2" w:rsidRPr="00A5650F" w:rsidRDefault="00A5650F" w:rsidP="006D3ADD">
            <w:pPr>
              <w:pStyle w:val="StyleCustomColorRGB04369CenteredLeft015cmRight"/>
              <w:ind w:left="0"/>
              <w:rPr>
                <w:rFonts w:ascii="Calibri" w:hAnsi="Calibri" w:cs="Calibri"/>
                <w:color w:val="002B45"/>
              </w:rPr>
            </w:pPr>
            <w:r w:rsidRPr="00A5650F">
              <w:rPr>
                <w:rFonts w:ascii="Calibri" w:hAnsi="Calibri" w:cs="Calibri"/>
                <w:color w:val="002B45"/>
              </w:rPr>
              <w:t>163.4</w:t>
            </w:r>
            <w:r w:rsidR="006662C2" w:rsidRPr="00A5650F">
              <w:rPr>
                <w:rFonts w:ascii="Calibri" w:hAnsi="Calibri" w:cs="Calibri"/>
                <w:color w:val="002B45"/>
              </w:rPr>
              <w:t xml:space="preserve"> mmboe</w:t>
            </w:r>
          </w:p>
        </w:tc>
        <w:tc>
          <w:tcPr>
            <w:tcW w:w="2481" w:type="dxa"/>
            <w:tcMar>
              <w:left w:w="0" w:type="dxa"/>
              <w:right w:w="0" w:type="dxa"/>
            </w:tcMar>
            <w:vAlign w:val="center"/>
          </w:tcPr>
          <w:p w:rsidR="006662C2" w:rsidRPr="00A5650F" w:rsidRDefault="00784BD6" w:rsidP="006D3ADD">
            <w:pPr>
              <w:pStyle w:val="StyleCustomColorRGB04369CenteredLeft015cmRight"/>
              <w:ind w:left="0"/>
              <w:rPr>
                <w:rFonts w:ascii="Calibri" w:hAnsi="Calibri" w:cs="Calibri"/>
                <w:color w:val="002B45"/>
              </w:rPr>
            </w:pPr>
            <w:r w:rsidRPr="00A5650F">
              <w:rPr>
                <w:rFonts w:ascii="Calibri" w:hAnsi="Calibri" w:cs="Calibri"/>
                <w:color w:val="002B45"/>
              </w:rPr>
              <w:t>2013 s</w:t>
            </w:r>
            <w:r w:rsidR="006662C2" w:rsidRPr="00A5650F">
              <w:rPr>
                <w:rFonts w:ascii="Calibri" w:hAnsi="Calibri" w:cs="Calibri"/>
                <w:color w:val="002B45"/>
              </w:rPr>
              <w:t>ales revenue</w:t>
            </w:r>
          </w:p>
          <w:p w:rsidR="0007592F" w:rsidRPr="00A5650F" w:rsidRDefault="006662C2">
            <w:pPr>
              <w:pStyle w:val="StyleCustomColorRGB04369CenteredLeft015cmRight"/>
              <w:ind w:left="0"/>
              <w:rPr>
                <w:rFonts w:ascii="Calibri" w:hAnsi="Calibri" w:cs="Calibri"/>
                <w:color w:val="002B45"/>
              </w:rPr>
            </w:pPr>
            <w:r w:rsidRPr="00A5650F">
              <w:rPr>
                <w:rFonts w:ascii="Calibri" w:hAnsi="Calibri" w:cs="Calibri"/>
                <w:color w:val="002B45"/>
              </w:rPr>
              <w:t>$</w:t>
            </w:r>
            <w:r w:rsidR="005219DC" w:rsidRPr="00A5650F">
              <w:rPr>
                <w:rFonts w:ascii="Calibri" w:hAnsi="Calibri" w:cs="Calibri"/>
                <w:color w:val="002B45"/>
              </w:rPr>
              <w:t>399.4</w:t>
            </w:r>
            <w:r w:rsidR="00784BD6" w:rsidRPr="00A5650F">
              <w:rPr>
                <w:rFonts w:ascii="Calibri" w:hAnsi="Calibri" w:cs="Calibri"/>
                <w:color w:val="002B45"/>
              </w:rPr>
              <w:t xml:space="preserve"> </w:t>
            </w:r>
            <w:r w:rsidRPr="00A5650F">
              <w:rPr>
                <w:rFonts w:ascii="Calibri" w:hAnsi="Calibri" w:cs="Calibri"/>
                <w:color w:val="002B45"/>
              </w:rPr>
              <w:t>million</w:t>
            </w:r>
          </w:p>
        </w:tc>
        <w:tc>
          <w:tcPr>
            <w:tcW w:w="2481" w:type="dxa"/>
            <w:tcMar>
              <w:top w:w="57" w:type="dxa"/>
              <w:left w:w="0" w:type="dxa"/>
              <w:bottom w:w="57" w:type="dxa"/>
              <w:right w:w="0" w:type="dxa"/>
            </w:tcMar>
            <w:vAlign w:val="center"/>
          </w:tcPr>
          <w:p w:rsidR="006662C2" w:rsidRPr="00A5650F" w:rsidRDefault="000E3E9E" w:rsidP="006D3ADD">
            <w:pPr>
              <w:pStyle w:val="StyleCustomColorRGB04369CenteredLeft015cmRight"/>
              <w:ind w:left="0"/>
              <w:rPr>
                <w:rFonts w:ascii="Calibri" w:hAnsi="Calibri" w:cs="Calibri"/>
                <w:color w:val="002B45"/>
              </w:rPr>
            </w:pPr>
            <w:r w:rsidRPr="00A5650F">
              <w:rPr>
                <w:rFonts w:ascii="Calibri" w:hAnsi="Calibri" w:cs="Calibri"/>
                <w:color w:val="002B45"/>
              </w:rPr>
              <w:t>201</w:t>
            </w:r>
            <w:r w:rsidR="00784BD6" w:rsidRPr="00A5650F">
              <w:rPr>
                <w:rFonts w:ascii="Calibri" w:hAnsi="Calibri" w:cs="Calibri"/>
                <w:color w:val="002B45"/>
              </w:rPr>
              <w:t>3</w:t>
            </w:r>
            <w:r w:rsidRPr="00A5650F">
              <w:rPr>
                <w:rFonts w:ascii="Calibri" w:hAnsi="Calibri" w:cs="Calibri"/>
                <w:color w:val="002B45"/>
              </w:rPr>
              <w:t xml:space="preserve"> </w:t>
            </w:r>
            <w:r w:rsidR="006662C2" w:rsidRPr="00A5650F">
              <w:rPr>
                <w:rFonts w:ascii="Calibri" w:hAnsi="Calibri" w:cs="Calibri"/>
                <w:color w:val="002B45"/>
              </w:rPr>
              <w:t>investment</w:t>
            </w:r>
          </w:p>
          <w:p w:rsidR="006662C2" w:rsidRPr="00A5650F" w:rsidRDefault="006662C2" w:rsidP="008A3064">
            <w:pPr>
              <w:pStyle w:val="StyleCustomColorRGB04369CenteredLeft015cmRight"/>
              <w:ind w:left="0"/>
              <w:rPr>
                <w:rFonts w:ascii="Calibri" w:hAnsi="Calibri" w:cs="Calibri"/>
                <w:color w:val="002B45"/>
              </w:rPr>
            </w:pPr>
            <w:r w:rsidRPr="00A5650F">
              <w:rPr>
                <w:rFonts w:ascii="Calibri" w:hAnsi="Calibri" w:cs="Calibri"/>
                <w:color w:val="002B45"/>
              </w:rPr>
              <w:t>$</w:t>
            </w:r>
            <w:r w:rsidR="008A3064" w:rsidRPr="00A5650F">
              <w:rPr>
                <w:rFonts w:ascii="Calibri" w:hAnsi="Calibri" w:cs="Calibri"/>
                <w:color w:val="002B45"/>
              </w:rPr>
              <w:t>474</w:t>
            </w:r>
            <w:r w:rsidRPr="00A5650F">
              <w:rPr>
                <w:rFonts w:ascii="Calibri" w:hAnsi="Calibri" w:cs="Calibri"/>
                <w:color w:val="002B45"/>
              </w:rPr>
              <w:t xml:space="preserve"> million </w:t>
            </w:r>
          </w:p>
        </w:tc>
      </w:tr>
    </w:tbl>
    <w:p w:rsidR="006575AE" w:rsidRPr="00C575A2" w:rsidRDefault="006575AE" w:rsidP="006B4FE1">
      <w:pPr>
        <w:pStyle w:val="Default"/>
        <w:spacing w:before="240" w:after="40"/>
        <w:jc w:val="both"/>
        <w:rPr>
          <w:rFonts w:asciiTheme="minorHAnsi" w:hAnsiTheme="minorHAnsi" w:cstheme="minorHAnsi"/>
          <w:b/>
          <w:color w:val="00305C"/>
          <w:sz w:val="22"/>
          <w:szCs w:val="22"/>
          <w:lang w:val="en-GB"/>
        </w:rPr>
      </w:pPr>
      <w:r w:rsidRPr="00C575A2">
        <w:rPr>
          <w:rFonts w:asciiTheme="minorHAnsi" w:hAnsiTheme="minorHAnsi" w:cstheme="minorHAnsi"/>
          <w:b/>
          <w:color w:val="00305C"/>
          <w:sz w:val="22"/>
          <w:szCs w:val="22"/>
          <w:lang w:val="en-GB"/>
        </w:rPr>
        <w:t>Norway</w:t>
      </w:r>
    </w:p>
    <w:p w:rsidR="006575AE" w:rsidRPr="006D334B" w:rsidRDefault="006575AE" w:rsidP="00C575A2">
      <w:pPr>
        <w:spacing w:after="120"/>
        <w:rPr>
          <w:rFonts w:asciiTheme="minorHAnsi" w:hAnsiTheme="minorHAnsi" w:cstheme="minorHAnsi"/>
          <w:color w:val="5F5F5F"/>
          <w:szCs w:val="19"/>
        </w:rPr>
      </w:pPr>
      <w:r w:rsidRPr="006D334B">
        <w:rPr>
          <w:rFonts w:asciiTheme="minorHAnsi" w:hAnsiTheme="minorHAnsi" w:cstheme="minorHAnsi"/>
          <w:color w:val="5F5F5F"/>
          <w:szCs w:val="19"/>
        </w:rPr>
        <w:t xml:space="preserve">Tullow </w:t>
      </w:r>
      <w:r w:rsidR="00CD477B">
        <w:rPr>
          <w:rFonts w:asciiTheme="minorHAnsi" w:hAnsiTheme="minorHAnsi" w:cstheme="minorHAnsi"/>
          <w:color w:val="5F5F5F"/>
          <w:szCs w:val="19"/>
        </w:rPr>
        <w:t>began</w:t>
      </w:r>
      <w:r w:rsidR="00CD477B" w:rsidRPr="006D334B">
        <w:rPr>
          <w:rFonts w:asciiTheme="minorHAnsi" w:hAnsiTheme="minorHAnsi" w:cstheme="minorHAnsi"/>
          <w:color w:val="5F5F5F"/>
          <w:szCs w:val="19"/>
        </w:rPr>
        <w:t xml:space="preserve"> </w:t>
      </w:r>
      <w:r w:rsidRPr="006D334B">
        <w:rPr>
          <w:rFonts w:asciiTheme="minorHAnsi" w:hAnsiTheme="minorHAnsi" w:cstheme="minorHAnsi"/>
          <w:color w:val="5F5F5F"/>
          <w:szCs w:val="19"/>
        </w:rPr>
        <w:t>its high-impact exploration campaign in Norway during 2013 and in early September</w:t>
      </w:r>
      <w:r w:rsidR="00A5650F">
        <w:rPr>
          <w:rFonts w:asciiTheme="minorHAnsi" w:hAnsiTheme="minorHAnsi" w:cstheme="minorHAnsi"/>
          <w:color w:val="5F5F5F"/>
          <w:szCs w:val="19"/>
        </w:rPr>
        <w:t xml:space="preserve"> 2013</w:t>
      </w:r>
      <w:r w:rsidRPr="006D334B">
        <w:rPr>
          <w:rFonts w:asciiTheme="minorHAnsi" w:hAnsiTheme="minorHAnsi" w:cstheme="minorHAnsi"/>
          <w:color w:val="5F5F5F"/>
          <w:szCs w:val="19"/>
        </w:rPr>
        <w:t xml:space="preserve"> the Group made a play opening light oil discovery </w:t>
      </w:r>
      <w:r w:rsidR="00CD477B">
        <w:rPr>
          <w:rFonts w:asciiTheme="minorHAnsi" w:hAnsiTheme="minorHAnsi" w:cstheme="minorHAnsi"/>
          <w:color w:val="5F5F5F"/>
          <w:szCs w:val="19"/>
        </w:rPr>
        <w:t>at the</w:t>
      </w:r>
      <w:r w:rsidRPr="006D334B">
        <w:rPr>
          <w:rFonts w:asciiTheme="minorHAnsi" w:hAnsiTheme="minorHAnsi" w:cstheme="minorHAnsi"/>
          <w:color w:val="5F5F5F"/>
          <w:szCs w:val="19"/>
        </w:rPr>
        <w:t xml:space="preserve"> Wisting Central well in the Hoop-Maud Basin in the Barents Sea. </w:t>
      </w:r>
      <w:r w:rsidR="00CD477B">
        <w:rPr>
          <w:rFonts w:asciiTheme="minorHAnsi" w:hAnsiTheme="minorHAnsi" w:cstheme="minorHAnsi"/>
          <w:color w:val="5F5F5F"/>
          <w:szCs w:val="19"/>
        </w:rPr>
        <w:t>T</w:t>
      </w:r>
      <w:r w:rsidRPr="006D334B">
        <w:rPr>
          <w:rFonts w:asciiTheme="minorHAnsi" w:hAnsiTheme="minorHAnsi" w:cstheme="minorHAnsi"/>
          <w:color w:val="5F5F5F"/>
          <w:szCs w:val="19"/>
        </w:rPr>
        <w:t xml:space="preserve">he Wisting Alternative </w:t>
      </w:r>
      <w:r w:rsidR="00CD477B">
        <w:rPr>
          <w:rFonts w:asciiTheme="minorHAnsi" w:hAnsiTheme="minorHAnsi" w:cstheme="minorHAnsi"/>
          <w:color w:val="5F5F5F"/>
          <w:szCs w:val="19"/>
        </w:rPr>
        <w:t xml:space="preserve">well </w:t>
      </w:r>
      <w:r w:rsidR="00CD477B" w:rsidRPr="006D334B">
        <w:rPr>
          <w:rFonts w:asciiTheme="minorHAnsi" w:hAnsiTheme="minorHAnsi" w:cstheme="minorHAnsi"/>
          <w:color w:val="5F5F5F"/>
          <w:szCs w:val="19"/>
        </w:rPr>
        <w:t>target</w:t>
      </w:r>
      <w:r w:rsidR="00CD477B">
        <w:rPr>
          <w:rFonts w:asciiTheme="minorHAnsi" w:hAnsiTheme="minorHAnsi" w:cstheme="minorHAnsi"/>
          <w:color w:val="5F5F5F"/>
          <w:szCs w:val="19"/>
        </w:rPr>
        <w:t>ed</w:t>
      </w:r>
      <w:r w:rsidR="00CD477B" w:rsidRPr="006D334B">
        <w:rPr>
          <w:rFonts w:asciiTheme="minorHAnsi" w:hAnsiTheme="minorHAnsi" w:cstheme="minorHAnsi"/>
          <w:color w:val="5F5F5F"/>
          <w:szCs w:val="19"/>
        </w:rPr>
        <w:t xml:space="preserve"> a deeper</w:t>
      </w:r>
      <w:r w:rsidR="00CD477B">
        <w:rPr>
          <w:rFonts w:asciiTheme="minorHAnsi" w:hAnsiTheme="minorHAnsi" w:cstheme="minorHAnsi"/>
          <w:color w:val="5F5F5F"/>
          <w:szCs w:val="19"/>
        </w:rPr>
        <w:t>,</w:t>
      </w:r>
      <w:r w:rsidR="00CD477B" w:rsidRPr="006D334B">
        <w:rPr>
          <w:rFonts w:asciiTheme="minorHAnsi" w:hAnsiTheme="minorHAnsi" w:cstheme="minorHAnsi"/>
          <w:color w:val="5F5F5F"/>
          <w:szCs w:val="19"/>
        </w:rPr>
        <w:t xml:space="preserve"> unrelated formation </w:t>
      </w:r>
      <w:r w:rsidR="00CD477B">
        <w:rPr>
          <w:rFonts w:asciiTheme="minorHAnsi" w:hAnsiTheme="minorHAnsi" w:cstheme="minorHAnsi"/>
          <w:color w:val="5F5F5F"/>
          <w:szCs w:val="19"/>
        </w:rPr>
        <w:t xml:space="preserve">and was </w:t>
      </w:r>
      <w:r w:rsidRPr="006D334B">
        <w:rPr>
          <w:rFonts w:asciiTheme="minorHAnsi" w:hAnsiTheme="minorHAnsi" w:cstheme="minorHAnsi"/>
          <w:color w:val="5F5F5F"/>
          <w:szCs w:val="19"/>
        </w:rPr>
        <w:t xml:space="preserve">drilled in October 2013, but encountered oil shows in poor quality reservoir rock and has been plugged and abandoned. The Wisting Central discovery will be appraised in 2014 and this discovery significantly de-risks similar shallow prospects in the licence. </w:t>
      </w:r>
    </w:p>
    <w:p w:rsidR="006575AE" w:rsidRPr="006D334B" w:rsidRDefault="006575AE" w:rsidP="00C575A2">
      <w:pPr>
        <w:spacing w:after="120"/>
        <w:rPr>
          <w:rFonts w:asciiTheme="minorHAnsi" w:hAnsiTheme="minorHAnsi" w:cstheme="minorHAnsi"/>
          <w:color w:val="5F5F5F"/>
          <w:szCs w:val="19"/>
        </w:rPr>
      </w:pPr>
      <w:r w:rsidRPr="006D334B">
        <w:rPr>
          <w:rFonts w:asciiTheme="minorHAnsi" w:hAnsiTheme="minorHAnsi" w:cstheme="minorHAnsi"/>
          <w:color w:val="5F5F5F"/>
          <w:szCs w:val="19"/>
        </w:rPr>
        <w:t>Other well results during the year included the 31/3-4 exploration well on the Mantra prospect in December 2013, which encountered reservoir quality sands but all intervals were water wet. Encouragingly, the well potentially penetrated the far down dip extent of the Kuro prospect, where hydrocarbon traces have been identified. In June 2013, the 7/34 well on the Carlsberg prospect was completed, but did not encounter hydrocarbons</w:t>
      </w:r>
      <w:r w:rsidR="00CD477B">
        <w:rPr>
          <w:rFonts w:asciiTheme="minorHAnsi" w:hAnsiTheme="minorHAnsi" w:cstheme="minorHAnsi"/>
          <w:color w:val="5F5F5F"/>
          <w:szCs w:val="19"/>
        </w:rPr>
        <w:t>. T</w:t>
      </w:r>
      <w:r w:rsidRPr="006D334B">
        <w:rPr>
          <w:rFonts w:asciiTheme="minorHAnsi" w:hAnsiTheme="minorHAnsi" w:cstheme="minorHAnsi"/>
          <w:color w:val="5F5F5F"/>
          <w:szCs w:val="19"/>
        </w:rPr>
        <w:t xml:space="preserve">he Mjøsa well in Block PL 511 was also completed </w:t>
      </w:r>
      <w:r w:rsidR="00CD477B">
        <w:rPr>
          <w:rFonts w:asciiTheme="minorHAnsi" w:hAnsiTheme="minorHAnsi" w:cstheme="minorHAnsi"/>
          <w:color w:val="5F5F5F"/>
          <w:szCs w:val="19"/>
        </w:rPr>
        <w:t>in June 2013</w:t>
      </w:r>
      <w:r w:rsidRPr="006D334B">
        <w:rPr>
          <w:rFonts w:asciiTheme="minorHAnsi" w:hAnsiTheme="minorHAnsi" w:cstheme="minorHAnsi"/>
          <w:color w:val="5F5F5F"/>
          <w:szCs w:val="19"/>
        </w:rPr>
        <w:t xml:space="preserve"> </w:t>
      </w:r>
      <w:r w:rsidR="00CD477B">
        <w:rPr>
          <w:rFonts w:asciiTheme="minorHAnsi" w:hAnsiTheme="minorHAnsi" w:cstheme="minorHAnsi"/>
          <w:color w:val="5F5F5F"/>
          <w:szCs w:val="19"/>
        </w:rPr>
        <w:t xml:space="preserve">and </w:t>
      </w:r>
      <w:r w:rsidR="007034B9">
        <w:rPr>
          <w:rFonts w:asciiTheme="minorHAnsi" w:hAnsiTheme="minorHAnsi" w:cstheme="minorHAnsi"/>
          <w:color w:val="5F5F5F"/>
          <w:szCs w:val="19"/>
        </w:rPr>
        <w:t>discovered</w:t>
      </w:r>
      <w:r w:rsidRPr="006D334B">
        <w:rPr>
          <w:rFonts w:asciiTheme="minorHAnsi" w:hAnsiTheme="minorHAnsi" w:cstheme="minorHAnsi"/>
          <w:color w:val="5F5F5F"/>
          <w:szCs w:val="19"/>
        </w:rPr>
        <w:t xml:space="preserve"> uncommercial gas volumes in reservoir quality sandstone. Future activity in Norway includes the Butch East well in PL405 which commenced drilling at the end of 2013 with a result expected in </w:t>
      </w:r>
      <w:r w:rsidR="00CE3E57" w:rsidRPr="00CE3E57">
        <w:rPr>
          <w:rFonts w:asciiTheme="minorHAnsi" w:hAnsiTheme="minorHAnsi" w:cstheme="minorHAnsi"/>
          <w:color w:val="5F5F5F"/>
          <w:szCs w:val="19"/>
        </w:rPr>
        <w:t>the first quarter</w:t>
      </w:r>
      <w:r w:rsidR="00A5650F">
        <w:rPr>
          <w:rFonts w:asciiTheme="minorHAnsi" w:hAnsiTheme="minorHAnsi" w:cstheme="minorHAnsi"/>
          <w:color w:val="5F5F5F"/>
          <w:szCs w:val="19"/>
        </w:rPr>
        <w:t xml:space="preserve"> of 2014</w:t>
      </w:r>
      <w:r w:rsidRPr="00CE3E57">
        <w:rPr>
          <w:rFonts w:asciiTheme="minorHAnsi" w:hAnsiTheme="minorHAnsi" w:cstheme="minorHAnsi"/>
          <w:color w:val="5F5F5F"/>
          <w:szCs w:val="19"/>
        </w:rPr>
        <w:t>. Tullow plans to drill its next operated well, the Gotama prospect in Block PL 550, during the first quarte</w:t>
      </w:r>
      <w:r w:rsidRPr="006D334B">
        <w:rPr>
          <w:rFonts w:asciiTheme="minorHAnsi" w:hAnsiTheme="minorHAnsi" w:cstheme="minorHAnsi"/>
          <w:color w:val="5F5F5F"/>
          <w:szCs w:val="19"/>
        </w:rPr>
        <w:t>r of 2014.</w:t>
      </w:r>
    </w:p>
    <w:p w:rsidR="006575AE" w:rsidRPr="00C575A2" w:rsidRDefault="006575AE" w:rsidP="00C575A2">
      <w:pPr>
        <w:spacing w:after="120"/>
        <w:rPr>
          <w:rFonts w:asciiTheme="minorHAnsi" w:hAnsiTheme="minorHAnsi" w:cstheme="minorHAnsi"/>
          <w:color w:val="5F5F5F"/>
          <w:szCs w:val="19"/>
        </w:rPr>
      </w:pPr>
      <w:r w:rsidRPr="00C575A2">
        <w:rPr>
          <w:rFonts w:asciiTheme="minorHAnsi" w:hAnsiTheme="minorHAnsi" w:cstheme="minorHAnsi"/>
          <w:color w:val="5F5F5F"/>
          <w:szCs w:val="19"/>
        </w:rPr>
        <w:t>Tullow was successfully awarded three new licences in the 22nd Norwegian Licensing Round in June 2013. The licences lie in frontier areas of the west, north and central Barents Sea and Tullow will hold non-operated equities of 20-40%.</w:t>
      </w:r>
    </w:p>
    <w:p w:rsidR="006575AE" w:rsidRPr="00C575A2" w:rsidRDefault="006575AE" w:rsidP="00C575A2">
      <w:pPr>
        <w:spacing w:after="120"/>
        <w:rPr>
          <w:rFonts w:asciiTheme="minorHAnsi" w:hAnsiTheme="minorHAnsi" w:cstheme="minorHAnsi"/>
          <w:color w:val="5F5F5F"/>
          <w:szCs w:val="19"/>
        </w:rPr>
      </w:pPr>
      <w:r w:rsidRPr="00C575A2">
        <w:rPr>
          <w:rFonts w:asciiTheme="minorHAnsi" w:hAnsiTheme="minorHAnsi" w:cstheme="minorHAnsi"/>
          <w:color w:val="5F5F5F"/>
          <w:szCs w:val="19"/>
        </w:rPr>
        <w:t xml:space="preserve">Production from the Brage field in Norway was in line with expectations, averaging </w:t>
      </w:r>
      <w:r w:rsidR="00CE3E57" w:rsidRPr="00C575A2">
        <w:rPr>
          <w:rFonts w:asciiTheme="minorHAnsi" w:hAnsiTheme="minorHAnsi" w:cstheme="minorHAnsi"/>
          <w:color w:val="5F5F5F"/>
          <w:szCs w:val="19"/>
        </w:rPr>
        <w:t>300</w:t>
      </w:r>
      <w:r w:rsidRPr="00C575A2">
        <w:rPr>
          <w:rFonts w:asciiTheme="minorHAnsi" w:hAnsiTheme="minorHAnsi" w:cstheme="minorHAnsi"/>
          <w:color w:val="5F5F5F"/>
          <w:szCs w:val="19"/>
        </w:rPr>
        <w:t xml:space="preserve"> boepd </w:t>
      </w:r>
      <w:r w:rsidR="00CE3E57" w:rsidRPr="00C575A2">
        <w:rPr>
          <w:rFonts w:asciiTheme="minorHAnsi" w:hAnsiTheme="minorHAnsi" w:cstheme="minorHAnsi"/>
          <w:color w:val="5F5F5F"/>
          <w:szCs w:val="19"/>
        </w:rPr>
        <w:t xml:space="preserve">net </w:t>
      </w:r>
      <w:r w:rsidRPr="00C575A2">
        <w:rPr>
          <w:rFonts w:asciiTheme="minorHAnsi" w:hAnsiTheme="minorHAnsi" w:cstheme="minorHAnsi"/>
          <w:color w:val="5F5F5F"/>
          <w:szCs w:val="19"/>
        </w:rPr>
        <w:t>for the full year.</w:t>
      </w:r>
    </w:p>
    <w:p w:rsidR="006575AE" w:rsidRPr="00C575A2" w:rsidRDefault="006575AE" w:rsidP="006B4FE1">
      <w:pPr>
        <w:pStyle w:val="Default"/>
        <w:spacing w:before="240" w:after="40"/>
        <w:jc w:val="both"/>
        <w:rPr>
          <w:rFonts w:asciiTheme="minorHAnsi" w:hAnsiTheme="minorHAnsi" w:cstheme="minorHAnsi"/>
          <w:b/>
          <w:color w:val="00305C"/>
          <w:sz w:val="22"/>
          <w:szCs w:val="22"/>
          <w:lang w:val="en-GB"/>
        </w:rPr>
      </w:pPr>
      <w:r w:rsidRPr="00C575A2">
        <w:rPr>
          <w:rFonts w:asciiTheme="minorHAnsi" w:hAnsiTheme="minorHAnsi" w:cstheme="minorHAnsi"/>
          <w:b/>
          <w:color w:val="00305C"/>
          <w:sz w:val="22"/>
          <w:szCs w:val="22"/>
          <w:lang w:val="en-GB"/>
        </w:rPr>
        <w:t>UK and Netherlands</w:t>
      </w:r>
    </w:p>
    <w:p w:rsidR="006575AE" w:rsidRDefault="006575AE" w:rsidP="00C575A2">
      <w:pPr>
        <w:spacing w:after="120"/>
        <w:rPr>
          <w:rFonts w:asciiTheme="minorHAnsi" w:hAnsiTheme="minorHAnsi" w:cstheme="minorHAnsi"/>
          <w:color w:val="595959" w:themeColor="text1" w:themeTint="A6"/>
          <w:szCs w:val="19"/>
        </w:rPr>
      </w:pPr>
      <w:r w:rsidRPr="006D334B">
        <w:rPr>
          <w:rFonts w:asciiTheme="minorHAnsi" w:hAnsiTheme="minorHAnsi" w:cstheme="minorHAnsi"/>
          <w:color w:val="5F5F5F"/>
          <w:szCs w:val="19"/>
        </w:rPr>
        <w:t xml:space="preserve">Full year production in Tullow’s Southern North Sea assets has been in line with expectations </w:t>
      </w:r>
      <w:r w:rsidRPr="00606B1D">
        <w:rPr>
          <w:rFonts w:asciiTheme="minorHAnsi" w:hAnsiTheme="minorHAnsi" w:cstheme="minorHAnsi"/>
          <w:color w:val="5F5F5F"/>
          <w:szCs w:val="19"/>
        </w:rPr>
        <w:t xml:space="preserve">with </w:t>
      </w:r>
      <w:r w:rsidR="00CE3E57" w:rsidRPr="00606B1D">
        <w:rPr>
          <w:rFonts w:asciiTheme="minorHAnsi" w:hAnsiTheme="minorHAnsi" w:cstheme="minorHAnsi"/>
          <w:color w:val="5F5F5F"/>
          <w:szCs w:val="19"/>
        </w:rPr>
        <w:t>9,200</w:t>
      </w:r>
      <w:r w:rsidRPr="00606B1D">
        <w:rPr>
          <w:rFonts w:asciiTheme="minorHAnsi" w:hAnsiTheme="minorHAnsi" w:cstheme="minorHAnsi"/>
          <w:color w:val="5F5F5F"/>
          <w:szCs w:val="19"/>
        </w:rPr>
        <w:t xml:space="preserve"> boepd in the UK and </w:t>
      </w:r>
      <w:r w:rsidR="00CE3E57" w:rsidRPr="00606B1D">
        <w:rPr>
          <w:rFonts w:asciiTheme="minorHAnsi" w:hAnsiTheme="minorHAnsi" w:cstheme="minorHAnsi"/>
          <w:color w:val="5F5F5F"/>
          <w:szCs w:val="19"/>
        </w:rPr>
        <w:t>5,300</w:t>
      </w:r>
      <w:r w:rsidRPr="00606B1D">
        <w:rPr>
          <w:rFonts w:asciiTheme="minorHAnsi" w:hAnsiTheme="minorHAnsi" w:cstheme="minorHAnsi"/>
          <w:color w:val="5F5F5F"/>
          <w:szCs w:val="19"/>
        </w:rPr>
        <w:t xml:space="preserve"> boepd in the Netherlands. UK production was supplemented by the successful drilling</w:t>
      </w:r>
      <w:r w:rsidRPr="006D334B">
        <w:rPr>
          <w:rFonts w:asciiTheme="minorHAnsi" w:hAnsiTheme="minorHAnsi" w:cstheme="minorHAnsi"/>
          <w:color w:val="5F5F5F"/>
          <w:szCs w:val="19"/>
        </w:rPr>
        <w:t xml:space="preserve"> and completion of the Schooner-11 well which came on stream in October 2013 at </w:t>
      </w:r>
      <w:r w:rsidR="00A5650F">
        <w:rPr>
          <w:rFonts w:asciiTheme="minorHAnsi" w:hAnsiTheme="minorHAnsi" w:cstheme="minorHAnsi"/>
          <w:color w:val="5F5F5F"/>
          <w:szCs w:val="19"/>
        </w:rPr>
        <w:t xml:space="preserve">a rate of </w:t>
      </w:r>
      <w:r w:rsidRPr="006D334B">
        <w:rPr>
          <w:rFonts w:asciiTheme="minorHAnsi" w:hAnsiTheme="minorHAnsi" w:cstheme="minorHAnsi"/>
          <w:color w:val="5F5F5F"/>
          <w:szCs w:val="19"/>
        </w:rPr>
        <w:t xml:space="preserve">35 mmscfd. </w:t>
      </w:r>
      <w:r w:rsidRPr="006D334B">
        <w:rPr>
          <w:rFonts w:asciiTheme="minorHAnsi" w:hAnsiTheme="minorHAnsi" w:cstheme="minorHAnsi"/>
          <w:color w:val="595959" w:themeColor="text1" w:themeTint="A6"/>
          <w:szCs w:val="19"/>
        </w:rPr>
        <w:t xml:space="preserve">Performance in the Netherlands has been sustained </w:t>
      </w:r>
      <w:r w:rsidR="00DF1D07">
        <w:rPr>
          <w:rFonts w:asciiTheme="minorHAnsi" w:hAnsiTheme="minorHAnsi" w:cstheme="minorHAnsi"/>
          <w:color w:val="595959" w:themeColor="text1" w:themeTint="A6"/>
          <w:szCs w:val="19"/>
        </w:rPr>
        <w:t>due to</w:t>
      </w:r>
      <w:r w:rsidRPr="006D334B">
        <w:rPr>
          <w:rFonts w:asciiTheme="minorHAnsi" w:hAnsiTheme="minorHAnsi" w:cstheme="minorHAnsi"/>
          <w:color w:val="595959" w:themeColor="text1" w:themeTint="A6"/>
          <w:szCs w:val="19"/>
        </w:rPr>
        <w:t xml:space="preserve"> the K8 A 308 and K12 B11 wells </w:t>
      </w:r>
      <w:r w:rsidR="00DF1D07">
        <w:rPr>
          <w:rFonts w:asciiTheme="minorHAnsi" w:hAnsiTheme="minorHAnsi" w:cstheme="minorHAnsi"/>
          <w:color w:val="595959" w:themeColor="text1" w:themeTint="A6"/>
          <w:szCs w:val="19"/>
        </w:rPr>
        <w:t>which were</w:t>
      </w:r>
      <w:r w:rsidRPr="006D334B">
        <w:rPr>
          <w:rFonts w:asciiTheme="minorHAnsi" w:hAnsiTheme="minorHAnsi" w:cstheme="minorHAnsi"/>
          <w:color w:val="595959" w:themeColor="text1" w:themeTint="A6"/>
          <w:szCs w:val="19"/>
        </w:rPr>
        <w:t xml:space="preserve"> brought on stream in April 2013.</w:t>
      </w:r>
    </w:p>
    <w:p w:rsidR="006575AE" w:rsidRPr="006D334B" w:rsidRDefault="006575AE" w:rsidP="00C575A2">
      <w:pPr>
        <w:spacing w:after="120"/>
        <w:rPr>
          <w:rFonts w:asciiTheme="minorHAnsi" w:hAnsiTheme="minorHAnsi" w:cstheme="minorHAnsi"/>
          <w:color w:val="5F5F5F"/>
          <w:szCs w:val="19"/>
        </w:rPr>
      </w:pPr>
      <w:r w:rsidRPr="006D334B">
        <w:rPr>
          <w:rFonts w:asciiTheme="minorHAnsi" w:hAnsiTheme="minorHAnsi" w:cstheme="minorHAnsi"/>
          <w:color w:val="5F5F5F"/>
          <w:szCs w:val="19"/>
        </w:rPr>
        <w:t>In the UK, Tullow relinquished the operated Cameron discovery within block 44/19b, prior to the licence expiring.</w:t>
      </w:r>
    </w:p>
    <w:p w:rsidR="007124DC" w:rsidRDefault="007124DC" w:rsidP="007124DC">
      <w:pPr>
        <w:spacing w:after="120"/>
        <w:rPr>
          <w:color w:val="5F5F5F"/>
        </w:rPr>
      </w:pPr>
      <w:r w:rsidRPr="007124DC">
        <w:rPr>
          <w:rFonts w:asciiTheme="minorHAnsi" w:hAnsiTheme="minorHAnsi" w:cstheme="minorHAnsi"/>
          <w:color w:val="5F5F5F"/>
          <w:szCs w:val="19"/>
        </w:rPr>
        <w:t xml:space="preserve">In the Netherlands, the Tullow-operated Vincent exploration well commenced drilling in October 2013 and was successfully drilled to </w:t>
      </w:r>
      <w:r>
        <w:rPr>
          <w:rFonts w:asciiTheme="minorHAnsi" w:hAnsiTheme="minorHAnsi" w:cstheme="minorHAnsi"/>
          <w:color w:val="5F5F5F"/>
          <w:szCs w:val="19"/>
        </w:rPr>
        <w:t xml:space="preserve">a TD of 4,027 metres. The well </w:t>
      </w:r>
      <w:r w:rsidRPr="007124DC">
        <w:rPr>
          <w:rFonts w:asciiTheme="minorHAnsi" w:hAnsiTheme="minorHAnsi" w:cstheme="minorHAnsi"/>
          <w:color w:val="5F5F5F"/>
          <w:szCs w:val="19"/>
        </w:rPr>
        <w:t>encountered a gas column of 72 metres and net pay of 25 metres and has been tested at a stable rate of 6</w:t>
      </w:r>
      <w:r w:rsidR="000F54EF">
        <w:rPr>
          <w:rFonts w:asciiTheme="minorHAnsi" w:hAnsiTheme="minorHAnsi" w:cstheme="minorHAnsi"/>
          <w:color w:val="5F5F5F"/>
          <w:szCs w:val="19"/>
        </w:rPr>
        <w:t>4</w:t>
      </w:r>
      <w:r w:rsidRPr="007124DC">
        <w:rPr>
          <w:rFonts w:asciiTheme="minorHAnsi" w:hAnsiTheme="minorHAnsi" w:cstheme="minorHAnsi"/>
          <w:color w:val="5F5F5F"/>
          <w:szCs w:val="19"/>
        </w:rPr>
        <w:t xml:space="preserve"> mmscfd. The Vincent well has therefore successfully opened the under-explored Netherlands Carboniferous sub-crop play that has proved so successful in the UK Continental Shelf.</w:t>
      </w:r>
      <w:r w:rsidR="000F54EF">
        <w:rPr>
          <w:rFonts w:asciiTheme="minorHAnsi" w:hAnsiTheme="minorHAnsi" w:cstheme="minorHAnsi"/>
          <w:color w:val="5F5F5F"/>
          <w:szCs w:val="19"/>
        </w:rPr>
        <w:t xml:space="preserve"> These results will now be incorporated into our regional geological model.</w:t>
      </w:r>
    </w:p>
    <w:p w:rsidR="006575AE" w:rsidRPr="006D334B" w:rsidRDefault="00606B1D" w:rsidP="00C575A2">
      <w:pPr>
        <w:rPr>
          <w:rFonts w:asciiTheme="minorHAnsi" w:hAnsiTheme="minorHAnsi" w:cstheme="minorHAnsi"/>
          <w:color w:val="5F5F5F"/>
          <w:szCs w:val="19"/>
        </w:rPr>
      </w:pPr>
      <w:r>
        <w:rPr>
          <w:rFonts w:asciiTheme="minorHAnsi" w:hAnsiTheme="minorHAnsi" w:cstheme="minorHAnsi"/>
          <w:color w:val="5F5F5F"/>
          <w:szCs w:val="19"/>
        </w:rPr>
        <w:t>As previously announced, t</w:t>
      </w:r>
      <w:r w:rsidR="006575AE" w:rsidRPr="006D334B">
        <w:rPr>
          <w:rFonts w:asciiTheme="minorHAnsi" w:hAnsiTheme="minorHAnsi" w:cstheme="minorHAnsi"/>
          <w:color w:val="5F5F5F"/>
          <w:szCs w:val="19"/>
        </w:rPr>
        <w:t>he Southern North Sea a</w:t>
      </w:r>
      <w:r>
        <w:rPr>
          <w:rFonts w:asciiTheme="minorHAnsi" w:hAnsiTheme="minorHAnsi" w:cstheme="minorHAnsi"/>
          <w:color w:val="5F5F5F"/>
          <w:szCs w:val="19"/>
        </w:rPr>
        <w:t>sset sale has been restructured.</w:t>
      </w:r>
    </w:p>
    <w:p w:rsidR="006575AE" w:rsidRPr="00C575A2" w:rsidRDefault="006575AE" w:rsidP="006B4FE1">
      <w:pPr>
        <w:pStyle w:val="Default"/>
        <w:spacing w:before="240" w:after="40"/>
        <w:jc w:val="both"/>
        <w:rPr>
          <w:rFonts w:asciiTheme="minorHAnsi" w:hAnsiTheme="minorHAnsi" w:cstheme="minorHAnsi"/>
          <w:b/>
          <w:color w:val="00305C"/>
          <w:sz w:val="22"/>
          <w:szCs w:val="22"/>
          <w:lang w:val="en-GB"/>
        </w:rPr>
      </w:pPr>
      <w:r w:rsidRPr="00C575A2">
        <w:rPr>
          <w:rFonts w:asciiTheme="minorHAnsi" w:hAnsiTheme="minorHAnsi" w:cstheme="minorHAnsi"/>
          <w:b/>
          <w:color w:val="00305C"/>
          <w:sz w:val="22"/>
          <w:szCs w:val="22"/>
          <w:lang w:val="en-GB"/>
        </w:rPr>
        <w:t>Greenland</w:t>
      </w:r>
    </w:p>
    <w:p w:rsidR="003B1735" w:rsidRDefault="006575AE" w:rsidP="00135693">
      <w:pPr>
        <w:rPr>
          <w:rFonts w:asciiTheme="minorHAnsi" w:hAnsiTheme="minorHAnsi" w:cstheme="minorHAnsi"/>
          <w:color w:val="5F5F5F"/>
          <w:szCs w:val="19"/>
        </w:rPr>
      </w:pPr>
      <w:r w:rsidRPr="006D334B">
        <w:rPr>
          <w:rFonts w:asciiTheme="minorHAnsi" w:hAnsiTheme="minorHAnsi" w:cstheme="minorHAnsi"/>
          <w:color w:val="5F5F5F"/>
          <w:szCs w:val="19"/>
        </w:rPr>
        <w:t xml:space="preserve">Tullow’s farm-in to Block 9 (Tooq licence) </w:t>
      </w:r>
      <w:r w:rsidR="00A02483">
        <w:rPr>
          <w:rFonts w:asciiTheme="minorHAnsi" w:hAnsiTheme="minorHAnsi" w:cstheme="minorHAnsi"/>
          <w:color w:val="5F5F5F"/>
          <w:szCs w:val="19"/>
        </w:rPr>
        <w:t xml:space="preserve">was completed in December 2013 </w:t>
      </w:r>
      <w:r w:rsidR="00A02483" w:rsidRPr="00A02483">
        <w:rPr>
          <w:rFonts w:asciiTheme="minorHAnsi" w:hAnsiTheme="minorHAnsi" w:cstheme="minorHAnsi"/>
          <w:color w:val="5F5F5F"/>
          <w:szCs w:val="19"/>
        </w:rPr>
        <w:t xml:space="preserve">and a very material oil prospect, perhaps the largest in the region, has been mapped from recently processed 3D seismic data. </w:t>
      </w:r>
      <w:r w:rsidRPr="00A02483">
        <w:rPr>
          <w:rFonts w:asciiTheme="minorHAnsi" w:hAnsiTheme="minorHAnsi" w:cstheme="minorHAnsi"/>
          <w:color w:val="5F5F5F"/>
          <w:szCs w:val="19"/>
        </w:rPr>
        <w:t>Throughout</w:t>
      </w:r>
      <w:r w:rsidRPr="006D334B">
        <w:rPr>
          <w:rFonts w:asciiTheme="minorHAnsi" w:hAnsiTheme="minorHAnsi" w:cstheme="minorHAnsi"/>
          <w:color w:val="5F5F5F"/>
          <w:szCs w:val="19"/>
        </w:rPr>
        <w:t xml:space="preserve"> 2013, Tullow and its joint venture partners</w:t>
      </w:r>
      <w:r w:rsidR="00CD477B">
        <w:rPr>
          <w:rFonts w:asciiTheme="minorHAnsi" w:hAnsiTheme="minorHAnsi" w:cstheme="minorHAnsi"/>
          <w:color w:val="5F5F5F"/>
          <w:szCs w:val="19"/>
        </w:rPr>
        <w:t xml:space="preserve"> </w:t>
      </w:r>
      <w:r w:rsidR="00A02483">
        <w:rPr>
          <w:rFonts w:asciiTheme="minorHAnsi" w:hAnsiTheme="minorHAnsi" w:cstheme="minorHAnsi"/>
          <w:color w:val="5F5F5F"/>
          <w:szCs w:val="19"/>
        </w:rPr>
        <w:t xml:space="preserve">have </w:t>
      </w:r>
      <w:r w:rsidR="00CD477B">
        <w:rPr>
          <w:rFonts w:asciiTheme="minorHAnsi" w:hAnsiTheme="minorHAnsi" w:cstheme="minorHAnsi"/>
          <w:color w:val="5F5F5F"/>
          <w:szCs w:val="19"/>
        </w:rPr>
        <w:t>work</w:t>
      </w:r>
      <w:r w:rsidR="00CE27E7">
        <w:rPr>
          <w:rFonts w:asciiTheme="minorHAnsi" w:hAnsiTheme="minorHAnsi" w:cstheme="minorHAnsi"/>
          <w:color w:val="5F5F5F"/>
          <w:szCs w:val="19"/>
        </w:rPr>
        <w:t>ed</w:t>
      </w:r>
      <w:r w:rsidR="00CD477B">
        <w:rPr>
          <w:rFonts w:asciiTheme="minorHAnsi" w:hAnsiTheme="minorHAnsi" w:cstheme="minorHAnsi"/>
          <w:color w:val="5F5F5F"/>
          <w:szCs w:val="19"/>
        </w:rPr>
        <w:t xml:space="preserve"> on a</w:t>
      </w:r>
      <w:r w:rsidRPr="006D334B">
        <w:rPr>
          <w:rFonts w:asciiTheme="minorHAnsi" w:hAnsiTheme="minorHAnsi" w:cstheme="minorHAnsi"/>
          <w:color w:val="5F5F5F"/>
          <w:szCs w:val="19"/>
        </w:rPr>
        <w:t xml:space="preserve"> technical and non-technical work programme in order </w:t>
      </w:r>
      <w:r w:rsidR="0023377C">
        <w:rPr>
          <w:rFonts w:asciiTheme="minorHAnsi" w:hAnsiTheme="minorHAnsi" w:cstheme="minorHAnsi"/>
          <w:color w:val="5F5F5F"/>
          <w:szCs w:val="19"/>
        </w:rPr>
        <w:t xml:space="preserve">to decide </w:t>
      </w:r>
      <w:r w:rsidRPr="006D334B">
        <w:rPr>
          <w:rFonts w:asciiTheme="minorHAnsi" w:hAnsiTheme="minorHAnsi" w:cstheme="minorHAnsi"/>
          <w:color w:val="5F5F5F"/>
          <w:szCs w:val="19"/>
        </w:rPr>
        <w:t xml:space="preserve">whether to </w:t>
      </w:r>
      <w:r w:rsidR="0023377C" w:rsidRPr="006D334B">
        <w:rPr>
          <w:rFonts w:asciiTheme="minorHAnsi" w:hAnsiTheme="minorHAnsi" w:cstheme="minorHAnsi"/>
          <w:color w:val="5F5F5F"/>
          <w:szCs w:val="19"/>
        </w:rPr>
        <w:t>drill an exploration well in 2015</w:t>
      </w:r>
      <w:r w:rsidR="0023377C">
        <w:rPr>
          <w:rFonts w:asciiTheme="minorHAnsi" w:hAnsiTheme="minorHAnsi" w:cstheme="minorHAnsi"/>
          <w:color w:val="5F5F5F"/>
          <w:szCs w:val="19"/>
        </w:rPr>
        <w:t xml:space="preserve">. </w:t>
      </w:r>
      <w:r w:rsidRPr="006D334B">
        <w:rPr>
          <w:rFonts w:asciiTheme="minorHAnsi" w:hAnsiTheme="minorHAnsi" w:cstheme="minorHAnsi"/>
          <w:color w:val="5F5F5F"/>
          <w:szCs w:val="19"/>
        </w:rPr>
        <w:t>Th</w:t>
      </w:r>
      <w:r w:rsidR="0023377C">
        <w:rPr>
          <w:rFonts w:asciiTheme="minorHAnsi" w:hAnsiTheme="minorHAnsi" w:cstheme="minorHAnsi"/>
          <w:color w:val="5F5F5F"/>
          <w:szCs w:val="19"/>
        </w:rPr>
        <w:t xml:space="preserve">is </w:t>
      </w:r>
      <w:r w:rsidRPr="006D334B">
        <w:rPr>
          <w:rFonts w:asciiTheme="minorHAnsi" w:hAnsiTheme="minorHAnsi" w:cstheme="minorHAnsi"/>
          <w:color w:val="5F5F5F"/>
          <w:szCs w:val="19"/>
        </w:rPr>
        <w:t xml:space="preserve">decision will be made </w:t>
      </w:r>
      <w:r w:rsidR="0023377C">
        <w:rPr>
          <w:rFonts w:asciiTheme="minorHAnsi" w:hAnsiTheme="minorHAnsi" w:cstheme="minorHAnsi"/>
          <w:color w:val="5F5F5F"/>
          <w:szCs w:val="19"/>
        </w:rPr>
        <w:t xml:space="preserve">only if Tullow is satisfied that all necessary </w:t>
      </w:r>
      <w:r w:rsidRPr="006D334B">
        <w:rPr>
          <w:rFonts w:asciiTheme="minorHAnsi" w:hAnsiTheme="minorHAnsi" w:cstheme="minorHAnsi"/>
          <w:color w:val="5F5F5F"/>
          <w:szCs w:val="19"/>
        </w:rPr>
        <w:t>technical, environmental</w:t>
      </w:r>
      <w:r w:rsidR="0023377C">
        <w:rPr>
          <w:rFonts w:asciiTheme="minorHAnsi" w:hAnsiTheme="minorHAnsi" w:cstheme="minorHAnsi"/>
          <w:color w:val="5F5F5F"/>
          <w:szCs w:val="19"/>
        </w:rPr>
        <w:t>, safety and</w:t>
      </w:r>
      <w:r w:rsidRPr="006D334B">
        <w:rPr>
          <w:rFonts w:asciiTheme="minorHAnsi" w:hAnsiTheme="minorHAnsi" w:cstheme="minorHAnsi"/>
          <w:color w:val="5F5F5F"/>
          <w:szCs w:val="19"/>
        </w:rPr>
        <w:t xml:space="preserve"> social</w:t>
      </w:r>
      <w:r w:rsidR="0023377C">
        <w:rPr>
          <w:rFonts w:asciiTheme="minorHAnsi" w:hAnsiTheme="minorHAnsi" w:cstheme="minorHAnsi"/>
          <w:color w:val="5F5F5F"/>
          <w:szCs w:val="19"/>
        </w:rPr>
        <w:t xml:space="preserve"> standards have been reached. </w:t>
      </w:r>
    </w:p>
    <w:p w:rsidR="006575AE" w:rsidRPr="00D157AF" w:rsidRDefault="006575AE" w:rsidP="006B4FE1">
      <w:pPr>
        <w:pStyle w:val="Default"/>
        <w:spacing w:before="240" w:after="40"/>
        <w:jc w:val="both"/>
        <w:rPr>
          <w:rFonts w:asciiTheme="minorHAnsi" w:hAnsiTheme="minorHAnsi" w:cstheme="minorHAnsi"/>
          <w:b/>
          <w:color w:val="00305C"/>
          <w:sz w:val="22"/>
          <w:szCs w:val="22"/>
          <w:lang w:val="en-GB"/>
        </w:rPr>
      </w:pPr>
      <w:r w:rsidRPr="00D157AF">
        <w:rPr>
          <w:rFonts w:asciiTheme="minorHAnsi" w:hAnsiTheme="minorHAnsi" w:cstheme="minorHAnsi"/>
          <w:b/>
          <w:color w:val="00305C"/>
          <w:sz w:val="22"/>
          <w:szCs w:val="22"/>
          <w:lang w:val="en-GB"/>
        </w:rPr>
        <w:t>French Guiana</w:t>
      </w:r>
    </w:p>
    <w:p w:rsidR="00982A64" w:rsidRDefault="006575AE" w:rsidP="006575AE">
      <w:pPr>
        <w:rPr>
          <w:rFonts w:asciiTheme="minorHAnsi" w:hAnsiTheme="minorHAnsi" w:cstheme="minorHAnsi"/>
          <w:color w:val="595959" w:themeColor="text1" w:themeTint="A6"/>
          <w:szCs w:val="19"/>
        </w:rPr>
      </w:pPr>
      <w:r w:rsidRPr="006D334B">
        <w:rPr>
          <w:rFonts w:asciiTheme="minorHAnsi" w:hAnsiTheme="minorHAnsi" w:cstheme="minorHAnsi"/>
          <w:color w:val="595959" w:themeColor="text1" w:themeTint="A6"/>
          <w:szCs w:val="19"/>
        </w:rPr>
        <w:t>The French Guiana drilling programme was completed in 2013</w:t>
      </w:r>
      <w:r w:rsidR="00982A64">
        <w:rPr>
          <w:rFonts w:asciiTheme="minorHAnsi" w:hAnsiTheme="minorHAnsi" w:cstheme="minorHAnsi"/>
          <w:color w:val="595959" w:themeColor="text1" w:themeTint="A6"/>
          <w:szCs w:val="19"/>
        </w:rPr>
        <w:t xml:space="preserve">. </w:t>
      </w:r>
      <w:r w:rsidRPr="006D334B">
        <w:rPr>
          <w:rFonts w:asciiTheme="minorHAnsi" w:hAnsiTheme="minorHAnsi" w:cstheme="minorHAnsi"/>
          <w:color w:val="595959" w:themeColor="text1" w:themeTint="A6"/>
          <w:szCs w:val="19"/>
        </w:rPr>
        <w:t>Priodontes-1 (GM-ES-3) was declared unsuccessful in April 2013 due to a trap-specific issue with no material consequences for prospectivity elsewhere in the block. GM-ES-4 on the Cebus prospect was completed in July</w:t>
      </w:r>
      <w:r w:rsidR="00DF1D07">
        <w:rPr>
          <w:rFonts w:asciiTheme="minorHAnsi" w:hAnsiTheme="minorHAnsi" w:cstheme="minorHAnsi"/>
          <w:color w:val="595959" w:themeColor="text1" w:themeTint="A6"/>
          <w:szCs w:val="19"/>
        </w:rPr>
        <w:t xml:space="preserve"> 2013</w:t>
      </w:r>
      <w:r w:rsidRPr="006D334B">
        <w:rPr>
          <w:rFonts w:asciiTheme="minorHAnsi" w:hAnsiTheme="minorHAnsi" w:cstheme="minorHAnsi"/>
          <w:color w:val="595959" w:themeColor="text1" w:themeTint="A6"/>
          <w:szCs w:val="19"/>
        </w:rPr>
        <w:t xml:space="preserve"> and</w:t>
      </w:r>
      <w:r w:rsidRPr="006D334B">
        <w:rPr>
          <w:rFonts w:asciiTheme="minorHAnsi" w:hAnsiTheme="minorHAnsi" w:cstheme="minorHAnsi"/>
          <w:color w:val="5F5F5F"/>
          <w:szCs w:val="19"/>
        </w:rPr>
        <w:t xml:space="preserve"> whilst there was extensive development of the targeted sands, </w:t>
      </w:r>
      <w:r w:rsidR="0023377C">
        <w:rPr>
          <w:rFonts w:asciiTheme="minorHAnsi" w:hAnsiTheme="minorHAnsi" w:cstheme="minorHAnsi"/>
          <w:color w:val="5F5F5F"/>
          <w:szCs w:val="19"/>
        </w:rPr>
        <w:t xml:space="preserve">no hydrocarbons were found and </w:t>
      </w:r>
      <w:r w:rsidRPr="006D334B">
        <w:rPr>
          <w:rFonts w:asciiTheme="minorHAnsi" w:hAnsiTheme="minorHAnsi" w:cstheme="minorHAnsi"/>
          <w:color w:val="5F5F5F"/>
          <w:szCs w:val="19"/>
        </w:rPr>
        <w:t>the well was plugged and abandoned.</w:t>
      </w:r>
      <w:r w:rsidRPr="006D334B">
        <w:rPr>
          <w:rFonts w:asciiTheme="minorHAnsi" w:hAnsiTheme="minorHAnsi" w:cstheme="minorHAnsi"/>
          <w:color w:val="595959" w:themeColor="text1" w:themeTint="A6"/>
          <w:szCs w:val="19"/>
        </w:rPr>
        <w:t xml:space="preserve"> </w:t>
      </w:r>
      <w:r w:rsidR="005425EC" w:rsidRPr="005425EC">
        <w:rPr>
          <w:rFonts w:asciiTheme="minorHAnsi" w:hAnsiTheme="minorHAnsi" w:cstheme="minorHAnsi"/>
          <w:color w:val="5F5F5F"/>
          <w:szCs w:val="19"/>
        </w:rPr>
        <w:t>The final well in the drilling programme, GM-ES-5, was drilled into the water leg of the Zaedyus-1 oil pool and delineated the oil-water contact. The Stena IceMax rig was demobilised and left the Block in early December 2013</w:t>
      </w:r>
      <w:r w:rsidRPr="006D334B">
        <w:rPr>
          <w:rFonts w:asciiTheme="minorHAnsi" w:hAnsiTheme="minorHAnsi" w:cstheme="minorHAnsi"/>
          <w:color w:val="5F5F5F"/>
          <w:szCs w:val="19"/>
        </w:rPr>
        <w:t xml:space="preserve">. </w:t>
      </w:r>
      <w:r w:rsidR="00CE3E57" w:rsidRPr="005425EC">
        <w:rPr>
          <w:rFonts w:asciiTheme="minorHAnsi" w:hAnsiTheme="minorHAnsi" w:cstheme="minorHAnsi"/>
          <w:color w:val="5F5F5F"/>
          <w:szCs w:val="19"/>
        </w:rPr>
        <w:t>T</w:t>
      </w:r>
      <w:r w:rsidR="00CE3E57">
        <w:rPr>
          <w:rFonts w:asciiTheme="minorHAnsi" w:hAnsiTheme="minorHAnsi" w:cstheme="minorHAnsi"/>
          <w:color w:val="595959" w:themeColor="text1" w:themeTint="A6"/>
          <w:szCs w:val="19"/>
        </w:rPr>
        <w:t xml:space="preserve">ullow is </w:t>
      </w:r>
      <w:r w:rsidR="00CE3E57" w:rsidRPr="00CE3E57">
        <w:rPr>
          <w:rFonts w:asciiTheme="minorHAnsi" w:hAnsiTheme="minorHAnsi" w:cstheme="minorHAnsi"/>
          <w:color w:val="595959" w:themeColor="text1" w:themeTint="A6"/>
          <w:szCs w:val="19"/>
        </w:rPr>
        <w:t xml:space="preserve">currently incorporating the results from the 2013 wells into our geological model so we can better understand </w:t>
      </w:r>
      <w:r w:rsidR="00CE27E7" w:rsidRPr="00CE27E7">
        <w:rPr>
          <w:rFonts w:asciiTheme="minorHAnsi" w:hAnsiTheme="minorHAnsi" w:cstheme="minorHAnsi"/>
          <w:color w:val="595959" w:themeColor="text1" w:themeTint="A6"/>
          <w:szCs w:val="19"/>
        </w:rPr>
        <w:t>the considerable remaining prospectivity and determine the future licence work programme.</w:t>
      </w:r>
    </w:p>
    <w:p w:rsidR="006575AE" w:rsidRPr="00D157AF" w:rsidRDefault="00D157AF" w:rsidP="00AA503D">
      <w:pPr>
        <w:spacing w:before="240" w:after="60"/>
        <w:rPr>
          <w:rFonts w:asciiTheme="minorHAnsi" w:hAnsiTheme="minorHAnsi" w:cstheme="minorHAnsi"/>
          <w:color w:val="5F5F5F"/>
          <w:szCs w:val="19"/>
        </w:rPr>
      </w:pPr>
      <w:r w:rsidRPr="00D157AF">
        <w:rPr>
          <w:rFonts w:asciiTheme="minorHAnsi" w:hAnsiTheme="minorHAnsi" w:cstheme="minorHAnsi"/>
          <w:b/>
          <w:color w:val="00305C"/>
          <w:sz w:val="22"/>
          <w:szCs w:val="22"/>
        </w:rPr>
        <w:t>Suriname</w:t>
      </w:r>
      <w:r w:rsidR="006575AE" w:rsidRPr="006D334B">
        <w:rPr>
          <w:rStyle w:val="StyleFranklinGothicDemi10ptCustomColorRGB1533154"/>
          <w:rFonts w:asciiTheme="minorHAnsi" w:hAnsiTheme="minorHAnsi" w:cstheme="minorHAnsi"/>
          <w:color w:val="595959" w:themeColor="text1" w:themeTint="A6"/>
          <w:szCs w:val="19"/>
        </w:rPr>
        <w:br/>
      </w:r>
      <w:r w:rsidR="006575AE" w:rsidRPr="00D157AF">
        <w:rPr>
          <w:rFonts w:asciiTheme="minorHAnsi" w:hAnsiTheme="minorHAnsi" w:cstheme="minorHAnsi"/>
          <w:color w:val="5F5F5F"/>
          <w:szCs w:val="19"/>
        </w:rPr>
        <w:t>In Suriname, seismic interpretations from a 3,000 sq km 3D survey taken over Block 47 in late 2012 confirm the presence of major deepwater turbidite systems. An attractive prospect inventory has been completed and ranked, with the Goliathberg</w:t>
      </w:r>
      <w:r w:rsidR="006575AE" w:rsidRPr="00A02483">
        <w:rPr>
          <w:rFonts w:asciiTheme="minorHAnsi" w:hAnsiTheme="minorHAnsi" w:cstheme="minorHAnsi"/>
          <w:color w:val="5F5F5F"/>
          <w:szCs w:val="19"/>
        </w:rPr>
        <w:t>/</w:t>
      </w:r>
      <w:r w:rsidR="00B24AE8" w:rsidRPr="00A02483">
        <w:rPr>
          <w:rFonts w:asciiTheme="minorHAnsi" w:hAnsiTheme="minorHAnsi" w:cstheme="minorHAnsi"/>
          <w:color w:val="5F5F5F"/>
          <w:szCs w:val="19"/>
        </w:rPr>
        <w:t>Votzberg</w:t>
      </w:r>
      <w:r w:rsidR="006575AE" w:rsidRPr="00A02483">
        <w:rPr>
          <w:rFonts w:asciiTheme="minorHAnsi" w:hAnsiTheme="minorHAnsi" w:cstheme="minorHAnsi"/>
          <w:color w:val="5F5F5F"/>
          <w:szCs w:val="19"/>
        </w:rPr>
        <w:t xml:space="preserve"> South prospect identified </w:t>
      </w:r>
      <w:r w:rsidR="00B24AE8" w:rsidRPr="00A02483">
        <w:rPr>
          <w:rFonts w:asciiTheme="minorHAnsi" w:hAnsiTheme="minorHAnsi" w:cstheme="minorHAnsi"/>
          <w:color w:val="5F5F5F"/>
          <w:szCs w:val="19"/>
        </w:rPr>
        <w:t>for</w:t>
      </w:r>
      <w:r w:rsidR="00A6527B" w:rsidRPr="00A02483">
        <w:rPr>
          <w:rFonts w:asciiTheme="minorHAnsi" w:hAnsiTheme="minorHAnsi" w:cstheme="minorHAnsi"/>
          <w:color w:val="5F5F5F"/>
          <w:szCs w:val="19"/>
        </w:rPr>
        <w:t xml:space="preserve"> </w:t>
      </w:r>
      <w:r w:rsidR="006575AE" w:rsidRPr="00A02483">
        <w:rPr>
          <w:rFonts w:asciiTheme="minorHAnsi" w:hAnsiTheme="minorHAnsi" w:cstheme="minorHAnsi"/>
          <w:color w:val="5F5F5F"/>
          <w:szCs w:val="19"/>
        </w:rPr>
        <w:t>a potential exploration</w:t>
      </w:r>
      <w:r w:rsidR="006575AE" w:rsidRPr="00D157AF">
        <w:rPr>
          <w:rFonts w:asciiTheme="minorHAnsi" w:hAnsiTheme="minorHAnsi" w:cstheme="minorHAnsi"/>
          <w:color w:val="5F5F5F"/>
          <w:szCs w:val="19"/>
        </w:rPr>
        <w:t xml:space="preserve"> well for 2015.</w:t>
      </w:r>
    </w:p>
    <w:p w:rsidR="006575AE" w:rsidRPr="00D157AF" w:rsidRDefault="006575AE" w:rsidP="00D157AF">
      <w:pPr>
        <w:spacing w:after="120"/>
        <w:rPr>
          <w:rFonts w:asciiTheme="minorHAnsi" w:hAnsiTheme="minorHAnsi" w:cstheme="minorHAnsi"/>
          <w:color w:val="5F5F5F"/>
          <w:szCs w:val="19"/>
        </w:rPr>
      </w:pPr>
      <w:r w:rsidRPr="00D157AF">
        <w:rPr>
          <w:rFonts w:asciiTheme="minorHAnsi" w:hAnsiTheme="minorHAnsi" w:cstheme="minorHAnsi"/>
          <w:color w:val="5F5F5F"/>
          <w:szCs w:val="19"/>
        </w:rPr>
        <w:t>In the first half of 2013, Tullow agreed terms with Teikoku Oil (Suriname) Co., Ltd, a subsidiary of INPEX CORPORATION, to farm in to offshore Block 31. Tullow acquired a 30% stake (INPEX to retain 70%), subject to sanction from the state oil company, Staatsolie which is expected in the first quarter of 2014.</w:t>
      </w:r>
    </w:p>
    <w:p w:rsidR="006575AE" w:rsidRPr="00D157AF" w:rsidRDefault="006575AE" w:rsidP="00AA503D">
      <w:pPr>
        <w:rPr>
          <w:rFonts w:asciiTheme="minorHAnsi" w:hAnsiTheme="minorHAnsi" w:cstheme="minorHAnsi"/>
          <w:color w:val="5F5F5F"/>
          <w:szCs w:val="19"/>
        </w:rPr>
      </w:pPr>
      <w:r w:rsidRPr="00D157AF">
        <w:rPr>
          <w:rFonts w:asciiTheme="minorHAnsi" w:hAnsiTheme="minorHAnsi" w:cstheme="minorHAnsi"/>
          <w:color w:val="5F5F5F"/>
          <w:szCs w:val="19"/>
        </w:rPr>
        <w:t xml:space="preserve">Tullow and Statoil made a successful joint bid for </w:t>
      </w:r>
      <w:r w:rsidR="000A569C" w:rsidRPr="00D157AF">
        <w:rPr>
          <w:rFonts w:asciiTheme="minorHAnsi" w:hAnsiTheme="minorHAnsi" w:cstheme="minorHAnsi"/>
          <w:color w:val="5F5F5F"/>
          <w:szCs w:val="19"/>
        </w:rPr>
        <w:t xml:space="preserve">offshore </w:t>
      </w:r>
      <w:r w:rsidRPr="00D157AF">
        <w:rPr>
          <w:rFonts w:asciiTheme="minorHAnsi" w:hAnsiTheme="minorHAnsi" w:cstheme="minorHAnsi"/>
          <w:color w:val="5F5F5F"/>
          <w:szCs w:val="19"/>
        </w:rPr>
        <w:t xml:space="preserve">Block 54, in the Suriname International Bid Round 2013. Tullow will be the operator with a 50% interest. </w:t>
      </w:r>
    </w:p>
    <w:p w:rsidR="006575AE" w:rsidRPr="00D157AF" w:rsidRDefault="006575AE" w:rsidP="006B4FE1">
      <w:pPr>
        <w:pStyle w:val="Default"/>
        <w:spacing w:before="240" w:after="40"/>
        <w:jc w:val="both"/>
        <w:rPr>
          <w:rFonts w:asciiTheme="minorHAnsi" w:hAnsiTheme="minorHAnsi" w:cstheme="minorHAnsi"/>
          <w:b/>
          <w:color w:val="00305C"/>
          <w:sz w:val="22"/>
          <w:szCs w:val="22"/>
          <w:lang w:val="en-GB"/>
        </w:rPr>
      </w:pPr>
      <w:r w:rsidRPr="00D157AF">
        <w:rPr>
          <w:rFonts w:asciiTheme="minorHAnsi" w:hAnsiTheme="minorHAnsi" w:cstheme="minorHAnsi"/>
          <w:b/>
          <w:color w:val="00305C"/>
          <w:sz w:val="22"/>
          <w:szCs w:val="22"/>
          <w:lang w:val="en-GB"/>
        </w:rPr>
        <w:t>Guyana</w:t>
      </w:r>
    </w:p>
    <w:p w:rsidR="006D334B" w:rsidRDefault="006575AE" w:rsidP="00AA503D">
      <w:pPr>
        <w:pStyle w:val="StyleBulletedSymbolsymbolCustomColorRGB04369Left"/>
        <w:tabs>
          <w:tab w:val="clear" w:pos="284"/>
          <w:tab w:val="left" w:pos="0"/>
        </w:tabs>
        <w:spacing w:after="0" w:line="276" w:lineRule="auto"/>
        <w:ind w:left="0" w:firstLine="0"/>
        <w:rPr>
          <w:rStyle w:val="StyleFranklinGothicDemi10ptCustomColorRGB1533154"/>
          <w:rFonts w:asciiTheme="minorHAnsi" w:hAnsiTheme="minorHAnsi" w:cstheme="minorHAnsi"/>
          <w:b/>
          <w:szCs w:val="19"/>
          <w:lang w:val="en-US"/>
        </w:rPr>
      </w:pPr>
      <w:r w:rsidRPr="006D334B">
        <w:rPr>
          <w:rFonts w:asciiTheme="minorHAnsi" w:hAnsiTheme="minorHAnsi" w:cstheme="minorHAnsi"/>
          <w:color w:val="595959" w:themeColor="text1" w:themeTint="A6"/>
          <w:szCs w:val="19"/>
        </w:rPr>
        <w:t>In the second quarter of 2013, Tullow reached an agreement with Repsol to secure a 30% interest in the newly defined Kanuku Block offshore Guyana</w:t>
      </w:r>
      <w:r w:rsidRPr="006D334B">
        <w:rPr>
          <w:rFonts w:asciiTheme="minorHAnsi" w:hAnsiTheme="minorHAnsi" w:cstheme="minorHAnsi"/>
          <w:color w:val="5F5F5F"/>
          <w:szCs w:val="19"/>
        </w:rPr>
        <w:t xml:space="preserve">. The transaction was completed in December 2013 following Government approval. Repsol is the Operator with 70% equity </w:t>
      </w:r>
      <w:r w:rsidR="00DF1D07">
        <w:rPr>
          <w:rFonts w:asciiTheme="minorHAnsi" w:hAnsiTheme="minorHAnsi" w:cstheme="minorHAnsi"/>
          <w:color w:val="5F5F5F"/>
          <w:szCs w:val="19"/>
        </w:rPr>
        <w:t>and Tullow 30% equity.  2D (</w:t>
      </w:r>
      <w:r w:rsidR="00DF1D07" w:rsidRPr="00AA503D">
        <w:rPr>
          <w:rFonts w:asciiTheme="minorHAnsi" w:hAnsiTheme="minorHAnsi" w:cstheme="minorHAnsi"/>
          <w:color w:val="5F5F5F"/>
          <w:szCs w:val="19"/>
        </w:rPr>
        <w:t>857 k</w:t>
      </w:r>
      <w:r w:rsidRPr="00AA503D">
        <w:rPr>
          <w:rFonts w:asciiTheme="minorHAnsi" w:hAnsiTheme="minorHAnsi" w:cstheme="minorHAnsi"/>
          <w:color w:val="5F5F5F"/>
          <w:szCs w:val="19"/>
        </w:rPr>
        <w:t>m</w:t>
      </w:r>
      <w:r w:rsidR="00DF1D07" w:rsidRPr="00AA503D">
        <w:rPr>
          <w:rFonts w:asciiTheme="minorHAnsi" w:hAnsiTheme="minorHAnsi" w:cstheme="minorHAnsi"/>
          <w:color w:val="5F5F5F"/>
          <w:szCs w:val="19"/>
        </w:rPr>
        <w:t>s</w:t>
      </w:r>
      <w:r w:rsidRPr="006D334B">
        <w:rPr>
          <w:rFonts w:asciiTheme="minorHAnsi" w:hAnsiTheme="minorHAnsi" w:cstheme="minorHAnsi"/>
          <w:color w:val="5F5F5F"/>
          <w:szCs w:val="19"/>
        </w:rPr>
        <w:t xml:space="preserve">) and 3D (3,175sq kms) seismic </w:t>
      </w:r>
      <w:r w:rsidR="0023377C">
        <w:rPr>
          <w:rFonts w:asciiTheme="minorHAnsi" w:hAnsiTheme="minorHAnsi" w:cstheme="minorHAnsi"/>
          <w:color w:val="5F5F5F"/>
          <w:szCs w:val="19"/>
        </w:rPr>
        <w:t>was acquired</w:t>
      </w:r>
      <w:r w:rsidRPr="006D334B">
        <w:rPr>
          <w:rFonts w:asciiTheme="minorHAnsi" w:hAnsiTheme="minorHAnsi" w:cstheme="minorHAnsi"/>
          <w:color w:val="5F5F5F"/>
          <w:szCs w:val="19"/>
        </w:rPr>
        <w:t xml:space="preserve"> in December 2013.</w:t>
      </w:r>
    </w:p>
    <w:p w:rsidR="006575AE" w:rsidRPr="00D157AF" w:rsidRDefault="006575AE" w:rsidP="006B4FE1">
      <w:pPr>
        <w:pStyle w:val="Default"/>
        <w:spacing w:before="240" w:after="40"/>
        <w:jc w:val="both"/>
        <w:rPr>
          <w:rFonts w:asciiTheme="minorHAnsi" w:hAnsiTheme="minorHAnsi" w:cstheme="minorHAnsi"/>
          <w:b/>
          <w:color w:val="00305C"/>
          <w:sz w:val="22"/>
          <w:szCs w:val="22"/>
          <w:lang w:val="en-GB"/>
        </w:rPr>
      </w:pPr>
      <w:r w:rsidRPr="00D157AF">
        <w:rPr>
          <w:rFonts w:asciiTheme="minorHAnsi" w:hAnsiTheme="minorHAnsi" w:cstheme="minorHAnsi"/>
          <w:b/>
          <w:color w:val="00305C"/>
          <w:sz w:val="22"/>
          <w:szCs w:val="22"/>
          <w:lang w:val="en-GB"/>
        </w:rPr>
        <w:t>Uruguay</w:t>
      </w:r>
    </w:p>
    <w:p w:rsidR="006575AE" w:rsidRPr="006D334B" w:rsidRDefault="006575AE" w:rsidP="006575AE">
      <w:pPr>
        <w:rPr>
          <w:rStyle w:val="StyleFranklinGothicDemi10ptCustomColorRGB1533154"/>
          <w:rFonts w:asciiTheme="minorHAnsi" w:hAnsiTheme="minorHAnsi" w:cstheme="minorHAnsi"/>
          <w:color w:val="5F5F5F"/>
          <w:szCs w:val="19"/>
        </w:rPr>
      </w:pPr>
      <w:r w:rsidRPr="006D334B">
        <w:rPr>
          <w:rFonts w:asciiTheme="minorHAnsi" w:hAnsiTheme="minorHAnsi" w:cstheme="minorHAnsi"/>
          <w:color w:val="5F5F5F"/>
          <w:szCs w:val="19"/>
        </w:rPr>
        <w:t>Tullow signed an agreement in April 2013 to farm out 30% working interest to INPEX Uruguay Ltd on Block 15</w:t>
      </w:r>
      <w:r w:rsidR="007034B9">
        <w:rPr>
          <w:rFonts w:asciiTheme="minorHAnsi" w:hAnsiTheme="minorHAnsi" w:cstheme="minorHAnsi"/>
          <w:color w:val="5F5F5F"/>
          <w:szCs w:val="19"/>
        </w:rPr>
        <w:t>. This</w:t>
      </w:r>
      <w:r w:rsidR="007034B9">
        <w:rPr>
          <w:rFonts w:asciiTheme="minorHAnsi" w:hAnsiTheme="minorHAnsi" w:cstheme="minorHAnsi"/>
          <w:bCs/>
          <w:color w:val="5F5F5F"/>
          <w:szCs w:val="19"/>
        </w:rPr>
        <w:t xml:space="preserve"> </w:t>
      </w:r>
      <w:r w:rsidRPr="006D334B">
        <w:rPr>
          <w:rFonts w:asciiTheme="minorHAnsi" w:hAnsiTheme="minorHAnsi" w:cstheme="minorHAnsi"/>
          <w:bCs/>
          <w:color w:val="5F5F5F"/>
          <w:szCs w:val="19"/>
        </w:rPr>
        <w:t xml:space="preserve">transaction was completed in December 2013.  </w:t>
      </w:r>
      <w:r w:rsidRPr="006D334B">
        <w:rPr>
          <w:rFonts w:asciiTheme="minorHAnsi" w:hAnsiTheme="minorHAnsi" w:cstheme="minorHAnsi"/>
          <w:color w:val="5F5F5F"/>
          <w:szCs w:val="19"/>
        </w:rPr>
        <w:t>A 2,000 sq km 3D seismic programme was completed in September 2013</w:t>
      </w:r>
      <w:r w:rsidR="00CE3E57">
        <w:rPr>
          <w:rFonts w:asciiTheme="minorHAnsi" w:hAnsiTheme="minorHAnsi" w:cstheme="minorHAnsi"/>
          <w:color w:val="5F5F5F"/>
          <w:szCs w:val="19"/>
        </w:rPr>
        <w:t>, with interpretation of the data underway,</w:t>
      </w:r>
      <w:r w:rsidRPr="006D334B">
        <w:rPr>
          <w:rFonts w:asciiTheme="minorHAnsi" w:hAnsiTheme="minorHAnsi" w:cstheme="minorHAnsi"/>
          <w:color w:val="5F5F5F"/>
          <w:szCs w:val="19"/>
        </w:rPr>
        <w:t xml:space="preserve"> fulfilling the</w:t>
      </w:r>
      <w:r w:rsidR="007034B9">
        <w:rPr>
          <w:rFonts w:asciiTheme="minorHAnsi" w:hAnsiTheme="minorHAnsi" w:cstheme="minorHAnsi"/>
          <w:color w:val="5F5F5F"/>
          <w:szCs w:val="19"/>
        </w:rPr>
        <w:t xml:space="preserve"> licence’s</w:t>
      </w:r>
      <w:r w:rsidRPr="006D334B">
        <w:rPr>
          <w:rFonts w:asciiTheme="minorHAnsi" w:hAnsiTheme="minorHAnsi" w:cstheme="minorHAnsi"/>
          <w:color w:val="5F5F5F"/>
          <w:szCs w:val="19"/>
        </w:rPr>
        <w:t xml:space="preserve"> Phase 1 commitments</w:t>
      </w:r>
      <w:r w:rsidR="00CE3E57">
        <w:rPr>
          <w:rFonts w:asciiTheme="minorHAnsi" w:hAnsiTheme="minorHAnsi" w:cstheme="minorHAnsi"/>
          <w:color w:val="5F5F5F"/>
          <w:szCs w:val="19"/>
        </w:rPr>
        <w:t>.</w:t>
      </w:r>
    </w:p>
    <w:p w:rsidR="006575AE" w:rsidRPr="00D157AF" w:rsidRDefault="006575AE" w:rsidP="006B4FE1">
      <w:pPr>
        <w:pStyle w:val="Default"/>
        <w:spacing w:before="240" w:after="40"/>
        <w:jc w:val="both"/>
        <w:rPr>
          <w:rFonts w:asciiTheme="minorHAnsi" w:hAnsiTheme="minorHAnsi" w:cstheme="minorHAnsi"/>
          <w:b/>
          <w:color w:val="00305C"/>
          <w:sz w:val="22"/>
          <w:szCs w:val="22"/>
          <w:lang w:val="en-GB"/>
        </w:rPr>
      </w:pPr>
      <w:r w:rsidRPr="00D157AF">
        <w:rPr>
          <w:rFonts w:asciiTheme="minorHAnsi" w:hAnsiTheme="minorHAnsi" w:cstheme="minorHAnsi"/>
          <w:b/>
          <w:color w:val="00305C"/>
          <w:sz w:val="22"/>
          <w:szCs w:val="22"/>
          <w:lang w:val="en-GB"/>
        </w:rPr>
        <w:t>Bangladesh &amp; Pakistan</w:t>
      </w:r>
    </w:p>
    <w:p w:rsidR="00072E24" w:rsidRDefault="006575AE">
      <w:pPr>
        <w:rPr>
          <w:rFonts w:asciiTheme="minorHAnsi" w:hAnsiTheme="minorHAnsi" w:cstheme="minorHAnsi"/>
          <w:b/>
          <w:color w:val="002B45"/>
          <w:sz w:val="32"/>
          <w:szCs w:val="20"/>
        </w:rPr>
      </w:pPr>
      <w:r w:rsidRPr="006D334B">
        <w:rPr>
          <w:rFonts w:asciiTheme="minorHAnsi" w:eastAsiaTheme="minorHAnsi" w:hAnsiTheme="minorHAnsi" w:cstheme="minorHAnsi"/>
          <w:color w:val="5F5F5F"/>
          <w:szCs w:val="19"/>
        </w:rPr>
        <w:t>As part of planned divestments, Tullow completed the sale of its Bangladesh assets to KrisEnergy Asia Holdings Ltd in December 2013</w:t>
      </w:r>
      <w:r w:rsidR="007034B9">
        <w:rPr>
          <w:rFonts w:asciiTheme="minorHAnsi" w:eastAsiaTheme="minorHAnsi" w:hAnsiTheme="minorHAnsi" w:cstheme="minorHAnsi"/>
          <w:color w:val="5F5F5F"/>
          <w:szCs w:val="19"/>
        </w:rPr>
        <w:t xml:space="preserve">. Tullow is </w:t>
      </w:r>
      <w:r w:rsidRPr="006D334B">
        <w:rPr>
          <w:rFonts w:asciiTheme="minorHAnsi" w:eastAsiaTheme="minorHAnsi" w:hAnsiTheme="minorHAnsi" w:cstheme="minorHAnsi"/>
          <w:color w:val="5F5F5F"/>
          <w:szCs w:val="19"/>
        </w:rPr>
        <w:t xml:space="preserve">awaiting Government consent to complete the sale of its Pakistan assets to Ocean Pakistan Ltd. </w:t>
      </w:r>
      <w:r w:rsidR="00E76A31" w:rsidRPr="006D334B">
        <w:rPr>
          <w:rFonts w:asciiTheme="minorHAnsi" w:hAnsiTheme="minorHAnsi" w:cstheme="minorHAnsi"/>
          <w:color w:val="595959" w:themeColor="text1" w:themeTint="A6"/>
          <w:szCs w:val="19"/>
        </w:rPr>
        <w:t xml:space="preserve"> </w:t>
      </w:r>
    </w:p>
    <w:p w:rsidR="000C791C" w:rsidRDefault="000C791C">
      <w:pPr>
        <w:spacing w:line="240" w:lineRule="auto"/>
        <w:jc w:val="left"/>
        <w:rPr>
          <w:rFonts w:ascii="Calibri" w:hAnsi="Calibri" w:cs="Calibri"/>
          <w:b/>
          <w:color w:val="002B45"/>
          <w:sz w:val="32"/>
          <w:szCs w:val="20"/>
        </w:rPr>
      </w:pPr>
      <w:r>
        <w:rPr>
          <w:rFonts w:ascii="Calibri" w:hAnsi="Calibri" w:cs="Calibri"/>
          <w:b/>
        </w:rPr>
        <w:br w:type="page"/>
      </w:r>
    </w:p>
    <w:p w:rsidR="00CA4F46" w:rsidRPr="00AA503D" w:rsidRDefault="009E6294" w:rsidP="00AA503D">
      <w:pPr>
        <w:pStyle w:val="StyleSection-heading16ptCustomColorRGB1533154"/>
        <w:spacing w:after="240"/>
        <w:rPr>
          <w:rFonts w:ascii="Calibri" w:hAnsi="Calibri" w:cs="Calibri"/>
          <w:b/>
          <w:color w:val="00305C"/>
        </w:rPr>
      </w:pPr>
      <w:r w:rsidRPr="00AA503D">
        <w:rPr>
          <w:rFonts w:ascii="Calibri" w:hAnsi="Calibri" w:cs="Calibri"/>
          <w:b/>
          <w:color w:val="00305C"/>
        </w:rPr>
        <w:t>Finance review</w:t>
      </w:r>
    </w:p>
    <w:p w:rsidR="00084C0A" w:rsidRPr="00AA503D" w:rsidRDefault="009E6294" w:rsidP="00AA503D">
      <w:pPr>
        <w:pStyle w:val="StyleHeadingCustomColorRGB1533154"/>
        <w:spacing w:after="120"/>
        <w:outlineLvl w:val="0"/>
        <w:rPr>
          <w:rFonts w:ascii="Calibri" w:hAnsi="Calibri" w:cs="Calibri"/>
          <w:b/>
          <w:color w:val="991F36"/>
          <w:sz w:val="24"/>
          <w:szCs w:val="24"/>
        </w:rPr>
      </w:pPr>
      <w:r w:rsidRPr="00AA503D">
        <w:rPr>
          <w:rFonts w:ascii="Calibri" w:hAnsi="Calibri" w:cs="Calibri"/>
          <w:b/>
          <w:color w:val="991F36"/>
          <w:sz w:val="24"/>
          <w:szCs w:val="24"/>
        </w:rPr>
        <w:t xml:space="preserve">2013 </w:t>
      </w:r>
      <w:r w:rsidR="00AA503D" w:rsidRPr="00AA503D">
        <w:rPr>
          <w:rFonts w:ascii="Calibri" w:hAnsi="Calibri" w:cs="Calibri"/>
          <w:b/>
          <w:color w:val="991F36"/>
          <w:sz w:val="24"/>
          <w:szCs w:val="24"/>
        </w:rPr>
        <w:t>RESULTS OVERVIEW</w:t>
      </w:r>
    </w:p>
    <w:p w:rsidR="00E330D2" w:rsidRPr="00AA503D" w:rsidRDefault="00E330D2" w:rsidP="00AA503D">
      <w:pPr>
        <w:spacing w:after="60"/>
        <w:jc w:val="left"/>
        <w:rPr>
          <w:rFonts w:ascii="Calibri" w:hAnsi="Calibri"/>
          <w:b/>
          <w:color w:val="00305C"/>
          <w:sz w:val="22"/>
          <w:szCs w:val="22"/>
        </w:rPr>
      </w:pPr>
      <w:r w:rsidRPr="00AA503D">
        <w:rPr>
          <w:rFonts w:ascii="Calibri" w:hAnsi="Calibri"/>
          <w:b/>
          <w:color w:val="00305C"/>
          <w:sz w:val="22"/>
          <w:szCs w:val="22"/>
        </w:rPr>
        <w:t>Production and commodity prices</w:t>
      </w:r>
    </w:p>
    <w:p w:rsidR="00E330D2" w:rsidRPr="00AA503D" w:rsidRDefault="00E330D2" w:rsidP="00AA503D">
      <w:pPr>
        <w:spacing w:after="120"/>
        <w:rPr>
          <w:rFonts w:asciiTheme="minorHAnsi" w:hAnsiTheme="minorHAnsi" w:cstheme="minorHAnsi"/>
          <w:color w:val="5F5F5F"/>
          <w:szCs w:val="19"/>
        </w:rPr>
      </w:pPr>
      <w:r w:rsidRPr="00AA503D">
        <w:rPr>
          <w:rFonts w:asciiTheme="minorHAnsi" w:hAnsiTheme="minorHAnsi" w:cstheme="minorHAnsi"/>
          <w:color w:val="5F5F5F"/>
          <w:szCs w:val="19"/>
        </w:rPr>
        <w:t>Working interest production averaged 84,200 boepd, an increase of 6% for the year (2012: 79,200 boepd). Th</w:t>
      </w:r>
      <w:r w:rsidR="00850759">
        <w:rPr>
          <w:rFonts w:asciiTheme="minorHAnsi" w:hAnsiTheme="minorHAnsi" w:cstheme="minorHAnsi"/>
          <w:color w:val="5F5F5F"/>
          <w:szCs w:val="19"/>
        </w:rPr>
        <w:t>is</w:t>
      </w:r>
      <w:r w:rsidRPr="00AA503D">
        <w:rPr>
          <w:rFonts w:asciiTheme="minorHAnsi" w:hAnsiTheme="minorHAnsi" w:cstheme="minorHAnsi"/>
          <w:color w:val="5F5F5F"/>
          <w:szCs w:val="19"/>
        </w:rPr>
        <w:t xml:space="preserve"> is primarily due to </w:t>
      </w:r>
      <w:r w:rsidR="00850759">
        <w:rPr>
          <w:rFonts w:asciiTheme="minorHAnsi" w:hAnsiTheme="minorHAnsi" w:cstheme="minorHAnsi"/>
          <w:color w:val="5F5F5F"/>
          <w:szCs w:val="19"/>
        </w:rPr>
        <w:t xml:space="preserve">increased </w:t>
      </w:r>
      <w:r w:rsidRPr="00AA503D">
        <w:rPr>
          <w:rFonts w:asciiTheme="minorHAnsi" w:hAnsiTheme="minorHAnsi" w:cstheme="minorHAnsi"/>
          <w:color w:val="5F5F5F"/>
          <w:szCs w:val="19"/>
        </w:rPr>
        <w:t xml:space="preserve">production from the Jubilee field offset by decline in mature fields in Europe and Asia. Sales volumes averaged 74,400 boepd, up 9% compared to 2012. </w:t>
      </w:r>
    </w:p>
    <w:p w:rsidR="00E330D2" w:rsidRPr="00AA503D" w:rsidRDefault="00E330D2" w:rsidP="00AA503D">
      <w:pPr>
        <w:spacing w:after="120"/>
        <w:rPr>
          <w:rFonts w:asciiTheme="minorHAnsi" w:hAnsiTheme="minorHAnsi" w:cstheme="minorHAnsi"/>
          <w:color w:val="5F5F5F"/>
          <w:szCs w:val="19"/>
        </w:rPr>
      </w:pPr>
      <w:r w:rsidRPr="00AA503D">
        <w:rPr>
          <w:rFonts w:asciiTheme="minorHAnsi" w:hAnsiTheme="minorHAnsi" w:cstheme="minorHAnsi"/>
          <w:color w:val="5F5F5F"/>
          <w:szCs w:val="19"/>
        </w:rPr>
        <w:t>On average, oil prices in 2013 were slightly lower than in 2012. Realised oil price after hedging for 2013 was US$105.7/ bbl (2012: US$108.0/bbl), a decrease of 2%. European gas prices in 2013 were higher than 2012. The realised European gas price after hedging for 2013 was 65.6 pence/therm (2012: 58.5 pence/therm), an increase of 12%.</w:t>
      </w:r>
    </w:p>
    <w:p w:rsidR="00E330D2" w:rsidRPr="00AA503D" w:rsidRDefault="00E330D2" w:rsidP="004D5CD9">
      <w:pPr>
        <w:spacing w:before="240" w:after="60"/>
        <w:jc w:val="left"/>
        <w:rPr>
          <w:rFonts w:ascii="Calibri" w:hAnsi="Calibri"/>
          <w:b/>
          <w:color w:val="00305C"/>
          <w:sz w:val="22"/>
          <w:szCs w:val="22"/>
        </w:rPr>
      </w:pPr>
      <w:r w:rsidRPr="00AA503D">
        <w:rPr>
          <w:rFonts w:ascii="Calibri" w:hAnsi="Calibri"/>
          <w:b/>
          <w:color w:val="00305C"/>
          <w:sz w:val="22"/>
          <w:szCs w:val="22"/>
        </w:rPr>
        <w:t>Operating costs, depreciation, impairments and expenses</w:t>
      </w:r>
    </w:p>
    <w:p w:rsidR="00E330D2" w:rsidRPr="00E330D2" w:rsidRDefault="00E330D2" w:rsidP="00E330D2">
      <w:pPr>
        <w:autoSpaceDE w:val="0"/>
        <w:autoSpaceDN w:val="0"/>
        <w:adjustRightInd w:val="0"/>
        <w:rPr>
          <w:rFonts w:ascii="Calibri" w:eastAsia="Calibri" w:hAnsi="Calibri"/>
          <w:color w:val="5F5F5F"/>
          <w:szCs w:val="19"/>
        </w:rPr>
      </w:pPr>
      <w:r w:rsidRPr="00E330D2">
        <w:rPr>
          <w:rFonts w:ascii="Calibri" w:eastAsia="Calibri" w:hAnsi="Calibri"/>
          <w:color w:val="5F5F5F"/>
          <w:szCs w:val="19"/>
        </w:rPr>
        <w:t xml:space="preserve">Underlying cash operating costs, which excludes depletion </w:t>
      </w:r>
      <w:r w:rsidR="00255645">
        <w:rPr>
          <w:rFonts w:ascii="Calibri" w:eastAsia="Calibri" w:hAnsi="Calibri"/>
          <w:color w:val="5F5F5F"/>
          <w:szCs w:val="19"/>
        </w:rPr>
        <w:t>and amortisation and movements i</w:t>
      </w:r>
      <w:r w:rsidRPr="00E330D2">
        <w:rPr>
          <w:rFonts w:ascii="Calibri" w:eastAsia="Calibri" w:hAnsi="Calibri"/>
          <w:color w:val="5F5F5F"/>
          <w:szCs w:val="19"/>
        </w:rPr>
        <w:t>n underlift/overlift, amounted to $524 million; $16.5/boe (2012: $437 million; $14.6/boe). The increase of 13% in underlying cash operating</w:t>
      </w:r>
      <w:r w:rsidRPr="00E330D2">
        <w:t xml:space="preserve"> </w:t>
      </w:r>
      <w:r w:rsidRPr="00E330D2">
        <w:rPr>
          <w:rFonts w:ascii="Calibri" w:eastAsia="Calibri" w:hAnsi="Calibri"/>
          <w:color w:val="5F5F5F"/>
          <w:szCs w:val="19"/>
        </w:rPr>
        <w:t xml:space="preserve">costs per barrel is principally due to the impact of </w:t>
      </w:r>
      <w:r w:rsidR="00DF1D07">
        <w:rPr>
          <w:rFonts w:ascii="Calibri" w:eastAsia="Calibri" w:hAnsi="Calibri"/>
          <w:color w:val="5F5F5F"/>
          <w:szCs w:val="19"/>
        </w:rPr>
        <w:t xml:space="preserve">lower production on fixed costs </w:t>
      </w:r>
      <w:r w:rsidR="00A8510D">
        <w:rPr>
          <w:rFonts w:ascii="Calibri" w:eastAsia="Calibri" w:hAnsi="Calibri"/>
          <w:color w:val="5F5F5F"/>
          <w:szCs w:val="19"/>
        </w:rPr>
        <w:t xml:space="preserve">on </w:t>
      </w:r>
      <w:r w:rsidR="00DF1D07">
        <w:rPr>
          <w:rFonts w:ascii="Calibri" w:eastAsia="Calibri" w:hAnsi="Calibri"/>
          <w:color w:val="5F5F5F"/>
          <w:szCs w:val="19"/>
        </w:rPr>
        <w:t xml:space="preserve">mature assets </w:t>
      </w:r>
      <w:r w:rsidRPr="00E330D2">
        <w:rPr>
          <w:rFonts w:ascii="Calibri" w:eastAsia="Calibri" w:hAnsi="Calibri"/>
          <w:color w:val="5F5F5F"/>
          <w:szCs w:val="19"/>
        </w:rPr>
        <w:t>and Jubilee well workover activity during 2013.</w:t>
      </w:r>
    </w:p>
    <w:p w:rsidR="00E330D2" w:rsidRDefault="00E330D2" w:rsidP="004D5CD9">
      <w:pPr>
        <w:autoSpaceDE w:val="0"/>
        <w:autoSpaceDN w:val="0"/>
        <w:adjustRightInd w:val="0"/>
        <w:spacing w:before="120"/>
        <w:rPr>
          <w:rFonts w:ascii="Calibri" w:eastAsia="Calibri" w:hAnsi="Calibri"/>
          <w:color w:val="5F5F5F"/>
          <w:szCs w:val="19"/>
        </w:rPr>
      </w:pPr>
      <w:r w:rsidRPr="00E330D2">
        <w:rPr>
          <w:rFonts w:ascii="Calibri" w:eastAsia="Calibri" w:hAnsi="Calibri"/>
          <w:color w:val="5F5F5F"/>
          <w:szCs w:val="19"/>
        </w:rPr>
        <w:t xml:space="preserve">DD&amp;A charges before impairment </w:t>
      </w:r>
      <w:r w:rsidR="00255645">
        <w:rPr>
          <w:rFonts w:ascii="Calibri" w:eastAsia="Calibri" w:hAnsi="Calibri"/>
          <w:color w:val="5F5F5F"/>
          <w:szCs w:val="19"/>
        </w:rPr>
        <w:t xml:space="preserve">on production and development assets </w:t>
      </w:r>
      <w:r w:rsidRPr="00E330D2">
        <w:rPr>
          <w:rFonts w:ascii="Calibri" w:eastAsia="Calibri" w:hAnsi="Calibri"/>
          <w:color w:val="5F5F5F"/>
          <w:szCs w:val="19"/>
        </w:rPr>
        <w:t>amounted to $565 million;</w:t>
      </w:r>
      <w:r>
        <w:rPr>
          <w:rFonts w:ascii="Calibri" w:eastAsia="Calibri" w:hAnsi="Calibri"/>
          <w:color w:val="5F5F5F"/>
          <w:szCs w:val="19"/>
        </w:rPr>
        <w:t xml:space="preserve"> </w:t>
      </w:r>
      <w:r w:rsidRPr="00E330D2">
        <w:rPr>
          <w:rFonts w:ascii="Calibri" w:eastAsia="Calibri" w:hAnsi="Calibri"/>
          <w:color w:val="5F5F5F"/>
          <w:szCs w:val="19"/>
        </w:rPr>
        <w:t>$17.8/boe</w:t>
      </w:r>
      <w:r w:rsidR="00A8510D">
        <w:rPr>
          <w:rFonts w:ascii="Calibri" w:eastAsia="Calibri" w:hAnsi="Calibri"/>
          <w:color w:val="5F5F5F"/>
          <w:szCs w:val="19"/>
        </w:rPr>
        <w:t xml:space="preserve">        </w:t>
      </w:r>
      <w:r w:rsidRPr="00E330D2">
        <w:rPr>
          <w:rFonts w:ascii="Calibri" w:eastAsia="Calibri" w:hAnsi="Calibri"/>
          <w:color w:val="5F5F5F"/>
          <w:szCs w:val="19"/>
        </w:rPr>
        <w:t xml:space="preserve"> (2012:</w:t>
      </w:r>
      <w:r>
        <w:rPr>
          <w:rFonts w:ascii="Calibri" w:eastAsia="Calibri" w:hAnsi="Calibri"/>
          <w:color w:val="5F5F5F"/>
          <w:szCs w:val="19"/>
        </w:rPr>
        <w:t xml:space="preserve"> $537 million; $17.9/boe). The </w:t>
      </w:r>
      <w:r w:rsidRPr="00E330D2">
        <w:rPr>
          <w:rFonts w:ascii="Calibri" w:eastAsia="Calibri" w:hAnsi="Calibri"/>
          <w:color w:val="5F5F5F"/>
          <w:szCs w:val="19"/>
        </w:rPr>
        <w:t>Group recognised an impairme</w:t>
      </w:r>
      <w:r>
        <w:rPr>
          <w:rFonts w:ascii="Calibri" w:eastAsia="Calibri" w:hAnsi="Calibri"/>
          <w:color w:val="5F5F5F"/>
          <w:szCs w:val="19"/>
        </w:rPr>
        <w:t xml:space="preserve">nt charge of $53 million; $1.7/ </w:t>
      </w:r>
      <w:r w:rsidRPr="00E330D2">
        <w:rPr>
          <w:rFonts w:ascii="Calibri" w:eastAsia="Calibri" w:hAnsi="Calibri"/>
          <w:color w:val="5F5F5F"/>
          <w:szCs w:val="19"/>
        </w:rPr>
        <w:t>boe (2012: $31 million; $1.0/bo</w:t>
      </w:r>
      <w:r>
        <w:rPr>
          <w:rFonts w:ascii="Calibri" w:eastAsia="Calibri" w:hAnsi="Calibri"/>
          <w:color w:val="5F5F5F"/>
          <w:szCs w:val="19"/>
        </w:rPr>
        <w:t xml:space="preserve">e) in respect of an increase in </w:t>
      </w:r>
      <w:r w:rsidRPr="00E330D2">
        <w:rPr>
          <w:rFonts w:ascii="Calibri" w:eastAsia="Calibri" w:hAnsi="Calibri"/>
          <w:color w:val="5F5F5F"/>
          <w:szCs w:val="19"/>
        </w:rPr>
        <w:t>anticipated future deco</w:t>
      </w:r>
      <w:r>
        <w:rPr>
          <w:rFonts w:ascii="Calibri" w:eastAsia="Calibri" w:hAnsi="Calibri"/>
          <w:color w:val="5F5F5F"/>
          <w:szCs w:val="19"/>
        </w:rPr>
        <w:t xml:space="preserve">mmissioning costs on the Thames </w:t>
      </w:r>
      <w:r w:rsidRPr="00E330D2">
        <w:rPr>
          <w:rFonts w:ascii="Calibri" w:eastAsia="Calibri" w:hAnsi="Calibri"/>
          <w:color w:val="5F5F5F"/>
          <w:szCs w:val="19"/>
        </w:rPr>
        <w:t>field ($44 million), the difference between the</w:t>
      </w:r>
      <w:r>
        <w:rPr>
          <w:rFonts w:ascii="Calibri" w:eastAsia="Calibri" w:hAnsi="Calibri"/>
          <w:color w:val="5F5F5F"/>
          <w:szCs w:val="19"/>
        </w:rPr>
        <w:t xml:space="preserve"> disposal </w:t>
      </w:r>
      <w:r w:rsidRPr="00E330D2">
        <w:rPr>
          <w:rFonts w:ascii="Calibri" w:eastAsia="Calibri" w:hAnsi="Calibri"/>
          <w:color w:val="5F5F5F"/>
          <w:szCs w:val="19"/>
        </w:rPr>
        <w:t>proceeds and net book val</w:t>
      </w:r>
      <w:r>
        <w:rPr>
          <w:rFonts w:ascii="Calibri" w:eastAsia="Calibri" w:hAnsi="Calibri"/>
          <w:color w:val="5F5F5F"/>
          <w:szCs w:val="19"/>
        </w:rPr>
        <w:t xml:space="preserve">ue of Tullow Bangladesh Limited </w:t>
      </w:r>
      <w:r w:rsidRPr="00E330D2">
        <w:rPr>
          <w:rFonts w:ascii="Calibri" w:eastAsia="Calibri" w:hAnsi="Calibri"/>
          <w:color w:val="5F5F5F"/>
          <w:szCs w:val="19"/>
        </w:rPr>
        <w:t>($5 million) and on the Brage</w:t>
      </w:r>
      <w:r>
        <w:rPr>
          <w:rFonts w:ascii="Calibri" w:eastAsia="Calibri" w:hAnsi="Calibri"/>
          <w:color w:val="5F5F5F"/>
          <w:szCs w:val="19"/>
        </w:rPr>
        <w:t xml:space="preserve"> field</w:t>
      </w:r>
      <w:r w:rsidR="00DF1D07">
        <w:rPr>
          <w:rFonts w:ascii="Calibri" w:eastAsia="Calibri" w:hAnsi="Calibri"/>
          <w:color w:val="5F5F5F"/>
          <w:szCs w:val="19"/>
        </w:rPr>
        <w:t xml:space="preserve"> in</w:t>
      </w:r>
      <w:r>
        <w:rPr>
          <w:rFonts w:ascii="Calibri" w:eastAsia="Calibri" w:hAnsi="Calibri"/>
          <w:color w:val="5F5F5F"/>
          <w:szCs w:val="19"/>
        </w:rPr>
        <w:t xml:space="preserve"> Norway ($4 million). The </w:t>
      </w:r>
      <w:r w:rsidRPr="00E330D2">
        <w:rPr>
          <w:rFonts w:ascii="Calibri" w:eastAsia="Calibri" w:hAnsi="Calibri"/>
          <w:color w:val="5F5F5F"/>
          <w:szCs w:val="19"/>
        </w:rPr>
        <w:t xml:space="preserve">impairment charge net </w:t>
      </w:r>
      <w:r>
        <w:rPr>
          <w:rFonts w:ascii="Calibri" w:eastAsia="Calibri" w:hAnsi="Calibri"/>
          <w:color w:val="5F5F5F"/>
          <w:szCs w:val="19"/>
        </w:rPr>
        <w:t xml:space="preserve">of tax amounted to $32 million. </w:t>
      </w:r>
    </w:p>
    <w:p w:rsidR="00084C0A" w:rsidRPr="00E330D2" w:rsidRDefault="00E330D2" w:rsidP="004D5CD9">
      <w:pPr>
        <w:autoSpaceDE w:val="0"/>
        <w:autoSpaceDN w:val="0"/>
        <w:adjustRightInd w:val="0"/>
        <w:spacing w:before="120"/>
        <w:rPr>
          <w:rFonts w:ascii="Calibri" w:eastAsia="Calibri" w:hAnsi="Calibri"/>
          <w:color w:val="5F5F5F"/>
          <w:szCs w:val="19"/>
        </w:rPr>
      </w:pPr>
      <w:r w:rsidRPr="00E330D2">
        <w:rPr>
          <w:rFonts w:ascii="Calibri" w:eastAsia="Calibri" w:hAnsi="Calibri"/>
          <w:color w:val="5F5F5F"/>
          <w:szCs w:val="19"/>
        </w:rPr>
        <w:t>Administrative expenses of $2</w:t>
      </w:r>
      <w:r>
        <w:rPr>
          <w:rFonts w:ascii="Calibri" w:eastAsia="Calibri" w:hAnsi="Calibri"/>
          <w:color w:val="5F5F5F"/>
          <w:szCs w:val="19"/>
        </w:rPr>
        <w:t xml:space="preserve">19 million (2012: $191 million) </w:t>
      </w:r>
      <w:r w:rsidRPr="00E330D2">
        <w:rPr>
          <w:rFonts w:ascii="Calibri" w:eastAsia="Calibri" w:hAnsi="Calibri"/>
          <w:color w:val="5F5F5F"/>
          <w:szCs w:val="19"/>
        </w:rPr>
        <w:t xml:space="preserve">include an amount of </w:t>
      </w:r>
      <w:r w:rsidR="00DF1D07">
        <w:rPr>
          <w:rFonts w:ascii="Calibri" w:eastAsia="Calibri" w:hAnsi="Calibri"/>
          <w:color w:val="5F5F5F"/>
          <w:szCs w:val="19"/>
        </w:rPr>
        <w:t>$40</w:t>
      </w:r>
      <w:r>
        <w:rPr>
          <w:rFonts w:ascii="Calibri" w:eastAsia="Calibri" w:hAnsi="Calibri"/>
          <w:color w:val="5F5F5F"/>
          <w:szCs w:val="19"/>
        </w:rPr>
        <w:t xml:space="preserve"> million (2012: $31 million) </w:t>
      </w:r>
      <w:r w:rsidRPr="00E330D2">
        <w:rPr>
          <w:rFonts w:ascii="Calibri" w:eastAsia="Calibri" w:hAnsi="Calibri"/>
          <w:color w:val="5F5F5F"/>
          <w:szCs w:val="19"/>
        </w:rPr>
        <w:t>associated with IFR</w:t>
      </w:r>
      <w:r>
        <w:rPr>
          <w:rFonts w:ascii="Calibri" w:eastAsia="Calibri" w:hAnsi="Calibri"/>
          <w:color w:val="5F5F5F"/>
          <w:szCs w:val="19"/>
        </w:rPr>
        <w:t xml:space="preserve">S 2 – Share-based Payments. The </w:t>
      </w:r>
      <w:r w:rsidRPr="00E330D2">
        <w:rPr>
          <w:rFonts w:ascii="Calibri" w:eastAsia="Calibri" w:hAnsi="Calibri"/>
          <w:color w:val="5F5F5F"/>
          <w:szCs w:val="19"/>
        </w:rPr>
        <w:t>increase in total general and ad</w:t>
      </w:r>
      <w:r>
        <w:rPr>
          <w:rFonts w:ascii="Calibri" w:eastAsia="Calibri" w:hAnsi="Calibri"/>
          <w:color w:val="5F5F5F"/>
          <w:szCs w:val="19"/>
        </w:rPr>
        <w:t xml:space="preserve">ministrative costs is primarily </w:t>
      </w:r>
      <w:r w:rsidRPr="00E330D2">
        <w:rPr>
          <w:rFonts w:ascii="Calibri" w:eastAsia="Calibri" w:hAnsi="Calibri"/>
          <w:color w:val="5F5F5F"/>
          <w:szCs w:val="19"/>
        </w:rPr>
        <w:t>due to the continued growt</w:t>
      </w:r>
      <w:r>
        <w:rPr>
          <w:rFonts w:ascii="Calibri" w:eastAsia="Calibri" w:hAnsi="Calibri"/>
          <w:color w:val="5F5F5F"/>
          <w:szCs w:val="19"/>
        </w:rPr>
        <w:t xml:space="preserve">h of the Group during 2013 with </w:t>
      </w:r>
      <w:r w:rsidRPr="00E330D2">
        <w:rPr>
          <w:rFonts w:ascii="Calibri" w:eastAsia="Calibri" w:hAnsi="Calibri"/>
          <w:color w:val="5F5F5F"/>
          <w:szCs w:val="19"/>
        </w:rPr>
        <w:t xml:space="preserve">Tullow’s total employees increasing by </w:t>
      </w:r>
      <w:r w:rsidR="001808A9">
        <w:rPr>
          <w:rFonts w:ascii="Calibri" w:eastAsia="Calibri" w:hAnsi="Calibri"/>
          <w:color w:val="5F5F5F"/>
          <w:szCs w:val="19"/>
        </w:rPr>
        <w:t>10</w:t>
      </w:r>
      <w:r w:rsidRPr="00E330D2">
        <w:rPr>
          <w:rFonts w:ascii="Calibri" w:eastAsia="Calibri" w:hAnsi="Calibri"/>
          <w:color w:val="5F5F5F"/>
          <w:szCs w:val="19"/>
        </w:rPr>
        <w:t xml:space="preserve">% to </w:t>
      </w:r>
      <w:r w:rsidR="001808A9">
        <w:rPr>
          <w:rFonts w:ascii="Calibri" w:eastAsia="Calibri" w:hAnsi="Calibri"/>
          <w:color w:val="5F5F5F"/>
          <w:szCs w:val="19"/>
        </w:rPr>
        <w:t>1,553</w:t>
      </w:r>
      <w:r w:rsidRPr="00E330D2">
        <w:rPr>
          <w:rFonts w:ascii="Calibri" w:eastAsia="Calibri" w:hAnsi="Calibri"/>
          <w:color w:val="5F5F5F"/>
          <w:szCs w:val="19"/>
        </w:rPr>
        <w:t xml:space="preserve"> people.</w:t>
      </w:r>
    </w:p>
    <w:p w:rsidR="00E330D2" w:rsidRPr="00F75FEE" w:rsidRDefault="00E330D2" w:rsidP="0027721B">
      <w:pPr>
        <w:spacing w:before="240" w:after="60" w:line="240" w:lineRule="auto"/>
        <w:jc w:val="left"/>
        <w:rPr>
          <w:rFonts w:ascii="Calibri" w:hAnsi="Calibri"/>
          <w:b/>
          <w:bCs/>
          <w:color w:val="00305C"/>
          <w:sz w:val="22"/>
          <w:szCs w:val="22"/>
        </w:rPr>
      </w:pPr>
      <w:r w:rsidRPr="00F75FEE">
        <w:rPr>
          <w:rFonts w:ascii="Calibri" w:hAnsi="Calibri"/>
          <w:b/>
          <w:bCs/>
          <w:color w:val="00305C"/>
          <w:sz w:val="22"/>
          <w:szCs w:val="22"/>
        </w:rPr>
        <w:t>T</w:t>
      </w:r>
      <w:r w:rsidR="0027721B">
        <w:rPr>
          <w:rFonts w:ascii="Calibri" w:hAnsi="Calibri"/>
          <w:b/>
          <w:bCs/>
          <w:color w:val="00305C"/>
          <w:sz w:val="22"/>
          <w:szCs w:val="22"/>
        </w:rPr>
        <w:t>otal Costs Written-Off</w:t>
      </w:r>
    </w:p>
    <w:tbl>
      <w:tblPr>
        <w:tblW w:w="9498" w:type="dxa"/>
        <w:tblBorders>
          <w:bottom w:val="single" w:sz="4" w:space="0" w:color="A6A6A6"/>
          <w:insideH w:val="single" w:sz="4" w:space="0" w:color="A6A6A6"/>
        </w:tblBorders>
        <w:tblCellMar>
          <w:left w:w="0" w:type="dxa"/>
          <w:right w:w="0" w:type="dxa"/>
        </w:tblCellMar>
        <w:tblLook w:val="01E0" w:firstRow="1" w:lastRow="1" w:firstColumn="1" w:lastColumn="1" w:noHBand="0" w:noVBand="0"/>
      </w:tblPr>
      <w:tblGrid>
        <w:gridCol w:w="6521"/>
        <w:gridCol w:w="1559"/>
        <w:gridCol w:w="1418"/>
      </w:tblGrid>
      <w:tr w:rsidR="00E330D2" w:rsidRPr="009318F0" w:rsidTr="006B4FE1">
        <w:trPr>
          <w:trHeight w:val="240"/>
        </w:trPr>
        <w:tc>
          <w:tcPr>
            <w:tcW w:w="6521" w:type="dxa"/>
            <w:tcMar>
              <w:top w:w="57" w:type="dxa"/>
              <w:left w:w="0" w:type="dxa"/>
              <w:bottom w:w="57" w:type="dxa"/>
              <w:right w:w="0" w:type="dxa"/>
            </w:tcMar>
            <w:vAlign w:val="bottom"/>
          </w:tcPr>
          <w:p w:rsidR="00E330D2" w:rsidRDefault="00E330D2" w:rsidP="004D5CD9">
            <w:pPr>
              <w:pStyle w:val="StyleCustomColorRGB04369Before3pt"/>
              <w:spacing w:before="0"/>
              <w:ind w:right="113"/>
              <w:jc w:val="right"/>
              <w:rPr>
                <w:rFonts w:ascii="Calibri" w:hAnsi="Calibri" w:cs="Calibri"/>
                <w:color w:val="003366"/>
                <w:sz w:val="20"/>
                <w:lang w:val="en-US"/>
              </w:rPr>
            </w:pPr>
          </w:p>
        </w:tc>
        <w:tc>
          <w:tcPr>
            <w:tcW w:w="1559" w:type="dxa"/>
            <w:shd w:val="clear" w:color="auto" w:fill="F2F2F2"/>
            <w:tcMar>
              <w:top w:w="57" w:type="dxa"/>
              <w:left w:w="0" w:type="dxa"/>
              <w:bottom w:w="57" w:type="dxa"/>
              <w:right w:w="0" w:type="dxa"/>
            </w:tcMar>
            <w:vAlign w:val="bottom"/>
          </w:tcPr>
          <w:p w:rsidR="00E330D2" w:rsidRPr="009318F0" w:rsidRDefault="00E330D2" w:rsidP="004D5CD9">
            <w:pPr>
              <w:ind w:right="113"/>
              <w:jc w:val="right"/>
              <w:rPr>
                <w:rFonts w:ascii="Calibri" w:hAnsi="Calibri" w:cs="Calibri"/>
                <w:b/>
                <w:color w:val="002B45"/>
                <w:sz w:val="20"/>
                <w:szCs w:val="20"/>
                <w:lang w:val="en-US"/>
              </w:rPr>
            </w:pPr>
            <w:r w:rsidRPr="009318F0">
              <w:rPr>
                <w:rFonts w:ascii="Calibri" w:hAnsi="Calibri" w:cs="Calibri"/>
                <w:b/>
                <w:color w:val="002B45"/>
                <w:sz w:val="20"/>
                <w:szCs w:val="20"/>
                <w:lang w:val="en-US"/>
              </w:rPr>
              <w:t>201</w:t>
            </w:r>
            <w:r>
              <w:rPr>
                <w:rFonts w:ascii="Calibri" w:hAnsi="Calibri" w:cs="Calibri"/>
                <w:b/>
                <w:color w:val="002B45"/>
                <w:sz w:val="20"/>
                <w:szCs w:val="20"/>
                <w:lang w:val="en-US"/>
              </w:rPr>
              <w:t>3</w:t>
            </w:r>
          </w:p>
        </w:tc>
        <w:tc>
          <w:tcPr>
            <w:tcW w:w="1418" w:type="dxa"/>
            <w:tcMar>
              <w:top w:w="57" w:type="dxa"/>
              <w:left w:w="0" w:type="dxa"/>
              <w:bottom w:w="57" w:type="dxa"/>
              <w:right w:w="0" w:type="dxa"/>
            </w:tcMar>
            <w:vAlign w:val="bottom"/>
          </w:tcPr>
          <w:p w:rsidR="00E330D2" w:rsidRPr="009318F0" w:rsidRDefault="00E330D2" w:rsidP="004D5CD9">
            <w:pPr>
              <w:ind w:right="113"/>
              <w:jc w:val="right"/>
              <w:rPr>
                <w:rFonts w:ascii="Calibri" w:hAnsi="Calibri" w:cs="Calibri"/>
                <w:b/>
                <w:color w:val="002B45"/>
                <w:sz w:val="20"/>
                <w:szCs w:val="20"/>
                <w:lang w:val="en-US"/>
              </w:rPr>
            </w:pPr>
            <w:r w:rsidRPr="009318F0">
              <w:rPr>
                <w:rFonts w:ascii="Calibri" w:hAnsi="Calibri" w:cs="Calibri"/>
                <w:b/>
                <w:color w:val="002B45"/>
                <w:sz w:val="20"/>
                <w:szCs w:val="20"/>
                <w:lang w:val="en-US"/>
              </w:rPr>
              <w:t>20</w:t>
            </w:r>
            <w:r>
              <w:rPr>
                <w:rFonts w:ascii="Calibri" w:hAnsi="Calibri" w:cs="Calibri"/>
                <w:b/>
                <w:color w:val="002B45"/>
                <w:sz w:val="20"/>
                <w:szCs w:val="20"/>
                <w:lang w:val="en-US"/>
              </w:rPr>
              <w:t>12</w:t>
            </w:r>
          </w:p>
        </w:tc>
      </w:tr>
      <w:tr w:rsidR="00E330D2" w:rsidRPr="0055761B" w:rsidTr="006B4FE1">
        <w:trPr>
          <w:trHeight w:val="255"/>
        </w:trPr>
        <w:tc>
          <w:tcPr>
            <w:tcW w:w="6521" w:type="dxa"/>
            <w:tcMar>
              <w:top w:w="57" w:type="dxa"/>
              <w:left w:w="0" w:type="dxa"/>
              <w:bottom w:w="57" w:type="dxa"/>
              <w:right w:w="0" w:type="dxa"/>
            </w:tcMar>
            <w:vAlign w:val="center"/>
          </w:tcPr>
          <w:p w:rsidR="00E330D2" w:rsidRPr="0055761B" w:rsidRDefault="00E330D2" w:rsidP="004D5CD9">
            <w:pPr>
              <w:ind w:right="113"/>
              <w:jc w:val="left"/>
              <w:rPr>
                <w:rFonts w:asciiTheme="minorHAnsi" w:hAnsiTheme="minorHAnsi" w:cstheme="minorHAnsi"/>
                <w:color w:val="5F5F5F"/>
                <w:szCs w:val="19"/>
              </w:rPr>
            </w:pPr>
            <w:r>
              <w:rPr>
                <w:rFonts w:asciiTheme="minorHAnsi" w:hAnsiTheme="minorHAnsi" w:cstheme="minorHAnsi"/>
                <w:color w:val="5F5F5F"/>
                <w:szCs w:val="19"/>
              </w:rPr>
              <w:t>Exploration costs written off ($m)</w:t>
            </w:r>
          </w:p>
        </w:tc>
        <w:tc>
          <w:tcPr>
            <w:tcW w:w="1559" w:type="dxa"/>
            <w:shd w:val="clear" w:color="auto" w:fill="F2F2F2"/>
            <w:tcMar>
              <w:top w:w="57" w:type="dxa"/>
              <w:left w:w="0" w:type="dxa"/>
              <w:bottom w:w="57" w:type="dxa"/>
              <w:right w:w="0" w:type="dxa"/>
            </w:tcMar>
            <w:vAlign w:val="center"/>
          </w:tcPr>
          <w:p w:rsidR="00E330D2" w:rsidRPr="0055761B" w:rsidRDefault="00E330D2" w:rsidP="00A8510D">
            <w:pPr>
              <w:ind w:right="113"/>
              <w:jc w:val="right"/>
              <w:rPr>
                <w:rFonts w:asciiTheme="minorHAnsi" w:hAnsiTheme="minorHAnsi" w:cstheme="minorHAnsi"/>
                <w:color w:val="5F5F5F"/>
                <w:szCs w:val="19"/>
              </w:rPr>
            </w:pPr>
            <w:r>
              <w:rPr>
                <w:rFonts w:asciiTheme="minorHAnsi" w:hAnsiTheme="minorHAnsi" w:cstheme="minorHAnsi"/>
                <w:color w:val="5F5F5F"/>
                <w:szCs w:val="19"/>
              </w:rPr>
              <w:t>(</w:t>
            </w:r>
            <w:r w:rsidR="00A8510D">
              <w:rPr>
                <w:rFonts w:asciiTheme="minorHAnsi" w:hAnsiTheme="minorHAnsi" w:cstheme="minorHAnsi"/>
                <w:color w:val="5F5F5F"/>
                <w:szCs w:val="19"/>
              </w:rPr>
              <w:t>871)</w:t>
            </w:r>
          </w:p>
        </w:tc>
        <w:tc>
          <w:tcPr>
            <w:tcW w:w="1418" w:type="dxa"/>
            <w:tcMar>
              <w:top w:w="57" w:type="dxa"/>
              <w:left w:w="0" w:type="dxa"/>
              <w:bottom w:w="57" w:type="dxa"/>
              <w:right w:w="0" w:type="dxa"/>
            </w:tcMar>
            <w:vAlign w:val="center"/>
          </w:tcPr>
          <w:p w:rsidR="00E330D2" w:rsidRPr="0055761B" w:rsidRDefault="00A8510D" w:rsidP="00A8510D">
            <w:pPr>
              <w:ind w:right="113"/>
              <w:jc w:val="right"/>
              <w:rPr>
                <w:rFonts w:asciiTheme="minorHAnsi" w:hAnsiTheme="minorHAnsi" w:cstheme="minorHAnsi"/>
                <w:color w:val="5F5F5F"/>
                <w:szCs w:val="19"/>
              </w:rPr>
            </w:pPr>
            <w:r>
              <w:rPr>
                <w:rFonts w:asciiTheme="minorHAnsi" w:hAnsiTheme="minorHAnsi" w:cstheme="minorHAnsi"/>
                <w:color w:val="5F5F5F"/>
                <w:szCs w:val="19"/>
              </w:rPr>
              <w:t>(671</w:t>
            </w:r>
            <w:r w:rsidR="00E330D2">
              <w:rPr>
                <w:rFonts w:asciiTheme="minorHAnsi" w:hAnsiTheme="minorHAnsi" w:cstheme="minorHAnsi"/>
                <w:color w:val="5F5F5F"/>
                <w:szCs w:val="19"/>
              </w:rPr>
              <w:t>)</w:t>
            </w:r>
          </w:p>
        </w:tc>
      </w:tr>
      <w:tr w:rsidR="00E330D2" w:rsidRPr="0055761B" w:rsidTr="006B4FE1">
        <w:trPr>
          <w:trHeight w:val="255"/>
        </w:trPr>
        <w:tc>
          <w:tcPr>
            <w:tcW w:w="6521" w:type="dxa"/>
            <w:tcMar>
              <w:top w:w="57" w:type="dxa"/>
              <w:left w:w="0" w:type="dxa"/>
              <w:bottom w:w="57" w:type="dxa"/>
              <w:right w:w="0" w:type="dxa"/>
            </w:tcMar>
            <w:vAlign w:val="center"/>
          </w:tcPr>
          <w:p w:rsidR="00E330D2" w:rsidRPr="0055761B" w:rsidRDefault="00E330D2" w:rsidP="004D5CD9">
            <w:pPr>
              <w:ind w:right="113"/>
              <w:jc w:val="left"/>
              <w:rPr>
                <w:rFonts w:asciiTheme="minorHAnsi" w:hAnsiTheme="minorHAnsi" w:cstheme="minorHAnsi"/>
                <w:color w:val="5F5F5F"/>
                <w:szCs w:val="19"/>
              </w:rPr>
            </w:pPr>
            <w:r w:rsidRPr="00E330D2">
              <w:rPr>
                <w:rFonts w:asciiTheme="minorHAnsi" w:hAnsiTheme="minorHAnsi" w:cstheme="minorHAnsi"/>
                <w:color w:val="5F5F5F"/>
                <w:szCs w:val="19"/>
              </w:rPr>
              <w:t>Associated deferred tax credit</w:t>
            </w:r>
            <w:r>
              <w:rPr>
                <w:rFonts w:asciiTheme="minorHAnsi" w:hAnsiTheme="minorHAnsi" w:cstheme="minorHAnsi"/>
                <w:color w:val="5F5F5F"/>
                <w:szCs w:val="19"/>
              </w:rPr>
              <w:t xml:space="preserve"> ($m)</w:t>
            </w:r>
          </w:p>
        </w:tc>
        <w:tc>
          <w:tcPr>
            <w:tcW w:w="1559" w:type="dxa"/>
            <w:shd w:val="clear" w:color="auto" w:fill="F2F2F2"/>
            <w:tcMar>
              <w:top w:w="57" w:type="dxa"/>
              <w:left w:w="0" w:type="dxa"/>
              <w:bottom w:w="57" w:type="dxa"/>
              <w:right w:w="0" w:type="dxa"/>
            </w:tcMar>
            <w:vAlign w:val="center"/>
          </w:tcPr>
          <w:p w:rsidR="00E330D2" w:rsidRPr="0055761B" w:rsidRDefault="00E330D2" w:rsidP="00A8510D">
            <w:pPr>
              <w:ind w:right="113"/>
              <w:jc w:val="right"/>
              <w:rPr>
                <w:rFonts w:asciiTheme="minorHAnsi" w:hAnsiTheme="minorHAnsi" w:cstheme="minorHAnsi"/>
                <w:color w:val="5F5F5F"/>
                <w:szCs w:val="19"/>
              </w:rPr>
            </w:pPr>
            <w:r>
              <w:rPr>
                <w:rFonts w:asciiTheme="minorHAnsi" w:hAnsiTheme="minorHAnsi" w:cstheme="minorHAnsi"/>
                <w:color w:val="5F5F5F"/>
                <w:szCs w:val="19"/>
              </w:rPr>
              <w:t>17</w:t>
            </w:r>
            <w:r w:rsidR="00A8510D">
              <w:rPr>
                <w:rFonts w:asciiTheme="minorHAnsi" w:hAnsiTheme="minorHAnsi" w:cstheme="minorHAnsi"/>
                <w:color w:val="5F5F5F"/>
                <w:szCs w:val="19"/>
              </w:rPr>
              <w:t>4</w:t>
            </w:r>
          </w:p>
        </w:tc>
        <w:tc>
          <w:tcPr>
            <w:tcW w:w="1418" w:type="dxa"/>
            <w:tcMar>
              <w:top w:w="57" w:type="dxa"/>
              <w:left w:w="0" w:type="dxa"/>
              <w:bottom w:w="57" w:type="dxa"/>
              <w:right w:w="0" w:type="dxa"/>
            </w:tcMar>
            <w:vAlign w:val="center"/>
          </w:tcPr>
          <w:p w:rsidR="00E330D2" w:rsidRPr="0055761B" w:rsidRDefault="00A8510D" w:rsidP="004D5CD9">
            <w:pPr>
              <w:ind w:right="113"/>
              <w:jc w:val="right"/>
              <w:rPr>
                <w:rFonts w:asciiTheme="minorHAnsi" w:hAnsiTheme="minorHAnsi" w:cstheme="minorHAnsi"/>
                <w:color w:val="5F5F5F"/>
                <w:szCs w:val="19"/>
              </w:rPr>
            </w:pPr>
            <w:r>
              <w:rPr>
                <w:rFonts w:asciiTheme="minorHAnsi" w:hAnsiTheme="minorHAnsi" w:cstheme="minorHAnsi"/>
                <w:color w:val="5F5F5F"/>
                <w:szCs w:val="19"/>
              </w:rPr>
              <w:t>70</w:t>
            </w:r>
          </w:p>
        </w:tc>
      </w:tr>
      <w:tr w:rsidR="00E330D2" w:rsidRPr="0055761B" w:rsidTr="006B4FE1">
        <w:trPr>
          <w:trHeight w:val="255"/>
        </w:trPr>
        <w:tc>
          <w:tcPr>
            <w:tcW w:w="6521" w:type="dxa"/>
            <w:tcMar>
              <w:top w:w="57" w:type="dxa"/>
              <w:left w:w="0" w:type="dxa"/>
              <w:bottom w:w="57" w:type="dxa"/>
              <w:right w:w="0" w:type="dxa"/>
            </w:tcMar>
            <w:vAlign w:val="center"/>
          </w:tcPr>
          <w:p w:rsidR="00E330D2" w:rsidRPr="0055761B" w:rsidRDefault="00E330D2" w:rsidP="004D5CD9">
            <w:pPr>
              <w:ind w:right="113"/>
              <w:jc w:val="left"/>
              <w:rPr>
                <w:rFonts w:asciiTheme="minorHAnsi" w:hAnsiTheme="minorHAnsi" w:cstheme="minorHAnsi"/>
                <w:color w:val="5F5F5F"/>
                <w:szCs w:val="19"/>
              </w:rPr>
            </w:pPr>
            <w:r w:rsidRPr="00E330D2">
              <w:rPr>
                <w:rFonts w:asciiTheme="minorHAnsi" w:hAnsiTheme="minorHAnsi" w:cstheme="minorHAnsi"/>
                <w:color w:val="5F5F5F"/>
                <w:szCs w:val="19"/>
              </w:rPr>
              <w:t>Net exploration costs written off</w:t>
            </w:r>
            <w:r>
              <w:rPr>
                <w:rFonts w:asciiTheme="minorHAnsi" w:hAnsiTheme="minorHAnsi" w:cstheme="minorHAnsi"/>
                <w:color w:val="5F5F5F"/>
                <w:szCs w:val="19"/>
              </w:rPr>
              <w:t xml:space="preserve"> ($m)</w:t>
            </w:r>
          </w:p>
        </w:tc>
        <w:tc>
          <w:tcPr>
            <w:tcW w:w="1559" w:type="dxa"/>
            <w:shd w:val="clear" w:color="auto" w:fill="F2F2F2"/>
            <w:tcMar>
              <w:top w:w="57" w:type="dxa"/>
              <w:left w:w="0" w:type="dxa"/>
              <w:bottom w:w="57" w:type="dxa"/>
              <w:right w:w="0" w:type="dxa"/>
            </w:tcMar>
            <w:vAlign w:val="center"/>
          </w:tcPr>
          <w:p w:rsidR="00E330D2" w:rsidRPr="0055761B" w:rsidRDefault="008A3064" w:rsidP="00A8510D">
            <w:pPr>
              <w:ind w:right="113"/>
              <w:jc w:val="right"/>
              <w:rPr>
                <w:rFonts w:asciiTheme="minorHAnsi" w:hAnsiTheme="minorHAnsi" w:cstheme="minorHAnsi"/>
                <w:color w:val="5F5F5F"/>
                <w:szCs w:val="19"/>
              </w:rPr>
            </w:pPr>
            <w:r>
              <w:rPr>
                <w:rFonts w:asciiTheme="minorHAnsi" w:hAnsiTheme="minorHAnsi" w:cstheme="minorHAnsi"/>
                <w:color w:val="5F5F5F"/>
                <w:szCs w:val="19"/>
              </w:rPr>
              <w:t>(</w:t>
            </w:r>
            <w:r w:rsidR="00E330D2">
              <w:rPr>
                <w:rFonts w:asciiTheme="minorHAnsi" w:hAnsiTheme="minorHAnsi" w:cstheme="minorHAnsi"/>
                <w:color w:val="5F5F5F"/>
                <w:szCs w:val="19"/>
              </w:rPr>
              <w:t>69</w:t>
            </w:r>
            <w:r w:rsidR="00A8510D">
              <w:rPr>
                <w:rFonts w:asciiTheme="minorHAnsi" w:hAnsiTheme="minorHAnsi" w:cstheme="minorHAnsi"/>
                <w:color w:val="5F5F5F"/>
                <w:szCs w:val="19"/>
              </w:rPr>
              <w:t>7</w:t>
            </w:r>
            <w:r>
              <w:rPr>
                <w:rFonts w:asciiTheme="minorHAnsi" w:hAnsiTheme="minorHAnsi" w:cstheme="minorHAnsi"/>
                <w:color w:val="5F5F5F"/>
                <w:szCs w:val="19"/>
              </w:rPr>
              <w:t>)</w:t>
            </w:r>
          </w:p>
        </w:tc>
        <w:tc>
          <w:tcPr>
            <w:tcW w:w="1418" w:type="dxa"/>
            <w:tcMar>
              <w:top w:w="57" w:type="dxa"/>
              <w:left w:w="0" w:type="dxa"/>
              <w:bottom w:w="57" w:type="dxa"/>
              <w:right w:w="0" w:type="dxa"/>
            </w:tcMar>
            <w:vAlign w:val="center"/>
          </w:tcPr>
          <w:p w:rsidR="00E330D2" w:rsidRPr="0055761B" w:rsidRDefault="008A3064" w:rsidP="00A8510D">
            <w:pPr>
              <w:ind w:right="113"/>
              <w:jc w:val="right"/>
              <w:rPr>
                <w:rFonts w:asciiTheme="minorHAnsi" w:hAnsiTheme="minorHAnsi" w:cstheme="minorHAnsi"/>
                <w:color w:val="5F5F5F"/>
                <w:szCs w:val="19"/>
              </w:rPr>
            </w:pPr>
            <w:r>
              <w:rPr>
                <w:rFonts w:asciiTheme="minorHAnsi" w:hAnsiTheme="minorHAnsi" w:cstheme="minorHAnsi"/>
                <w:color w:val="5F5F5F"/>
                <w:szCs w:val="19"/>
              </w:rPr>
              <w:t>(</w:t>
            </w:r>
            <w:r w:rsidR="00E330D2">
              <w:rPr>
                <w:rFonts w:asciiTheme="minorHAnsi" w:hAnsiTheme="minorHAnsi" w:cstheme="minorHAnsi"/>
                <w:color w:val="5F5F5F"/>
                <w:szCs w:val="19"/>
              </w:rPr>
              <w:t>601</w:t>
            </w:r>
            <w:r>
              <w:rPr>
                <w:rFonts w:asciiTheme="minorHAnsi" w:hAnsiTheme="minorHAnsi" w:cstheme="minorHAnsi"/>
                <w:color w:val="5F5F5F"/>
                <w:szCs w:val="19"/>
              </w:rPr>
              <w:t>)</w:t>
            </w:r>
          </w:p>
        </w:tc>
      </w:tr>
    </w:tbl>
    <w:p w:rsidR="00E330D2" w:rsidRDefault="00E330D2" w:rsidP="00E330D2">
      <w:pPr>
        <w:autoSpaceDE w:val="0"/>
        <w:autoSpaceDN w:val="0"/>
        <w:adjustRightInd w:val="0"/>
        <w:rPr>
          <w:rFonts w:ascii="Calibri" w:eastAsia="Calibri" w:hAnsi="Calibri"/>
          <w:color w:val="5F5F5F"/>
          <w:szCs w:val="19"/>
        </w:rPr>
      </w:pPr>
    </w:p>
    <w:p w:rsidR="00084C0A" w:rsidRPr="00E330D2" w:rsidRDefault="00E330D2" w:rsidP="00E330D2">
      <w:pPr>
        <w:autoSpaceDE w:val="0"/>
        <w:autoSpaceDN w:val="0"/>
        <w:adjustRightInd w:val="0"/>
        <w:rPr>
          <w:rFonts w:ascii="Calibri" w:eastAsia="Calibri" w:hAnsi="Calibri"/>
          <w:color w:val="5F5F5F"/>
          <w:szCs w:val="19"/>
        </w:rPr>
      </w:pPr>
      <w:r w:rsidRPr="00E330D2">
        <w:rPr>
          <w:rFonts w:ascii="Calibri" w:eastAsia="Calibri" w:hAnsi="Calibri"/>
          <w:color w:val="5F5F5F"/>
          <w:szCs w:val="19"/>
        </w:rPr>
        <w:t>During 2013 the Group spent $1.</w:t>
      </w:r>
      <w:r w:rsidR="009E3D53">
        <w:rPr>
          <w:rFonts w:ascii="Calibri" w:eastAsia="Calibri" w:hAnsi="Calibri"/>
          <w:color w:val="5F5F5F"/>
          <w:szCs w:val="19"/>
        </w:rPr>
        <w:t>1</w:t>
      </w:r>
      <w:r w:rsidRPr="00E330D2">
        <w:rPr>
          <w:rFonts w:ascii="Calibri" w:eastAsia="Calibri" w:hAnsi="Calibri"/>
          <w:color w:val="5F5F5F"/>
          <w:szCs w:val="19"/>
        </w:rPr>
        <w:t xml:space="preserve"> billion, including Norway</w:t>
      </w:r>
      <w:r>
        <w:rPr>
          <w:rFonts w:ascii="Calibri" w:eastAsia="Calibri" w:hAnsi="Calibri"/>
          <w:color w:val="5F5F5F"/>
          <w:szCs w:val="19"/>
        </w:rPr>
        <w:t xml:space="preserve"> </w:t>
      </w:r>
      <w:r w:rsidRPr="00E330D2">
        <w:rPr>
          <w:rFonts w:ascii="Calibri" w:eastAsia="Calibri" w:hAnsi="Calibri"/>
          <w:color w:val="5F5F5F"/>
          <w:szCs w:val="19"/>
        </w:rPr>
        <w:t xml:space="preserve">exploration costs on a post-tax </w:t>
      </w:r>
      <w:r w:rsidR="009E6294" w:rsidRPr="00634B19">
        <w:rPr>
          <w:rFonts w:ascii="Calibri" w:eastAsia="Calibri" w:hAnsi="Calibri"/>
          <w:color w:val="5F5F5F"/>
          <w:szCs w:val="19"/>
        </w:rPr>
        <w:t>basis, on exploration and appraisal acti</w:t>
      </w:r>
      <w:r w:rsidR="00DF1D07">
        <w:rPr>
          <w:rFonts w:ascii="Calibri" w:eastAsia="Calibri" w:hAnsi="Calibri"/>
          <w:color w:val="5F5F5F"/>
          <w:szCs w:val="19"/>
        </w:rPr>
        <w:t>vities and has written off $4</w:t>
      </w:r>
      <w:r w:rsidR="00A8510D">
        <w:rPr>
          <w:rFonts w:ascii="Calibri" w:eastAsia="Calibri" w:hAnsi="Calibri"/>
          <w:color w:val="5F5F5F"/>
          <w:szCs w:val="19"/>
        </w:rPr>
        <w:t>1</w:t>
      </w:r>
      <w:r w:rsidR="00385CE0">
        <w:rPr>
          <w:rFonts w:ascii="Calibri" w:eastAsia="Calibri" w:hAnsi="Calibri"/>
          <w:color w:val="5F5F5F"/>
          <w:szCs w:val="19"/>
        </w:rPr>
        <w:t>7</w:t>
      </w:r>
      <w:r w:rsidR="009E6294" w:rsidRPr="00634B19">
        <w:rPr>
          <w:rFonts w:ascii="Calibri" w:eastAsia="Calibri" w:hAnsi="Calibri"/>
          <w:color w:val="5F5F5F"/>
          <w:szCs w:val="19"/>
        </w:rPr>
        <w:t xml:space="preserve"> million in relation to this expenditure. This included write</w:t>
      </w:r>
      <w:r w:rsidRPr="00E330D2">
        <w:rPr>
          <w:rFonts w:ascii="Calibri" w:eastAsia="Calibri" w:hAnsi="Calibri"/>
          <w:color w:val="5F5F5F"/>
          <w:szCs w:val="19"/>
        </w:rPr>
        <w:t>-offs in</w:t>
      </w:r>
      <w:r>
        <w:rPr>
          <w:rFonts w:ascii="Calibri" w:eastAsia="Calibri" w:hAnsi="Calibri"/>
          <w:color w:val="5F5F5F"/>
          <w:szCs w:val="19"/>
        </w:rPr>
        <w:t xml:space="preserve"> </w:t>
      </w:r>
      <w:r w:rsidR="00DF1D07">
        <w:rPr>
          <w:rFonts w:ascii="Calibri" w:eastAsia="Calibri" w:hAnsi="Calibri"/>
          <w:color w:val="5F5F5F"/>
          <w:szCs w:val="19"/>
        </w:rPr>
        <w:t>French Guiana ($101 million), Norway ($28</w:t>
      </w:r>
      <w:r w:rsidRPr="00E330D2">
        <w:rPr>
          <w:rFonts w:ascii="Calibri" w:eastAsia="Calibri" w:hAnsi="Calibri"/>
          <w:color w:val="5F5F5F"/>
          <w:szCs w:val="19"/>
        </w:rPr>
        <w:t xml:space="preserve"> million),</w:t>
      </w:r>
      <w:r>
        <w:rPr>
          <w:rFonts w:ascii="Calibri" w:eastAsia="Calibri" w:hAnsi="Calibri"/>
          <w:color w:val="5F5F5F"/>
          <w:szCs w:val="19"/>
        </w:rPr>
        <w:t xml:space="preserve"> </w:t>
      </w:r>
      <w:r w:rsidR="00DF1D07">
        <w:rPr>
          <w:rFonts w:ascii="Calibri" w:eastAsia="Calibri" w:hAnsi="Calibri"/>
          <w:color w:val="5F5F5F"/>
          <w:szCs w:val="19"/>
        </w:rPr>
        <w:t xml:space="preserve">Gabon ($28 </w:t>
      </w:r>
      <w:r w:rsidRPr="00E330D2">
        <w:rPr>
          <w:rFonts w:ascii="Calibri" w:eastAsia="Calibri" w:hAnsi="Calibri"/>
          <w:color w:val="5F5F5F"/>
          <w:szCs w:val="19"/>
        </w:rPr>
        <w:t>m</w:t>
      </w:r>
      <w:r w:rsidR="00DF1D07">
        <w:rPr>
          <w:rFonts w:ascii="Calibri" w:eastAsia="Calibri" w:hAnsi="Calibri"/>
          <w:color w:val="5F5F5F"/>
          <w:szCs w:val="19"/>
        </w:rPr>
        <w:t>illion), Ethiopia ($45 million</w:t>
      </w:r>
      <w:r w:rsidRPr="00E330D2">
        <w:rPr>
          <w:rFonts w:ascii="Calibri" w:eastAsia="Calibri" w:hAnsi="Calibri"/>
          <w:color w:val="5F5F5F"/>
          <w:szCs w:val="19"/>
        </w:rPr>
        <w:t>) and</w:t>
      </w:r>
      <w:r>
        <w:rPr>
          <w:rFonts w:ascii="Calibri" w:eastAsia="Calibri" w:hAnsi="Calibri"/>
          <w:color w:val="5F5F5F"/>
          <w:szCs w:val="19"/>
        </w:rPr>
        <w:t xml:space="preserve"> </w:t>
      </w:r>
      <w:r w:rsidR="00DF1D07">
        <w:rPr>
          <w:rFonts w:ascii="Calibri" w:eastAsia="Calibri" w:hAnsi="Calibri"/>
          <w:color w:val="5F5F5F"/>
          <w:szCs w:val="19"/>
        </w:rPr>
        <w:t>Mozambique ($77</w:t>
      </w:r>
      <w:r w:rsidRPr="00E330D2">
        <w:rPr>
          <w:rFonts w:ascii="Calibri" w:eastAsia="Calibri" w:hAnsi="Calibri"/>
          <w:color w:val="5F5F5F"/>
          <w:szCs w:val="19"/>
        </w:rPr>
        <w:t xml:space="preserve"> million) and new venture costs were</w:t>
      </w:r>
      <w:r>
        <w:rPr>
          <w:rFonts w:ascii="Calibri" w:eastAsia="Calibri" w:hAnsi="Calibri"/>
          <w:color w:val="5F5F5F"/>
          <w:szCs w:val="19"/>
        </w:rPr>
        <w:t xml:space="preserve"> </w:t>
      </w:r>
      <w:r w:rsidR="00DF1D07">
        <w:rPr>
          <w:rFonts w:ascii="Calibri" w:eastAsia="Calibri" w:hAnsi="Calibri"/>
          <w:color w:val="5F5F5F"/>
          <w:szCs w:val="19"/>
        </w:rPr>
        <w:t>$75</w:t>
      </w:r>
      <w:r w:rsidRPr="00E330D2">
        <w:rPr>
          <w:rFonts w:ascii="Calibri" w:eastAsia="Calibri" w:hAnsi="Calibri"/>
          <w:color w:val="5F5F5F"/>
          <w:szCs w:val="19"/>
        </w:rPr>
        <w:t xml:space="preserve"> million. In addition </w:t>
      </w:r>
      <w:r w:rsidR="00DF1D07">
        <w:rPr>
          <w:rFonts w:ascii="Calibri" w:eastAsia="Calibri" w:hAnsi="Calibri"/>
          <w:color w:val="5F5F5F"/>
          <w:szCs w:val="19"/>
        </w:rPr>
        <w:t>the Group has written off $2</w:t>
      </w:r>
      <w:r w:rsidR="00385CE0">
        <w:rPr>
          <w:rFonts w:ascii="Calibri" w:eastAsia="Calibri" w:hAnsi="Calibri"/>
          <w:color w:val="5F5F5F"/>
          <w:szCs w:val="19"/>
        </w:rPr>
        <w:t>80</w:t>
      </w:r>
      <w:r>
        <w:rPr>
          <w:rFonts w:ascii="Calibri" w:eastAsia="Calibri" w:hAnsi="Calibri"/>
          <w:color w:val="5F5F5F"/>
          <w:szCs w:val="19"/>
        </w:rPr>
        <w:t xml:space="preserve"> </w:t>
      </w:r>
      <w:r w:rsidRPr="00E330D2">
        <w:rPr>
          <w:rFonts w:ascii="Calibri" w:eastAsia="Calibri" w:hAnsi="Calibri"/>
          <w:color w:val="5F5F5F"/>
          <w:szCs w:val="19"/>
        </w:rPr>
        <w:t>million in relation to prior year</w:t>
      </w:r>
      <w:r w:rsidR="009E3D53">
        <w:rPr>
          <w:rFonts w:ascii="Calibri" w:eastAsia="Calibri" w:hAnsi="Calibri"/>
          <w:color w:val="5F5F5F"/>
          <w:szCs w:val="19"/>
        </w:rPr>
        <w:t>s</w:t>
      </w:r>
      <w:r w:rsidRPr="00E330D2">
        <w:rPr>
          <w:rFonts w:ascii="Calibri" w:eastAsia="Calibri" w:hAnsi="Calibri"/>
          <w:color w:val="5F5F5F"/>
          <w:szCs w:val="19"/>
        </w:rPr>
        <w:t xml:space="preserve"> expenditure and fair value</w:t>
      </w:r>
      <w:r>
        <w:rPr>
          <w:rFonts w:ascii="Calibri" w:eastAsia="Calibri" w:hAnsi="Calibri"/>
          <w:color w:val="5F5F5F"/>
          <w:szCs w:val="19"/>
        </w:rPr>
        <w:t xml:space="preserve"> </w:t>
      </w:r>
      <w:r w:rsidRPr="00E330D2">
        <w:rPr>
          <w:rFonts w:ascii="Calibri" w:eastAsia="Calibri" w:hAnsi="Calibri"/>
          <w:color w:val="5F5F5F"/>
          <w:szCs w:val="19"/>
        </w:rPr>
        <w:t>adjustments as a result of licence relinquishments and</w:t>
      </w:r>
      <w:r>
        <w:rPr>
          <w:rFonts w:ascii="Calibri" w:eastAsia="Calibri" w:hAnsi="Calibri"/>
          <w:color w:val="5F5F5F"/>
          <w:szCs w:val="19"/>
        </w:rPr>
        <w:t xml:space="preserve"> </w:t>
      </w:r>
      <w:r w:rsidRPr="00E330D2">
        <w:rPr>
          <w:rFonts w:ascii="Calibri" w:eastAsia="Calibri" w:hAnsi="Calibri"/>
          <w:color w:val="5F5F5F"/>
          <w:szCs w:val="19"/>
        </w:rPr>
        <w:t>changes</w:t>
      </w:r>
      <w:r w:rsidR="00BF70A7">
        <w:rPr>
          <w:rFonts w:ascii="Calibri" w:eastAsia="Calibri" w:hAnsi="Calibri"/>
          <w:color w:val="5F5F5F"/>
          <w:szCs w:val="19"/>
        </w:rPr>
        <w:t xml:space="preserve"> to</w:t>
      </w:r>
      <w:r w:rsidRPr="00E330D2">
        <w:rPr>
          <w:rFonts w:ascii="Calibri" w:eastAsia="Calibri" w:hAnsi="Calibri"/>
          <w:color w:val="5F5F5F"/>
          <w:szCs w:val="19"/>
        </w:rPr>
        <w:t xml:space="preserve"> future work programmes. This included write-offs</w:t>
      </w:r>
      <w:r>
        <w:rPr>
          <w:rFonts w:ascii="Calibri" w:eastAsia="Calibri" w:hAnsi="Calibri"/>
          <w:color w:val="5F5F5F"/>
          <w:szCs w:val="19"/>
        </w:rPr>
        <w:t xml:space="preserve"> </w:t>
      </w:r>
      <w:r w:rsidRPr="00E330D2">
        <w:rPr>
          <w:rFonts w:ascii="Calibri" w:eastAsia="Calibri" w:hAnsi="Calibri"/>
          <w:color w:val="5F5F5F"/>
          <w:szCs w:val="19"/>
        </w:rPr>
        <w:t>in Kenya</w:t>
      </w:r>
      <w:r>
        <w:rPr>
          <w:rFonts w:ascii="Calibri" w:eastAsia="Calibri" w:hAnsi="Calibri"/>
          <w:color w:val="5F5F5F"/>
          <w:szCs w:val="19"/>
        </w:rPr>
        <w:t xml:space="preserve"> </w:t>
      </w:r>
      <w:r w:rsidR="00DF1D07">
        <w:rPr>
          <w:rFonts w:ascii="Calibri" w:eastAsia="Calibri" w:hAnsi="Calibri"/>
          <w:color w:val="5F5F5F"/>
          <w:szCs w:val="19"/>
        </w:rPr>
        <w:t>($79</w:t>
      </w:r>
      <w:r w:rsidRPr="00E330D2">
        <w:rPr>
          <w:rFonts w:ascii="Calibri" w:eastAsia="Calibri" w:hAnsi="Calibri"/>
          <w:color w:val="5F5F5F"/>
          <w:szCs w:val="19"/>
        </w:rPr>
        <w:t xml:space="preserve"> million) due to the relinquishment of Block</w:t>
      </w:r>
      <w:r>
        <w:rPr>
          <w:rFonts w:ascii="Calibri" w:eastAsia="Calibri" w:hAnsi="Calibri"/>
          <w:color w:val="5F5F5F"/>
          <w:szCs w:val="19"/>
        </w:rPr>
        <w:t xml:space="preserve"> </w:t>
      </w:r>
      <w:r w:rsidR="00DF1D07">
        <w:rPr>
          <w:rFonts w:ascii="Calibri" w:eastAsia="Calibri" w:hAnsi="Calibri"/>
          <w:color w:val="5F5F5F"/>
          <w:szCs w:val="19"/>
        </w:rPr>
        <w:t>10A, Uganda ($</w:t>
      </w:r>
      <w:r w:rsidR="00A8510D">
        <w:rPr>
          <w:rFonts w:ascii="Calibri" w:eastAsia="Calibri" w:hAnsi="Calibri"/>
          <w:color w:val="5F5F5F"/>
          <w:szCs w:val="19"/>
        </w:rPr>
        <w:t>67</w:t>
      </w:r>
      <w:r w:rsidRPr="00E330D2">
        <w:rPr>
          <w:rFonts w:ascii="Calibri" w:eastAsia="Calibri" w:hAnsi="Calibri"/>
          <w:color w:val="5F5F5F"/>
          <w:szCs w:val="19"/>
        </w:rPr>
        <w:t xml:space="preserve"> million) in respect of the offshore block</w:t>
      </w:r>
      <w:r>
        <w:rPr>
          <w:rFonts w:ascii="Calibri" w:eastAsia="Calibri" w:hAnsi="Calibri"/>
          <w:color w:val="5F5F5F"/>
          <w:szCs w:val="19"/>
        </w:rPr>
        <w:t xml:space="preserve"> containing the Nga</w:t>
      </w:r>
      <w:r w:rsidR="00125D27">
        <w:rPr>
          <w:rFonts w:ascii="Calibri" w:eastAsia="Calibri" w:hAnsi="Calibri"/>
          <w:color w:val="5F5F5F"/>
          <w:szCs w:val="19"/>
        </w:rPr>
        <w:t>s</w:t>
      </w:r>
      <w:r>
        <w:rPr>
          <w:rFonts w:ascii="Calibri" w:eastAsia="Calibri" w:hAnsi="Calibri"/>
          <w:color w:val="5F5F5F"/>
          <w:szCs w:val="19"/>
        </w:rPr>
        <w:t>s</w:t>
      </w:r>
      <w:r w:rsidR="00DF1D07">
        <w:rPr>
          <w:rFonts w:ascii="Calibri" w:eastAsia="Calibri" w:hAnsi="Calibri"/>
          <w:color w:val="5F5F5F"/>
          <w:szCs w:val="19"/>
        </w:rPr>
        <w:t>a discoveries and UK ($</w:t>
      </w:r>
      <w:r w:rsidR="00385CE0">
        <w:rPr>
          <w:rFonts w:ascii="Calibri" w:eastAsia="Calibri" w:hAnsi="Calibri"/>
          <w:color w:val="5F5F5F"/>
          <w:szCs w:val="19"/>
        </w:rPr>
        <w:t>30</w:t>
      </w:r>
      <w:r w:rsidRPr="00E330D2">
        <w:rPr>
          <w:rFonts w:ascii="Calibri" w:eastAsia="Calibri" w:hAnsi="Calibri"/>
          <w:color w:val="5F5F5F"/>
          <w:szCs w:val="19"/>
        </w:rPr>
        <w:t xml:space="preserve"> million) due</w:t>
      </w:r>
      <w:r>
        <w:rPr>
          <w:rFonts w:ascii="Calibri" w:eastAsia="Calibri" w:hAnsi="Calibri"/>
          <w:color w:val="5F5F5F"/>
          <w:szCs w:val="19"/>
        </w:rPr>
        <w:t xml:space="preserve"> </w:t>
      </w:r>
      <w:r w:rsidRPr="00E330D2">
        <w:rPr>
          <w:rFonts w:ascii="Calibri" w:eastAsia="Calibri" w:hAnsi="Calibri"/>
          <w:color w:val="5F5F5F"/>
          <w:szCs w:val="19"/>
        </w:rPr>
        <w:t>to the relinquishment of the Cameron discovery.</w:t>
      </w:r>
    </w:p>
    <w:p w:rsidR="00084C0A" w:rsidRPr="00504A92" w:rsidRDefault="00084C0A" w:rsidP="00504A92">
      <w:pPr>
        <w:spacing w:before="240" w:after="60"/>
        <w:jc w:val="left"/>
        <w:rPr>
          <w:rFonts w:ascii="Calibri" w:hAnsi="Calibri"/>
          <w:b/>
          <w:color w:val="00305C"/>
          <w:sz w:val="22"/>
          <w:szCs w:val="22"/>
        </w:rPr>
      </w:pPr>
      <w:r w:rsidRPr="00504A92">
        <w:rPr>
          <w:rFonts w:ascii="Calibri" w:hAnsi="Calibri"/>
          <w:b/>
          <w:color w:val="00305C"/>
          <w:sz w:val="22"/>
          <w:szCs w:val="22"/>
        </w:rPr>
        <w:t>Derivative instruments</w:t>
      </w:r>
    </w:p>
    <w:p w:rsidR="00125D27" w:rsidRPr="00125D27" w:rsidRDefault="00125D27" w:rsidP="00504A92">
      <w:pPr>
        <w:autoSpaceDE w:val="0"/>
        <w:autoSpaceDN w:val="0"/>
        <w:adjustRightInd w:val="0"/>
        <w:spacing w:after="120"/>
        <w:rPr>
          <w:rFonts w:ascii="Calibri" w:eastAsia="Calibri" w:hAnsi="Calibri"/>
          <w:color w:val="5F5F5F"/>
          <w:szCs w:val="19"/>
        </w:rPr>
      </w:pPr>
      <w:r w:rsidRPr="00125D27">
        <w:rPr>
          <w:rFonts w:ascii="Calibri" w:eastAsia="Calibri" w:hAnsi="Calibri"/>
          <w:color w:val="5F5F5F"/>
          <w:szCs w:val="19"/>
        </w:rPr>
        <w:t>Tullow continues to undertake hedging activities as part of</w:t>
      </w:r>
      <w:r>
        <w:rPr>
          <w:rFonts w:ascii="Calibri" w:eastAsia="Calibri" w:hAnsi="Calibri"/>
          <w:color w:val="5F5F5F"/>
          <w:szCs w:val="19"/>
        </w:rPr>
        <w:t xml:space="preserve"> </w:t>
      </w:r>
      <w:r w:rsidRPr="00125D27">
        <w:rPr>
          <w:rFonts w:ascii="Calibri" w:eastAsia="Calibri" w:hAnsi="Calibri"/>
          <w:color w:val="5F5F5F"/>
          <w:szCs w:val="19"/>
        </w:rPr>
        <w:t xml:space="preserve">the ongoing management </w:t>
      </w:r>
      <w:r>
        <w:rPr>
          <w:rFonts w:ascii="Calibri" w:eastAsia="Calibri" w:hAnsi="Calibri"/>
          <w:color w:val="5F5F5F"/>
          <w:szCs w:val="19"/>
        </w:rPr>
        <w:t xml:space="preserve">of its business risk to protect </w:t>
      </w:r>
      <w:r w:rsidRPr="00125D27">
        <w:rPr>
          <w:rFonts w:ascii="Calibri" w:eastAsia="Calibri" w:hAnsi="Calibri"/>
          <w:color w:val="5F5F5F"/>
          <w:szCs w:val="19"/>
        </w:rPr>
        <w:t>against volatility and to ensure the availability of cash flow</w:t>
      </w:r>
      <w:r>
        <w:rPr>
          <w:rFonts w:ascii="Calibri" w:eastAsia="Calibri" w:hAnsi="Calibri"/>
          <w:color w:val="5F5F5F"/>
          <w:szCs w:val="19"/>
        </w:rPr>
        <w:t xml:space="preserve"> </w:t>
      </w:r>
      <w:r w:rsidRPr="00125D27">
        <w:rPr>
          <w:rFonts w:ascii="Calibri" w:eastAsia="Calibri" w:hAnsi="Calibri"/>
          <w:color w:val="5F5F5F"/>
          <w:szCs w:val="19"/>
        </w:rPr>
        <w:t>for reinvestment in capital programmes that are driving</w:t>
      </w:r>
      <w:r>
        <w:rPr>
          <w:rFonts w:ascii="Calibri" w:eastAsia="Calibri" w:hAnsi="Calibri"/>
          <w:color w:val="5F5F5F"/>
          <w:szCs w:val="19"/>
        </w:rPr>
        <w:t xml:space="preserve"> </w:t>
      </w:r>
      <w:r w:rsidRPr="00125D27">
        <w:rPr>
          <w:rFonts w:ascii="Calibri" w:eastAsia="Calibri" w:hAnsi="Calibri"/>
          <w:color w:val="5F5F5F"/>
          <w:szCs w:val="19"/>
        </w:rPr>
        <w:t>business growth.</w:t>
      </w:r>
    </w:p>
    <w:p w:rsidR="00125D27" w:rsidRPr="00125D27" w:rsidRDefault="00125D27" w:rsidP="00E931A2">
      <w:pPr>
        <w:autoSpaceDE w:val="0"/>
        <w:autoSpaceDN w:val="0"/>
        <w:adjustRightInd w:val="0"/>
        <w:spacing w:after="120"/>
        <w:rPr>
          <w:rFonts w:ascii="Calibri" w:eastAsia="Calibri" w:hAnsi="Calibri"/>
          <w:color w:val="5F5F5F"/>
          <w:szCs w:val="19"/>
        </w:rPr>
      </w:pPr>
      <w:r w:rsidRPr="00125D27">
        <w:rPr>
          <w:rFonts w:ascii="Calibri" w:eastAsia="Calibri" w:hAnsi="Calibri"/>
          <w:color w:val="5F5F5F"/>
          <w:szCs w:val="19"/>
        </w:rPr>
        <w:t>At 31 December 2013, the Group’s derivative instruments</w:t>
      </w:r>
      <w:r>
        <w:rPr>
          <w:rFonts w:ascii="Calibri" w:eastAsia="Calibri" w:hAnsi="Calibri"/>
          <w:color w:val="5F5F5F"/>
          <w:szCs w:val="19"/>
        </w:rPr>
        <w:t xml:space="preserve"> </w:t>
      </w:r>
      <w:r w:rsidRPr="00125D27">
        <w:rPr>
          <w:rFonts w:ascii="Calibri" w:eastAsia="Calibri" w:hAnsi="Calibri"/>
          <w:color w:val="5F5F5F"/>
          <w:szCs w:val="19"/>
        </w:rPr>
        <w:t xml:space="preserve">had a </w:t>
      </w:r>
      <w:r w:rsidR="00DF1D07">
        <w:rPr>
          <w:rFonts w:ascii="Calibri" w:eastAsia="Calibri" w:hAnsi="Calibri"/>
          <w:color w:val="5F5F5F"/>
          <w:szCs w:val="19"/>
        </w:rPr>
        <w:t>net negative fair value of $70</w:t>
      </w:r>
      <w:r w:rsidRPr="00125D27">
        <w:rPr>
          <w:rFonts w:ascii="Calibri" w:eastAsia="Calibri" w:hAnsi="Calibri"/>
          <w:color w:val="5F5F5F"/>
          <w:szCs w:val="19"/>
        </w:rPr>
        <w:t xml:space="preserve"> million (2012: negative</w:t>
      </w:r>
      <w:r>
        <w:rPr>
          <w:rFonts w:ascii="Calibri" w:eastAsia="Calibri" w:hAnsi="Calibri"/>
          <w:color w:val="5F5F5F"/>
          <w:szCs w:val="19"/>
        </w:rPr>
        <w:t xml:space="preserve"> </w:t>
      </w:r>
      <w:r w:rsidRPr="00125D27">
        <w:rPr>
          <w:rFonts w:ascii="Calibri" w:eastAsia="Calibri" w:hAnsi="Calibri"/>
          <w:color w:val="5F5F5F"/>
          <w:szCs w:val="19"/>
        </w:rPr>
        <w:t>$59 million), inclusive of deferred premium. While all of the</w:t>
      </w:r>
      <w:r>
        <w:rPr>
          <w:rFonts w:ascii="Calibri" w:eastAsia="Calibri" w:hAnsi="Calibri"/>
          <w:color w:val="5F5F5F"/>
          <w:szCs w:val="19"/>
        </w:rPr>
        <w:t xml:space="preserve"> </w:t>
      </w:r>
      <w:r w:rsidRPr="00125D27">
        <w:rPr>
          <w:rFonts w:ascii="Calibri" w:eastAsia="Calibri" w:hAnsi="Calibri"/>
          <w:color w:val="5F5F5F"/>
          <w:szCs w:val="19"/>
        </w:rPr>
        <w:t>Group’s commodity derivative instruments currently qualify</w:t>
      </w:r>
      <w:r>
        <w:rPr>
          <w:rFonts w:ascii="Calibri" w:eastAsia="Calibri" w:hAnsi="Calibri"/>
          <w:color w:val="5F5F5F"/>
          <w:szCs w:val="19"/>
        </w:rPr>
        <w:t xml:space="preserve"> </w:t>
      </w:r>
      <w:r w:rsidRPr="00125D27">
        <w:rPr>
          <w:rFonts w:ascii="Calibri" w:eastAsia="Calibri" w:hAnsi="Calibri"/>
          <w:color w:val="5F5F5F"/>
          <w:szCs w:val="19"/>
        </w:rPr>
        <w:t>for hedge accou</w:t>
      </w:r>
      <w:r w:rsidR="00DF1D07">
        <w:rPr>
          <w:rFonts w:ascii="Calibri" w:eastAsia="Calibri" w:hAnsi="Calibri"/>
          <w:color w:val="5F5F5F"/>
          <w:szCs w:val="19"/>
        </w:rPr>
        <w:t>nting, a pre-tax charge of $20</w:t>
      </w:r>
      <w:r w:rsidRPr="00125D27">
        <w:rPr>
          <w:rFonts w:ascii="Calibri" w:eastAsia="Calibri" w:hAnsi="Calibri"/>
          <w:color w:val="5F5F5F"/>
          <w:szCs w:val="19"/>
        </w:rPr>
        <w:t xml:space="preserve"> million</w:t>
      </w:r>
      <w:r>
        <w:rPr>
          <w:rFonts w:ascii="Calibri" w:eastAsia="Calibri" w:hAnsi="Calibri"/>
          <w:color w:val="5F5F5F"/>
          <w:szCs w:val="19"/>
        </w:rPr>
        <w:t xml:space="preserve"> </w:t>
      </w:r>
      <w:r w:rsidRPr="00125D27">
        <w:rPr>
          <w:rFonts w:ascii="Calibri" w:eastAsia="Calibri" w:hAnsi="Calibri"/>
          <w:color w:val="5F5F5F"/>
          <w:szCs w:val="19"/>
        </w:rPr>
        <w:t>(2012: c</w:t>
      </w:r>
      <w:r w:rsidR="009E3D53">
        <w:rPr>
          <w:rFonts w:ascii="Calibri" w:eastAsia="Calibri" w:hAnsi="Calibri"/>
          <w:color w:val="5F5F5F"/>
          <w:szCs w:val="19"/>
        </w:rPr>
        <w:t>harge</w:t>
      </w:r>
      <w:r w:rsidRPr="00125D27">
        <w:rPr>
          <w:rFonts w:ascii="Calibri" w:eastAsia="Calibri" w:hAnsi="Calibri"/>
          <w:color w:val="5F5F5F"/>
          <w:szCs w:val="19"/>
        </w:rPr>
        <w:t xml:space="preserve"> of $20 million) in relation to the change in time</w:t>
      </w:r>
      <w:r>
        <w:rPr>
          <w:rFonts w:ascii="Calibri" w:eastAsia="Calibri" w:hAnsi="Calibri"/>
          <w:color w:val="5F5F5F"/>
          <w:szCs w:val="19"/>
        </w:rPr>
        <w:t xml:space="preserve"> </w:t>
      </w:r>
      <w:r w:rsidRPr="00125D27">
        <w:rPr>
          <w:rFonts w:ascii="Calibri" w:eastAsia="Calibri" w:hAnsi="Calibri"/>
          <w:color w:val="5F5F5F"/>
          <w:szCs w:val="19"/>
        </w:rPr>
        <w:t>value of the Group’s commodity derivative instruments has</w:t>
      </w:r>
      <w:r>
        <w:rPr>
          <w:rFonts w:ascii="Calibri" w:eastAsia="Calibri" w:hAnsi="Calibri"/>
          <w:color w:val="5F5F5F"/>
          <w:szCs w:val="19"/>
        </w:rPr>
        <w:t xml:space="preserve"> </w:t>
      </w:r>
      <w:r w:rsidRPr="00125D27">
        <w:rPr>
          <w:rFonts w:ascii="Calibri" w:eastAsia="Calibri" w:hAnsi="Calibri"/>
          <w:color w:val="5F5F5F"/>
          <w:szCs w:val="19"/>
        </w:rPr>
        <w:t>been recognised in the income statement for 2013.</w:t>
      </w:r>
    </w:p>
    <w:p w:rsidR="00E931A2" w:rsidRDefault="00E931A2" w:rsidP="00E931A2">
      <w:pPr>
        <w:autoSpaceDE w:val="0"/>
        <w:autoSpaceDN w:val="0"/>
        <w:adjustRightInd w:val="0"/>
        <w:spacing w:after="120"/>
        <w:rPr>
          <w:rFonts w:ascii="Calibri" w:eastAsia="Calibri" w:hAnsi="Calibri"/>
          <w:color w:val="5F5F5F"/>
          <w:szCs w:val="19"/>
        </w:rPr>
      </w:pPr>
    </w:p>
    <w:p w:rsidR="00E931A2" w:rsidRDefault="00E931A2" w:rsidP="00E931A2">
      <w:pPr>
        <w:autoSpaceDE w:val="0"/>
        <w:autoSpaceDN w:val="0"/>
        <w:adjustRightInd w:val="0"/>
        <w:spacing w:after="120"/>
        <w:rPr>
          <w:rFonts w:ascii="Calibri" w:eastAsia="Calibri" w:hAnsi="Calibri"/>
          <w:color w:val="5F5F5F"/>
          <w:szCs w:val="19"/>
        </w:rPr>
      </w:pPr>
    </w:p>
    <w:p w:rsidR="00E931A2" w:rsidRDefault="00E931A2" w:rsidP="00E931A2">
      <w:pPr>
        <w:autoSpaceDE w:val="0"/>
        <w:autoSpaceDN w:val="0"/>
        <w:adjustRightInd w:val="0"/>
        <w:spacing w:after="120"/>
        <w:rPr>
          <w:rFonts w:ascii="Calibri" w:eastAsia="Calibri" w:hAnsi="Calibri"/>
          <w:color w:val="5F5F5F"/>
          <w:szCs w:val="19"/>
        </w:rPr>
      </w:pPr>
    </w:p>
    <w:p w:rsidR="00E931A2" w:rsidRDefault="00E931A2" w:rsidP="00E931A2">
      <w:pPr>
        <w:autoSpaceDE w:val="0"/>
        <w:autoSpaceDN w:val="0"/>
        <w:adjustRightInd w:val="0"/>
        <w:spacing w:after="120"/>
        <w:rPr>
          <w:rFonts w:ascii="Calibri" w:eastAsia="Calibri" w:hAnsi="Calibri"/>
          <w:color w:val="5F5F5F"/>
          <w:szCs w:val="19"/>
        </w:rPr>
      </w:pPr>
    </w:p>
    <w:p w:rsidR="00E931A2" w:rsidRDefault="00E931A2" w:rsidP="00E931A2">
      <w:pPr>
        <w:autoSpaceDE w:val="0"/>
        <w:autoSpaceDN w:val="0"/>
        <w:adjustRightInd w:val="0"/>
        <w:spacing w:after="120"/>
        <w:rPr>
          <w:rFonts w:ascii="Calibri" w:eastAsia="Calibri" w:hAnsi="Calibri"/>
          <w:color w:val="5F5F5F"/>
          <w:szCs w:val="19"/>
        </w:rPr>
      </w:pPr>
    </w:p>
    <w:p w:rsidR="000C791C" w:rsidRPr="00871692" w:rsidRDefault="00085149" w:rsidP="00E931A2">
      <w:pPr>
        <w:autoSpaceDE w:val="0"/>
        <w:autoSpaceDN w:val="0"/>
        <w:adjustRightInd w:val="0"/>
        <w:spacing w:after="120"/>
        <w:rPr>
          <w:rFonts w:ascii="Calibri" w:eastAsia="Calibri" w:hAnsi="Calibri"/>
          <w:color w:val="5F5F5F"/>
          <w:szCs w:val="19"/>
        </w:rPr>
      </w:pPr>
      <w:r w:rsidRPr="00871692">
        <w:rPr>
          <w:rFonts w:ascii="Calibri" w:eastAsia="Calibri" w:hAnsi="Calibri"/>
          <w:color w:val="5F5F5F"/>
          <w:szCs w:val="19"/>
        </w:rPr>
        <w:t xml:space="preserve">At </w:t>
      </w:r>
      <w:r w:rsidR="00A8510D">
        <w:rPr>
          <w:rFonts w:ascii="Calibri" w:eastAsia="Calibri" w:hAnsi="Calibri"/>
          <w:color w:val="5F5F5F"/>
          <w:szCs w:val="19"/>
        </w:rPr>
        <w:t>7 February</w:t>
      </w:r>
      <w:r w:rsidR="00871692" w:rsidRPr="00871692">
        <w:rPr>
          <w:rFonts w:ascii="Calibri" w:eastAsia="Calibri" w:hAnsi="Calibri"/>
          <w:color w:val="5F5F5F"/>
          <w:szCs w:val="19"/>
        </w:rPr>
        <w:t xml:space="preserve"> </w:t>
      </w:r>
      <w:r w:rsidR="00084C0A" w:rsidRPr="00871692">
        <w:rPr>
          <w:rFonts w:ascii="Calibri" w:eastAsia="Calibri" w:hAnsi="Calibri"/>
          <w:color w:val="5F5F5F"/>
          <w:szCs w:val="19"/>
        </w:rPr>
        <w:t>201</w:t>
      </w:r>
      <w:r w:rsidR="00871692" w:rsidRPr="00871692">
        <w:rPr>
          <w:rFonts w:ascii="Calibri" w:eastAsia="Calibri" w:hAnsi="Calibri"/>
          <w:color w:val="5F5F5F"/>
          <w:szCs w:val="19"/>
        </w:rPr>
        <w:t>4</w:t>
      </w:r>
      <w:r w:rsidR="00084C0A" w:rsidRPr="00871692">
        <w:rPr>
          <w:rFonts w:ascii="Calibri" w:eastAsia="Calibri" w:hAnsi="Calibri"/>
          <w:color w:val="5F5F5F"/>
          <w:szCs w:val="19"/>
        </w:rPr>
        <w:t xml:space="preserve"> the Group's commodity hedge position to the end of 201</w:t>
      </w:r>
      <w:r w:rsidR="00871692" w:rsidRPr="00871692">
        <w:rPr>
          <w:rFonts w:ascii="Calibri" w:eastAsia="Calibri" w:hAnsi="Calibri"/>
          <w:color w:val="5F5F5F"/>
          <w:szCs w:val="19"/>
        </w:rPr>
        <w:t>6</w:t>
      </w:r>
      <w:r w:rsidR="00084C0A" w:rsidRPr="00871692">
        <w:rPr>
          <w:rFonts w:ascii="Calibri" w:eastAsia="Calibri" w:hAnsi="Calibri"/>
          <w:color w:val="5F5F5F"/>
          <w:szCs w:val="19"/>
        </w:rPr>
        <w:t xml:space="preserve"> was as follows:</w:t>
      </w:r>
    </w:p>
    <w:tbl>
      <w:tblPr>
        <w:tblW w:w="0" w:type="auto"/>
        <w:tblLook w:val="01E0" w:firstRow="1" w:lastRow="1" w:firstColumn="1" w:lastColumn="1" w:noHBand="0" w:noVBand="0"/>
      </w:tblPr>
      <w:tblGrid>
        <w:gridCol w:w="4740"/>
        <w:gridCol w:w="1658"/>
        <w:gridCol w:w="1658"/>
        <w:gridCol w:w="1658"/>
      </w:tblGrid>
      <w:tr w:rsidR="00405DDF" w:rsidRPr="006575AE" w:rsidTr="00135693">
        <w:trPr>
          <w:trHeight w:val="317"/>
        </w:trPr>
        <w:tc>
          <w:tcPr>
            <w:tcW w:w="4928" w:type="dxa"/>
            <w:tcBorders>
              <w:bottom w:val="single" w:sz="8" w:space="0" w:color="00305C"/>
            </w:tcBorders>
            <w:vAlign w:val="center"/>
          </w:tcPr>
          <w:p w:rsidR="00405DDF" w:rsidRPr="001F3658" w:rsidRDefault="00405DDF" w:rsidP="00135693">
            <w:pPr>
              <w:autoSpaceDE w:val="0"/>
              <w:autoSpaceDN w:val="0"/>
              <w:adjustRightInd w:val="0"/>
              <w:jc w:val="left"/>
              <w:rPr>
                <w:rFonts w:ascii="Calibri" w:eastAsia="Calibri" w:hAnsi="Calibri"/>
                <w:b/>
                <w:color w:val="00305C"/>
                <w:sz w:val="20"/>
                <w:szCs w:val="20"/>
              </w:rPr>
            </w:pPr>
            <w:r w:rsidRPr="001F3658">
              <w:rPr>
                <w:rFonts w:ascii="Calibri" w:eastAsia="Calibri" w:hAnsi="Calibri"/>
                <w:b/>
                <w:color w:val="00305C"/>
                <w:sz w:val="20"/>
                <w:szCs w:val="20"/>
              </w:rPr>
              <w:t>Hedge position</w:t>
            </w:r>
          </w:p>
        </w:tc>
        <w:tc>
          <w:tcPr>
            <w:tcW w:w="1701" w:type="dxa"/>
            <w:tcBorders>
              <w:bottom w:val="single" w:sz="8" w:space="0" w:color="00305C"/>
            </w:tcBorders>
            <w:vAlign w:val="center"/>
          </w:tcPr>
          <w:p w:rsidR="00405DDF" w:rsidRPr="001F3658" w:rsidRDefault="00405DDF" w:rsidP="00135693">
            <w:pPr>
              <w:autoSpaceDE w:val="0"/>
              <w:autoSpaceDN w:val="0"/>
              <w:adjustRightInd w:val="0"/>
              <w:ind w:right="57"/>
              <w:jc w:val="right"/>
              <w:rPr>
                <w:rFonts w:ascii="Calibri" w:eastAsia="Calibri" w:hAnsi="Calibri"/>
                <w:b/>
                <w:color w:val="00305C"/>
                <w:sz w:val="20"/>
                <w:szCs w:val="20"/>
              </w:rPr>
            </w:pPr>
            <w:r w:rsidRPr="001F3658">
              <w:rPr>
                <w:rFonts w:ascii="Calibri" w:eastAsia="Calibri" w:hAnsi="Calibri"/>
                <w:b/>
                <w:color w:val="00305C"/>
                <w:sz w:val="20"/>
                <w:szCs w:val="20"/>
              </w:rPr>
              <w:t>201</w:t>
            </w:r>
            <w:r w:rsidR="00871692" w:rsidRPr="001F3658">
              <w:rPr>
                <w:rFonts w:ascii="Calibri" w:eastAsia="Calibri" w:hAnsi="Calibri"/>
                <w:b/>
                <w:color w:val="00305C"/>
                <w:sz w:val="20"/>
                <w:szCs w:val="20"/>
              </w:rPr>
              <w:t>4</w:t>
            </w:r>
          </w:p>
        </w:tc>
        <w:tc>
          <w:tcPr>
            <w:tcW w:w="1701" w:type="dxa"/>
            <w:tcBorders>
              <w:bottom w:val="single" w:sz="8" w:space="0" w:color="00305C"/>
            </w:tcBorders>
            <w:vAlign w:val="center"/>
          </w:tcPr>
          <w:p w:rsidR="00405DDF" w:rsidRPr="001F3658" w:rsidRDefault="00405DDF" w:rsidP="00135693">
            <w:pPr>
              <w:autoSpaceDE w:val="0"/>
              <w:autoSpaceDN w:val="0"/>
              <w:adjustRightInd w:val="0"/>
              <w:ind w:right="57"/>
              <w:jc w:val="right"/>
              <w:rPr>
                <w:rFonts w:ascii="Calibri" w:eastAsia="Calibri" w:hAnsi="Calibri"/>
                <w:b/>
                <w:color w:val="00305C"/>
                <w:sz w:val="20"/>
                <w:szCs w:val="20"/>
              </w:rPr>
            </w:pPr>
            <w:r w:rsidRPr="001F3658">
              <w:rPr>
                <w:rFonts w:ascii="Calibri" w:eastAsia="Calibri" w:hAnsi="Calibri"/>
                <w:b/>
                <w:color w:val="00305C"/>
                <w:sz w:val="20"/>
                <w:szCs w:val="20"/>
              </w:rPr>
              <w:t>201</w:t>
            </w:r>
            <w:r w:rsidR="00871692" w:rsidRPr="001F3658">
              <w:rPr>
                <w:rFonts w:ascii="Calibri" w:eastAsia="Calibri" w:hAnsi="Calibri"/>
                <w:b/>
                <w:color w:val="00305C"/>
                <w:sz w:val="20"/>
                <w:szCs w:val="20"/>
              </w:rPr>
              <w:t>5</w:t>
            </w:r>
          </w:p>
        </w:tc>
        <w:tc>
          <w:tcPr>
            <w:tcW w:w="1701" w:type="dxa"/>
            <w:tcBorders>
              <w:bottom w:val="single" w:sz="8" w:space="0" w:color="00305C"/>
            </w:tcBorders>
            <w:vAlign w:val="center"/>
          </w:tcPr>
          <w:p w:rsidR="00405DDF" w:rsidRPr="001F3658" w:rsidRDefault="00405DDF" w:rsidP="00135693">
            <w:pPr>
              <w:autoSpaceDE w:val="0"/>
              <w:autoSpaceDN w:val="0"/>
              <w:adjustRightInd w:val="0"/>
              <w:ind w:right="57"/>
              <w:jc w:val="right"/>
              <w:rPr>
                <w:rFonts w:ascii="Calibri" w:eastAsia="Calibri" w:hAnsi="Calibri"/>
                <w:b/>
                <w:color w:val="00305C"/>
                <w:sz w:val="20"/>
                <w:szCs w:val="20"/>
              </w:rPr>
            </w:pPr>
            <w:r w:rsidRPr="001F3658">
              <w:rPr>
                <w:rFonts w:ascii="Calibri" w:eastAsia="Calibri" w:hAnsi="Calibri"/>
                <w:b/>
                <w:color w:val="00305C"/>
                <w:sz w:val="20"/>
                <w:szCs w:val="20"/>
              </w:rPr>
              <w:t>201</w:t>
            </w:r>
            <w:r w:rsidR="00871692" w:rsidRPr="001F3658">
              <w:rPr>
                <w:rFonts w:ascii="Calibri" w:eastAsia="Calibri" w:hAnsi="Calibri"/>
                <w:b/>
                <w:color w:val="00305C"/>
                <w:sz w:val="20"/>
                <w:szCs w:val="20"/>
              </w:rPr>
              <w:t>6</w:t>
            </w:r>
          </w:p>
        </w:tc>
      </w:tr>
      <w:tr w:rsidR="00405DDF" w:rsidRPr="006575AE" w:rsidTr="00135693">
        <w:trPr>
          <w:trHeight w:val="317"/>
        </w:trPr>
        <w:tc>
          <w:tcPr>
            <w:tcW w:w="4928" w:type="dxa"/>
            <w:tcBorders>
              <w:top w:val="single" w:sz="8" w:space="0" w:color="00305C"/>
              <w:bottom w:val="single" w:sz="4" w:space="0" w:color="D9D9D9" w:themeColor="background1" w:themeShade="D9"/>
            </w:tcBorders>
            <w:vAlign w:val="center"/>
          </w:tcPr>
          <w:p w:rsidR="00405DDF" w:rsidRPr="001F3658" w:rsidRDefault="00405DDF" w:rsidP="00135693">
            <w:pPr>
              <w:autoSpaceDE w:val="0"/>
              <w:autoSpaceDN w:val="0"/>
              <w:adjustRightInd w:val="0"/>
              <w:jc w:val="left"/>
              <w:rPr>
                <w:rFonts w:ascii="Calibri" w:eastAsia="Calibri" w:hAnsi="Calibri"/>
                <w:color w:val="5F5F5F"/>
                <w:szCs w:val="19"/>
              </w:rPr>
            </w:pPr>
            <w:r w:rsidRPr="001F3658">
              <w:rPr>
                <w:rFonts w:ascii="Calibri" w:eastAsia="Calibri" w:hAnsi="Calibri"/>
                <w:color w:val="5F5F5F"/>
                <w:szCs w:val="19"/>
              </w:rPr>
              <w:t>Oil hedges</w:t>
            </w:r>
          </w:p>
        </w:tc>
        <w:tc>
          <w:tcPr>
            <w:tcW w:w="1701" w:type="dxa"/>
            <w:tcBorders>
              <w:top w:val="single" w:sz="8" w:space="0" w:color="00305C"/>
              <w:bottom w:val="single" w:sz="4" w:space="0" w:color="D9D9D9" w:themeColor="background1" w:themeShade="D9"/>
            </w:tcBorders>
            <w:vAlign w:val="center"/>
          </w:tcPr>
          <w:p w:rsidR="00405DDF" w:rsidRPr="001F3658" w:rsidRDefault="00405DDF" w:rsidP="00135693">
            <w:pPr>
              <w:autoSpaceDE w:val="0"/>
              <w:autoSpaceDN w:val="0"/>
              <w:adjustRightInd w:val="0"/>
              <w:ind w:right="57"/>
              <w:jc w:val="right"/>
              <w:rPr>
                <w:rFonts w:ascii="Calibri" w:eastAsia="Calibri" w:hAnsi="Calibri"/>
                <w:color w:val="5F5F5F"/>
                <w:szCs w:val="19"/>
              </w:rPr>
            </w:pPr>
          </w:p>
        </w:tc>
        <w:tc>
          <w:tcPr>
            <w:tcW w:w="1701" w:type="dxa"/>
            <w:tcBorders>
              <w:top w:val="single" w:sz="8" w:space="0" w:color="00305C"/>
              <w:bottom w:val="single" w:sz="4" w:space="0" w:color="D9D9D9" w:themeColor="background1" w:themeShade="D9"/>
            </w:tcBorders>
            <w:vAlign w:val="center"/>
          </w:tcPr>
          <w:p w:rsidR="00405DDF" w:rsidRPr="001F3658" w:rsidRDefault="00405DDF" w:rsidP="00135693">
            <w:pPr>
              <w:autoSpaceDE w:val="0"/>
              <w:autoSpaceDN w:val="0"/>
              <w:adjustRightInd w:val="0"/>
              <w:ind w:right="57"/>
              <w:jc w:val="right"/>
              <w:rPr>
                <w:rFonts w:ascii="Calibri" w:eastAsia="Calibri" w:hAnsi="Calibri"/>
                <w:color w:val="5F5F5F"/>
                <w:szCs w:val="19"/>
              </w:rPr>
            </w:pPr>
          </w:p>
        </w:tc>
        <w:tc>
          <w:tcPr>
            <w:tcW w:w="1701" w:type="dxa"/>
            <w:tcBorders>
              <w:top w:val="single" w:sz="8" w:space="0" w:color="00305C"/>
              <w:bottom w:val="single" w:sz="4" w:space="0" w:color="D9D9D9" w:themeColor="background1" w:themeShade="D9"/>
            </w:tcBorders>
            <w:vAlign w:val="center"/>
          </w:tcPr>
          <w:p w:rsidR="00405DDF" w:rsidRPr="001F3658" w:rsidRDefault="00405DDF" w:rsidP="00135693">
            <w:pPr>
              <w:autoSpaceDE w:val="0"/>
              <w:autoSpaceDN w:val="0"/>
              <w:adjustRightInd w:val="0"/>
              <w:ind w:right="57"/>
              <w:jc w:val="right"/>
              <w:rPr>
                <w:rFonts w:ascii="Calibri" w:eastAsia="Calibri" w:hAnsi="Calibri"/>
                <w:color w:val="5F5F5F"/>
                <w:szCs w:val="19"/>
              </w:rPr>
            </w:pPr>
          </w:p>
        </w:tc>
      </w:tr>
      <w:tr w:rsidR="00405DDF" w:rsidRPr="006575AE" w:rsidTr="00135693">
        <w:trPr>
          <w:trHeight w:val="317"/>
        </w:trPr>
        <w:tc>
          <w:tcPr>
            <w:tcW w:w="4928" w:type="dxa"/>
            <w:tcBorders>
              <w:top w:val="single" w:sz="4" w:space="0" w:color="D9D9D9" w:themeColor="background1" w:themeShade="D9"/>
              <w:bottom w:val="single" w:sz="4" w:space="0" w:color="D9D9D9" w:themeColor="background1" w:themeShade="D9"/>
            </w:tcBorders>
            <w:vAlign w:val="center"/>
          </w:tcPr>
          <w:p w:rsidR="00405DDF" w:rsidRPr="001F3658" w:rsidRDefault="00405DDF" w:rsidP="00135693">
            <w:pPr>
              <w:autoSpaceDE w:val="0"/>
              <w:autoSpaceDN w:val="0"/>
              <w:adjustRightInd w:val="0"/>
              <w:jc w:val="left"/>
              <w:rPr>
                <w:rFonts w:ascii="Calibri" w:eastAsia="Calibri" w:hAnsi="Calibri"/>
                <w:color w:val="5F5F5F"/>
                <w:szCs w:val="19"/>
              </w:rPr>
            </w:pPr>
            <w:r w:rsidRPr="001F3658">
              <w:rPr>
                <w:rFonts w:ascii="Calibri" w:eastAsia="Calibri" w:hAnsi="Calibri"/>
                <w:color w:val="5F5F5F"/>
                <w:szCs w:val="19"/>
              </w:rPr>
              <w:t>Volume (bopd)</w:t>
            </w:r>
          </w:p>
        </w:tc>
        <w:tc>
          <w:tcPr>
            <w:tcW w:w="1701" w:type="dxa"/>
            <w:tcBorders>
              <w:top w:val="single" w:sz="4" w:space="0" w:color="D9D9D9" w:themeColor="background1" w:themeShade="D9"/>
              <w:bottom w:val="single" w:sz="4" w:space="0" w:color="D9D9D9" w:themeColor="background1" w:themeShade="D9"/>
            </w:tcBorders>
            <w:vAlign w:val="center"/>
          </w:tcPr>
          <w:p w:rsidR="00405DDF" w:rsidRPr="001F3658" w:rsidRDefault="001F3658" w:rsidP="00135693">
            <w:pPr>
              <w:autoSpaceDE w:val="0"/>
              <w:autoSpaceDN w:val="0"/>
              <w:adjustRightInd w:val="0"/>
              <w:ind w:right="57"/>
              <w:jc w:val="right"/>
              <w:rPr>
                <w:rFonts w:ascii="Calibri" w:eastAsia="Calibri" w:hAnsi="Calibri"/>
                <w:color w:val="5F5F5F"/>
                <w:szCs w:val="19"/>
              </w:rPr>
            </w:pPr>
            <w:r>
              <w:rPr>
                <w:rFonts w:ascii="Calibri" w:eastAsia="Calibri" w:hAnsi="Calibri"/>
                <w:color w:val="5F5F5F"/>
                <w:szCs w:val="19"/>
              </w:rPr>
              <w:t>35,500</w:t>
            </w:r>
          </w:p>
        </w:tc>
        <w:tc>
          <w:tcPr>
            <w:tcW w:w="1701" w:type="dxa"/>
            <w:tcBorders>
              <w:top w:val="single" w:sz="4" w:space="0" w:color="D9D9D9" w:themeColor="background1" w:themeShade="D9"/>
              <w:bottom w:val="single" w:sz="4" w:space="0" w:color="D9D9D9" w:themeColor="background1" w:themeShade="D9"/>
            </w:tcBorders>
            <w:vAlign w:val="center"/>
          </w:tcPr>
          <w:p w:rsidR="00405DDF" w:rsidRPr="001F3658" w:rsidRDefault="001F3658" w:rsidP="00135693">
            <w:pPr>
              <w:autoSpaceDE w:val="0"/>
              <w:autoSpaceDN w:val="0"/>
              <w:adjustRightInd w:val="0"/>
              <w:ind w:right="57"/>
              <w:jc w:val="right"/>
              <w:rPr>
                <w:rFonts w:ascii="Calibri" w:eastAsia="Calibri" w:hAnsi="Calibri"/>
                <w:color w:val="5F5F5F"/>
                <w:szCs w:val="19"/>
              </w:rPr>
            </w:pPr>
            <w:r>
              <w:rPr>
                <w:rFonts w:ascii="Calibri" w:eastAsia="Calibri" w:hAnsi="Calibri"/>
                <w:color w:val="5F5F5F"/>
                <w:szCs w:val="19"/>
              </w:rPr>
              <w:t>27,500</w:t>
            </w:r>
          </w:p>
        </w:tc>
        <w:tc>
          <w:tcPr>
            <w:tcW w:w="1701" w:type="dxa"/>
            <w:tcBorders>
              <w:top w:val="single" w:sz="4" w:space="0" w:color="D9D9D9" w:themeColor="background1" w:themeShade="D9"/>
              <w:bottom w:val="single" w:sz="4" w:space="0" w:color="D9D9D9" w:themeColor="background1" w:themeShade="D9"/>
            </w:tcBorders>
            <w:vAlign w:val="center"/>
          </w:tcPr>
          <w:p w:rsidR="00405DDF" w:rsidRPr="001F3658" w:rsidRDefault="001F3658" w:rsidP="00135693">
            <w:pPr>
              <w:autoSpaceDE w:val="0"/>
              <w:autoSpaceDN w:val="0"/>
              <w:adjustRightInd w:val="0"/>
              <w:ind w:right="57"/>
              <w:jc w:val="right"/>
              <w:rPr>
                <w:rFonts w:ascii="Calibri" w:eastAsia="Calibri" w:hAnsi="Calibri"/>
                <w:color w:val="5F5F5F"/>
                <w:szCs w:val="19"/>
              </w:rPr>
            </w:pPr>
            <w:r>
              <w:rPr>
                <w:rFonts w:ascii="Calibri" w:eastAsia="Calibri" w:hAnsi="Calibri"/>
                <w:color w:val="5F5F5F"/>
                <w:szCs w:val="19"/>
              </w:rPr>
              <w:t>13,000</w:t>
            </w:r>
          </w:p>
        </w:tc>
      </w:tr>
      <w:tr w:rsidR="00405DDF" w:rsidRPr="006575AE" w:rsidTr="00135693">
        <w:trPr>
          <w:trHeight w:val="317"/>
        </w:trPr>
        <w:tc>
          <w:tcPr>
            <w:tcW w:w="4928" w:type="dxa"/>
            <w:tcBorders>
              <w:top w:val="single" w:sz="4" w:space="0" w:color="D9D9D9" w:themeColor="background1" w:themeShade="D9"/>
              <w:bottom w:val="single" w:sz="4" w:space="0" w:color="D9D9D9" w:themeColor="background1" w:themeShade="D9"/>
            </w:tcBorders>
            <w:vAlign w:val="center"/>
          </w:tcPr>
          <w:p w:rsidR="00405DDF" w:rsidRPr="001F3658" w:rsidRDefault="00405DDF" w:rsidP="00135693">
            <w:pPr>
              <w:autoSpaceDE w:val="0"/>
              <w:autoSpaceDN w:val="0"/>
              <w:adjustRightInd w:val="0"/>
              <w:jc w:val="left"/>
              <w:rPr>
                <w:rFonts w:ascii="Calibri" w:eastAsia="Calibri" w:hAnsi="Calibri"/>
                <w:color w:val="5F5F5F"/>
                <w:szCs w:val="19"/>
              </w:rPr>
            </w:pPr>
            <w:r w:rsidRPr="001F3658">
              <w:rPr>
                <w:rFonts w:ascii="Calibri" w:eastAsia="Calibri" w:hAnsi="Calibri"/>
                <w:color w:val="5F5F5F"/>
                <w:szCs w:val="19"/>
              </w:rPr>
              <w:t>Current price hedge ($/bbl)</w:t>
            </w:r>
          </w:p>
        </w:tc>
        <w:tc>
          <w:tcPr>
            <w:tcW w:w="1701" w:type="dxa"/>
            <w:tcBorders>
              <w:top w:val="single" w:sz="4" w:space="0" w:color="D9D9D9" w:themeColor="background1" w:themeShade="D9"/>
              <w:bottom w:val="single" w:sz="4" w:space="0" w:color="D9D9D9" w:themeColor="background1" w:themeShade="D9"/>
            </w:tcBorders>
            <w:vAlign w:val="center"/>
          </w:tcPr>
          <w:p w:rsidR="00405DDF" w:rsidRPr="001F3658" w:rsidRDefault="001F3658" w:rsidP="00135693">
            <w:pPr>
              <w:autoSpaceDE w:val="0"/>
              <w:autoSpaceDN w:val="0"/>
              <w:adjustRightInd w:val="0"/>
              <w:ind w:right="57"/>
              <w:jc w:val="right"/>
              <w:rPr>
                <w:rFonts w:ascii="Calibri" w:eastAsia="Calibri" w:hAnsi="Calibri"/>
                <w:color w:val="5F5F5F"/>
                <w:szCs w:val="19"/>
              </w:rPr>
            </w:pPr>
            <w:r>
              <w:rPr>
                <w:rFonts w:ascii="Calibri" w:eastAsia="Calibri" w:hAnsi="Calibri"/>
                <w:color w:val="5F5F5F"/>
                <w:szCs w:val="19"/>
              </w:rPr>
              <w:t>106.74</w:t>
            </w:r>
          </w:p>
        </w:tc>
        <w:tc>
          <w:tcPr>
            <w:tcW w:w="1701" w:type="dxa"/>
            <w:tcBorders>
              <w:top w:val="single" w:sz="4" w:space="0" w:color="D9D9D9" w:themeColor="background1" w:themeShade="D9"/>
              <w:bottom w:val="single" w:sz="4" w:space="0" w:color="D9D9D9" w:themeColor="background1" w:themeShade="D9"/>
            </w:tcBorders>
            <w:vAlign w:val="center"/>
          </w:tcPr>
          <w:p w:rsidR="00405DDF" w:rsidRPr="001F3658" w:rsidRDefault="001F3658" w:rsidP="00135693">
            <w:pPr>
              <w:autoSpaceDE w:val="0"/>
              <w:autoSpaceDN w:val="0"/>
              <w:adjustRightInd w:val="0"/>
              <w:ind w:right="57"/>
              <w:jc w:val="right"/>
              <w:rPr>
                <w:rFonts w:ascii="Calibri" w:eastAsia="Calibri" w:hAnsi="Calibri"/>
                <w:color w:val="5F5F5F"/>
                <w:szCs w:val="19"/>
              </w:rPr>
            </w:pPr>
            <w:r>
              <w:rPr>
                <w:rFonts w:ascii="Calibri" w:eastAsia="Calibri" w:hAnsi="Calibri"/>
                <w:color w:val="5F5F5F"/>
                <w:szCs w:val="19"/>
              </w:rPr>
              <w:t>101.99</w:t>
            </w:r>
          </w:p>
        </w:tc>
        <w:tc>
          <w:tcPr>
            <w:tcW w:w="1701" w:type="dxa"/>
            <w:tcBorders>
              <w:top w:val="single" w:sz="4" w:space="0" w:color="D9D9D9" w:themeColor="background1" w:themeShade="D9"/>
              <w:bottom w:val="single" w:sz="4" w:space="0" w:color="D9D9D9" w:themeColor="background1" w:themeShade="D9"/>
            </w:tcBorders>
            <w:vAlign w:val="center"/>
          </w:tcPr>
          <w:p w:rsidR="00405DDF" w:rsidRPr="001F3658" w:rsidRDefault="001F3658" w:rsidP="00135693">
            <w:pPr>
              <w:autoSpaceDE w:val="0"/>
              <w:autoSpaceDN w:val="0"/>
              <w:adjustRightInd w:val="0"/>
              <w:ind w:right="57"/>
              <w:jc w:val="right"/>
              <w:rPr>
                <w:rFonts w:ascii="Calibri" w:eastAsia="Calibri" w:hAnsi="Calibri"/>
                <w:color w:val="5F5F5F"/>
                <w:szCs w:val="19"/>
              </w:rPr>
            </w:pPr>
            <w:r>
              <w:rPr>
                <w:rFonts w:ascii="Calibri" w:eastAsia="Calibri" w:hAnsi="Calibri"/>
                <w:color w:val="5F5F5F"/>
                <w:szCs w:val="19"/>
              </w:rPr>
              <w:t>97.57</w:t>
            </w:r>
          </w:p>
        </w:tc>
      </w:tr>
      <w:tr w:rsidR="00405DDF" w:rsidRPr="006575AE" w:rsidTr="00135693">
        <w:trPr>
          <w:trHeight w:val="317"/>
        </w:trPr>
        <w:tc>
          <w:tcPr>
            <w:tcW w:w="4928" w:type="dxa"/>
            <w:tcBorders>
              <w:top w:val="single" w:sz="4" w:space="0" w:color="D9D9D9" w:themeColor="background1" w:themeShade="D9"/>
              <w:bottom w:val="single" w:sz="4" w:space="0" w:color="D9D9D9" w:themeColor="background1" w:themeShade="D9"/>
            </w:tcBorders>
            <w:vAlign w:val="center"/>
          </w:tcPr>
          <w:p w:rsidR="00405DDF" w:rsidRPr="001F3658" w:rsidRDefault="00405DDF" w:rsidP="00135693">
            <w:pPr>
              <w:autoSpaceDE w:val="0"/>
              <w:autoSpaceDN w:val="0"/>
              <w:adjustRightInd w:val="0"/>
              <w:jc w:val="left"/>
              <w:rPr>
                <w:rFonts w:ascii="Calibri" w:eastAsia="Calibri" w:hAnsi="Calibri"/>
                <w:color w:val="5F5F5F"/>
                <w:szCs w:val="19"/>
              </w:rPr>
            </w:pPr>
            <w:r w:rsidRPr="001F3658">
              <w:rPr>
                <w:rFonts w:ascii="Calibri" w:eastAsia="Calibri" w:hAnsi="Calibri"/>
                <w:color w:val="5F5F5F"/>
                <w:szCs w:val="19"/>
              </w:rPr>
              <w:t>Gas hedges</w:t>
            </w:r>
          </w:p>
        </w:tc>
        <w:tc>
          <w:tcPr>
            <w:tcW w:w="1701" w:type="dxa"/>
            <w:tcBorders>
              <w:top w:val="single" w:sz="4" w:space="0" w:color="D9D9D9" w:themeColor="background1" w:themeShade="D9"/>
              <w:bottom w:val="single" w:sz="4" w:space="0" w:color="D9D9D9" w:themeColor="background1" w:themeShade="D9"/>
            </w:tcBorders>
            <w:vAlign w:val="center"/>
          </w:tcPr>
          <w:p w:rsidR="00405DDF" w:rsidRPr="001F3658" w:rsidRDefault="00405DDF" w:rsidP="00135693">
            <w:pPr>
              <w:autoSpaceDE w:val="0"/>
              <w:autoSpaceDN w:val="0"/>
              <w:adjustRightInd w:val="0"/>
              <w:ind w:right="57"/>
              <w:jc w:val="right"/>
              <w:rPr>
                <w:rFonts w:ascii="Calibri" w:eastAsia="Calibri" w:hAnsi="Calibri"/>
                <w:color w:val="5F5F5F"/>
                <w:szCs w:val="19"/>
              </w:rPr>
            </w:pPr>
          </w:p>
        </w:tc>
        <w:tc>
          <w:tcPr>
            <w:tcW w:w="1701" w:type="dxa"/>
            <w:tcBorders>
              <w:top w:val="single" w:sz="4" w:space="0" w:color="D9D9D9" w:themeColor="background1" w:themeShade="D9"/>
              <w:bottom w:val="single" w:sz="4" w:space="0" w:color="D9D9D9" w:themeColor="background1" w:themeShade="D9"/>
            </w:tcBorders>
            <w:vAlign w:val="center"/>
          </w:tcPr>
          <w:p w:rsidR="00405DDF" w:rsidRPr="001F3658" w:rsidRDefault="00405DDF" w:rsidP="00135693">
            <w:pPr>
              <w:autoSpaceDE w:val="0"/>
              <w:autoSpaceDN w:val="0"/>
              <w:adjustRightInd w:val="0"/>
              <w:ind w:right="57"/>
              <w:jc w:val="right"/>
              <w:rPr>
                <w:rFonts w:ascii="Calibri" w:eastAsia="Calibri" w:hAnsi="Calibri"/>
                <w:color w:val="5F5F5F"/>
                <w:szCs w:val="19"/>
              </w:rPr>
            </w:pPr>
          </w:p>
        </w:tc>
        <w:tc>
          <w:tcPr>
            <w:tcW w:w="1701" w:type="dxa"/>
            <w:tcBorders>
              <w:top w:val="single" w:sz="4" w:space="0" w:color="D9D9D9" w:themeColor="background1" w:themeShade="D9"/>
              <w:bottom w:val="single" w:sz="4" w:space="0" w:color="D9D9D9" w:themeColor="background1" w:themeShade="D9"/>
            </w:tcBorders>
            <w:vAlign w:val="center"/>
          </w:tcPr>
          <w:p w:rsidR="00405DDF" w:rsidRPr="001F3658" w:rsidRDefault="00405DDF" w:rsidP="00135693">
            <w:pPr>
              <w:autoSpaceDE w:val="0"/>
              <w:autoSpaceDN w:val="0"/>
              <w:adjustRightInd w:val="0"/>
              <w:ind w:right="57"/>
              <w:jc w:val="right"/>
              <w:rPr>
                <w:rFonts w:ascii="Calibri" w:eastAsia="Calibri" w:hAnsi="Calibri"/>
                <w:color w:val="5F5F5F"/>
                <w:szCs w:val="19"/>
              </w:rPr>
            </w:pPr>
          </w:p>
        </w:tc>
      </w:tr>
      <w:tr w:rsidR="00405DDF" w:rsidRPr="006575AE" w:rsidTr="00135693">
        <w:trPr>
          <w:trHeight w:val="317"/>
        </w:trPr>
        <w:tc>
          <w:tcPr>
            <w:tcW w:w="4928" w:type="dxa"/>
            <w:tcBorders>
              <w:top w:val="single" w:sz="4" w:space="0" w:color="D9D9D9" w:themeColor="background1" w:themeShade="D9"/>
              <w:bottom w:val="single" w:sz="4" w:space="0" w:color="D9D9D9" w:themeColor="background1" w:themeShade="D9"/>
            </w:tcBorders>
            <w:vAlign w:val="center"/>
          </w:tcPr>
          <w:p w:rsidR="00405DDF" w:rsidRPr="001F3658" w:rsidRDefault="00405DDF" w:rsidP="00135693">
            <w:pPr>
              <w:autoSpaceDE w:val="0"/>
              <w:autoSpaceDN w:val="0"/>
              <w:adjustRightInd w:val="0"/>
              <w:jc w:val="left"/>
              <w:rPr>
                <w:rFonts w:ascii="Calibri" w:eastAsia="Calibri" w:hAnsi="Calibri"/>
                <w:color w:val="5F5F5F"/>
                <w:szCs w:val="19"/>
              </w:rPr>
            </w:pPr>
            <w:r w:rsidRPr="001F3658">
              <w:rPr>
                <w:rFonts w:ascii="Calibri" w:eastAsia="Calibri" w:hAnsi="Calibri"/>
                <w:color w:val="5F5F5F"/>
                <w:szCs w:val="19"/>
              </w:rPr>
              <w:t>Volume (mmscfd)</w:t>
            </w:r>
          </w:p>
        </w:tc>
        <w:tc>
          <w:tcPr>
            <w:tcW w:w="1701" w:type="dxa"/>
            <w:tcBorders>
              <w:top w:val="single" w:sz="4" w:space="0" w:color="D9D9D9" w:themeColor="background1" w:themeShade="D9"/>
              <w:bottom w:val="single" w:sz="4" w:space="0" w:color="D9D9D9" w:themeColor="background1" w:themeShade="D9"/>
            </w:tcBorders>
            <w:vAlign w:val="center"/>
          </w:tcPr>
          <w:p w:rsidR="00405DDF" w:rsidRPr="001F3658" w:rsidRDefault="001F3658" w:rsidP="00135693">
            <w:pPr>
              <w:autoSpaceDE w:val="0"/>
              <w:autoSpaceDN w:val="0"/>
              <w:adjustRightInd w:val="0"/>
              <w:ind w:right="57"/>
              <w:jc w:val="right"/>
              <w:rPr>
                <w:rFonts w:ascii="Calibri" w:eastAsia="Calibri" w:hAnsi="Calibri"/>
                <w:color w:val="5F5F5F"/>
                <w:szCs w:val="19"/>
              </w:rPr>
            </w:pPr>
            <w:r>
              <w:rPr>
                <w:rFonts w:ascii="Calibri" w:eastAsia="Calibri" w:hAnsi="Calibri"/>
                <w:color w:val="5F5F5F"/>
                <w:szCs w:val="19"/>
              </w:rPr>
              <w:t>14.46</w:t>
            </w:r>
          </w:p>
        </w:tc>
        <w:tc>
          <w:tcPr>
            <w:tcW w:w="1701" w:type="dxa"/>
            <w:tcBorders>
              <w:top w:val="single" w:sz="4" w:space="0" w:color="D9D9D9" w:themeColor="background1" w:themeShade="D9"/>
              <w:bottom w:val="single" w:sz="4" w:space="0" w:color="D9D9D9" w:themeColor="background1" w:themeShade="D9"/>
            </w:tcBorders>
            <w:vAlign w:val="center"/>
          </w:tcPr>
          <w:p w:rsidR="00405DDF" w:rsidRPr="001F3658" w:rsidRDefault="001F3658" w:rsidP="00135693">
            <w:pPr>
              <w:autoSpaceDE w:val="0"/>
              <w:autoSpaceDN w:val="0"/>
              <w:adjustRightInd w:val="0"/>
              <w:ind w:right="57"/>
              <w:jc w:val="right"/>
              <w:rPr>
                <w:rFonts w:ascii="Calibri" w:eastAsia="Calibri" w:hAnsi="Calibri"/>
                <w:color w:val="5F5F5F"/>
                <w:szCs w:val="19"/>
              </w:rPr>
            </w:pPr>
            <w:r>
              <w:rPr>
                <w:rFonts w:ascii="Calibri" w:eastAsia="Calibri" w:hAnsi="Calibri"/>
                <w:color w:val="5F5F5F"/>
                <w:szCs w:val="19"/>
              </w:rPr>
              <w:t>4.87</w:t>
            </w:r>
          </w:p>
        </w:tc>
        <w:tc>
          <w:tcPr>
            <w:tcW w:w="1701" w:type="dxa"/>
            <w:tcBorders>
              <w:top w:val="single" w:sz="4" w:space="0" w:color="D9D9D9" w:themeColor="background1" w:themeShade="D9"/>
              <w:bottom w:val="single" w:sz="4" w:space="0" w:color="D9D9D9" w:themeColor="background1" w:themeShade="D9"/>
            </w:tcBorders>
            <w:vAlign w:val="center"/>
          </w:tcPr>
          <w:p w:rsidR="00405DDF" w:rsidRPr="001F3658" w:rsidRDefault="001F3658" w:rsidP="00135693">
            <w:pPr>
              <w:autoSpaceDE w:val="0"/>
              <w:autoSpaceDN w:val="0"/>
              <w:adjustRightInd w:val="0"/>
              <w:ind w:right="57"/>
              <w:jc w:val="right"/>
              <w:rPr>
                <w:rFonts w:ascii="Calibri" w:eastAsia="Calibri" w:hAnsi="Calibri"/>
                <w:color w:val="5F5F5F"/>
                <w:szCs w:val="19"/>
              </w:rPr>
            </w:pPr>
            <w:r>
              <w:rPr>
                <w:rFonts w:ascii="Calibri" w:eastAsia="Calibri" w:hAnsi="Calibri"/>
                <w:color w:val="5F5F5F"/>
                <w:szCs w:val="19"/>
              </w:rPr>
              <w:t>0.61</w:t>
            </w:r>
          </w:p>
        </w:tc>
      </w:tr>
      <w:tr w:rsidR="00405DDF" w:rsidRPr="006575AE" w:rsidTr="00135693">
        <w:trPr>
          <w:trHeight w:val="317"/>
        </w:trPr>
        <w:tc>
          <w:tcPr>
            <w:tcW w:w="4928" w:type="dxa"/>
            <w:tcBorders>
              <w:top w:val="single" w:sz="4" w:space="0" w:color="D9D9D9" w:themeColor="background1" w:themeShade="D9"/>
              <w:bottom w:val="single" w:sz="4" w:space="0" w:color="D9D9D9" w:themeColor="background1" w:themeShade="D9"/>
            </w:tcBorders>
            <w:vAlign w:val="center"/>
          </w:tcPr>
          <w:p w:rsidR="00405DDF" w:rsidRPr="001F3658" w:rsidRDefault="00405DDF" w:rsidP="00135693">
            <w:pPr>
              <w:autoSpaceDE w:val="0"/>
              <w:autoSpaceDN w:val="0"/>
              <w:adjustRightInd w:val="0"/>
              <w:jc w:val="left"/>
              <w:rPr>
                <w:rFonts w:ascii="Calibri" w:eastAsia="Calibri" w:hAnsi="Calibri"/>
                <w:color w:val="5F5F5F"/>
                <w:szCs w:val="19"/>
              </w:rPr>
            </w:pPr>
            <w:r w:rsidRPr="001F3658">
              <w:rPr>
                <w:rFonts w:ascii="Calibri" w:eastAsia="Calibri" w:hAnsi="Calibri"/>
                <w:color w:val="5F5F5F"/>
                <w:szCs w:val="19"/>
              </w:rPr>
              <w:t>Current price hedge (p/therm)</w:t>
            </w:r>
          </w:p>
        </w:tc>
        <w:tc>
          <w:tcPr>
            <w:tcW w:w="1701" w:type="dxa"/>
            <w:tcBorders>
              <w:top w:val="single" w:sz="4" w:space="0" w:color="D9D9D9" w:themeColor="background1" w:themeShade="D9"/>
              <w:bottom w:val="single" w:sz="4" w:space="0" w:color="D9D9D9" w:themeColor="background1" w:themeShade="D9"/>
            </w:tcBorders>
            <w:vAlign w:val="center"/>
          </w:tcPr>
          <w:p w:rsidR="00405DDF" w:rsidRPr="001F3658" w:rsidRDefault="001F3658" w:rsidP="00135693">
            <w:pPr>
              <w:autoSpaceDE w:val="0"/>
              <w:autoSpaceDN w:val="0"/>
              <w:adjustRightInd w:val="0"/>
              <w:ind w:right="57"/>
              <w:jc w:val="right"/>
              <w:rPr>
                <w:rFonts w:ascii="Calibri" w:eastAsia="Calibri" w:hAnsi="Calibri"/>
                <w:color w:val="5F5F5F"/>
                <w:szCs w:val="19"/>
              </w:rPr>
            </w:pPr>
            <w:r>
              <w:rPr>
                <w:rFonts w:ascii="Calibri" w:eastAsia="Calibri" w:hAnsi="Calibri"/>
                <w:color w:val="5F5F5F"/>
                <w:szCs w:val="19"/>
              </w:rPr>
              <w:t>62.51</w:t>
            </w:r>
          </w:p>
        </w:tc>
        <w:tc>
          <w:tcPr>
            <w:tcW w:w="1701" w:type="dxa"/>
            <w:tcBorders>
              <w:top w:val="single" w:sz="4" w:space="0" w:color="D9D9D9" w:themeColor="background1" w:themeShade="D9"/>
              <w:bottom w:val="single" w:sz="4" w:space="0" w:color="D9D9D9" w:themeColor="background1" w:themeShade="D9"/>
            </w:tcBorders>
            <w:vAlign w:val="center"/>
          </w:tcPr>
          <w:p w:rsidR="00405DDF" w:rsidRPr="001F3658" w:rsidRDefault="001F3658" w:rsidP="00135693">
            <w:pPr>
              <w:autoSpaceDE w:val="0"/>
              <w:autoSpaceDN w:val="0"/>
              <w:adjustRightInd w:val="0"/>
              <w:ind w:right="57"/>
              <w:jc w:val="right"/>
              <w:rPr>
                <w:rFonts w:ascii="Calibri" w:eastAsia="Calibri" w:hAnsi="Calibri"/>
                <w:color w:val="5F5F5F"/>
                <w:szCs w:val="19"/>
              </w:rPr>
            </w:pPr>
            <w:r>
              <w:rPr>
                <w:rFonts w:ascii="Calibri" w:eastAsia="Calibri" w:hAnsi="Calibri"/>
                <w:color w:val="5F5F5F"/>
                <w:szCs w:val="19"/>
              </w:rPr>
              <w:t>64.81</w:t>
            </w:r>
          </w:p>
        </w:tc>
        <w:tc>
          <w:tcPr>
            <w:tcW w:w="1701" w:type="dxa"/>
            <w:tcBorders>
              <w:top w:val="single" w:sz="4" w:space="0" w:color="D9D9D9" w:themeColor="background1" w:themeShade="D9"/>
              <w:bottom w:val="single" w:sz="4" w:space="0" w:color="D9D9D9" w:themeColor="background1" w:themeShade="D9"/>
            </w:tcBorders>
            <w:vAlign w:val="center"/>
          </w:tcPr>
          <w:p w:rsidR="00405DDF" w:rsidRPr="001F3658" w:rsidRDefault="001F3658" w:rsidP="00135693">
            <w:pPr>
              <w:autoSpaceDE w:val="0"/>
              <w:autoSpaceDN w:val="0"/>
              <w:adjustRightInd w:val="0"/>
              <w:ind w:right="57"/>
              <w:jc w:val="right"/>
              <w:rPr>
                <w:rFonts w:ascii="Calibri" w:eastAsia="Calibri" w:hAnsi="Calibri"/>
                <w:color w:val="5F5F5F"/>
                <w:szCs w:val="19"/>
              </w:rPr>
            </w:pPr>
            <w:r>
              <w:rPr>
                <w:rFonts w:ascii="Calibri" w:eastAsia="Calibri" w:hAnsi="Calibri"/>
                <w:color w:val="5F5F5F"/>
                <w:szCs w:val="19"/>
              </w:rPr>
              <w:t>69.30</w:t>
            </w:r>
          </w:p>
        </w:tc>
      </w:tr>
    </w:tbl>
    <w:p w:rsidR="00405DDF" w:rsidRPr="00135693" w:rsidRDefault="00405DDF" w:rsidP="00135693">
      <w:pPr>
        <w:spacing w:before="240" w:after="60"/>
        <w:jc w:val="left"/>
        <w:rPr>
          <w:rFonts w:ascii="Calibri" w:hAnsi="Calibri"/>
          <w:b/>
          <w:color w:val="00305C"/>
          <w:sz w:val="22"/>
          <w:szCs w:val="22"/>
        </w:rPr>
      </w:pPr>
      <w:r w:rsidRPr="00135693">
        <w:rPr>
          <w:rFonts w:ascii="Calibri" w:hAnsi="Calibri"/>
          <w:b/>
          <w:color w:val="00305C"/>
          <w:sz w:val="22"/>
          <w:szCs w:val="22"/>
        </w:rPr>
        <w:t>Net financing costs</w:t>
      </w:r>
    </w:p>
    <w:p w:rsidR="00125D27" w:rsidRPr="00125D27" w:rsidRDefault="00125D27" w:rsidP="00135693">
      <w:pPr>
        <w:autoSpaceDE w:val="0"/>
        <w:autoSpaceDN w:val="0"/>
        <w:adjustRightInd w:val="0"/>
        <w:spacing w:after="120"/>
        <w:rPr>
          <w:rFonts w:ascii="Calibri" w:eastAsia="Calibri" w:hAnsi="Calibri"/>
          <w:color w:val="5F5F5F"/>
          <w:szCs w:val="19"/>
        </w:rPr>
      </w:pPr>
      <w:r w:rsidRPr="00125D27">
        <w:rPr>
          <w:rFonts w:ascii="Calibri" w:eastAsia="Calibri" w:hAnsi="Calibri"/>
          <w:color w:val="5F5F5F"/>
          <w:szCs w:val="19"/>
        </w:rPr>
        <w:t xml:space="preserve">The net interest charge for </w:t>
      </w:r>
      <w:r>
        <w:rPr>
          <w:rFonts w:ascii="Calibri" w:eastAsia="Calibri" w:hAnsi="Calibri"/>
          <w:color w:val="5F5F5F"/>
          <w:szCs w:val="19"/>
        </w:rPr>
        <w:t xml:space="preserve">the year was $48 million (2012: </w:t>
      </w:r>
      <w:r w:rsidRPr="00125D27">
        <w:rPr>
          <w:rFonts w:ascii="Calibri" w:eastAsia="Calibri" w:hAnsi="Calibri"/>
          <w:color w:val="5F5F5F"/>
          <w:szCs w:val="19"/>
        </w:rPr>
        <w:t>$49 million) and reflects an increase in finance revenue</w:t>
      </w:r>
      <w:r>
        <w:rPr>
          <w:rFonts w:ascii="Calibri" w:eastAsia="Calibri" w:hAnsi="Calibri"/>
          <w:color w:val="5F5F5F"/>
          <w:szCs w:val="19"/>
        </w:rPr>
        <w:t xml:space="preserve"> </w:t>
      </w:r>
      <w:r w:rsidRPr="00125D27">
        <w:rPr>
          <w:rFonts w:ascii="Calibri" w:eastAsia="Calibri" w:hAnsi="Calibri"/>
          <w:color w:val="5F5F5F"/>
          <w:szCs w:val="19"/>
        </w:rPr>
        <w:t>associated with the interest received on settlement of the</w:t>
      </w:r>
      <w:r>
        <w:rPr>
          <w:rFonts w:ascii="Calibri" w:eastAsia="Calibri" w:hAnsi="Calibri"/>
          <w:color w:val="5F5F5F"/>
          <w:szCs w:val="19"/>
        </w:rPr>
        <w:t xml:space="preserve"> </w:t>
      </w:r>
      <w:r w:rsidR="00744AF7">
        <w:rPr>
          <w:rFonts w:ascii="Calibri" w:eastAsia="Calibri" w:hAnsi="Calibri"/>
          <w:color w:val="5F5F5F"/>
          <w:szCs w:val="19"/>
        </w:rPr>
        <w:t>Heritage Oil and Gas High C</w:t>
      </w:r>
      <w:r w:rsidRPr="00125D27">
        <w:rPr>
          <w:rFonts w:ascii="Calibri" w:eastAsia="Calibri" w:hAnsi="Calibri"/>
          <w:color w:val="5F5F5F"/>
          <w:szCs w:val="19"/>
        </w:rPr>
        <w:t>ourt case offset by an increase in</w:t>
      </w:r>
      <w:r>
        <w:rPr>
          <w:rFonts w:ascii="Calibri" w:eastAsia="Calibri" w:hAnsi="Calibri"/>
          <w:color w:val="5F5F5F"/>
          <w:szCs w:val="19"/>
        </w:rPr>
        <w:t xml:space="preserve"> </w:t>
      </w:r>
      <w:r w:rsidRPr="00125D27">
        <w:rPr>
          <w:rFonts w:ascii="Calibri" w:eastAsia="Calibri" w:hAnsi="Calibri"/>
          <w:color w:val="5F5F5F"/>
          <w:szCs w:val="19"/>
        </w:rPr>
        <w:t>finance costs. The increase in finance costs is associated</w:t>
      </w:r>
      <w:r>
        <w:rPr>
          <w:rFonts w:ascii="Calibri" w:eastAsia="Calibri" w:hAnsi="Calibri"/>
          <w:color w:val="5F5F5F"/>
          <w:szCs w:val="19"/>
        </w:rPr>
        <w:t xml:space="preserve"> </w:t>
      </w:r>
      <w:r w:rsidRPr="00125D27">
        <w:rPr>
          <w:rFonts w:ascii="Calibri" w:eastAsia="Calibri" w:hAnsi="Calibri"/>
          <w:color w:val="5F5F5F"/>
          <w:szCs w:val="19"/>
        </w:rPr>
        <w:t>with the increase in net debt, but partially offset by an</w:t>
      </w:r>
      <w:r>
        <w:rPr>
          <w:rFonts w:ascii="Calibri" w:eastAsia="Calibri" w:hAnsi="Calibri"/>
          <w:color w:val="5F5F5F"/>
          <w:szCs w:val="19"/>
        </w:rPr>
        <w:t xml:space="preserve"> </w:t>
      </w:r>
      <w:r w:rsidRPr="00125D27">
        <w:rPr>
          <w:rFonts w:ascii="Calibri" w:eastAsia="Calibri" w:hAnsi="Calibri"/>
          <w:color w:val="5F5F5F"/>
          <w:szCs w:val="19"/>
        </w:rPr>
        <w:t>increase in capitalised interest due to commencement of the</w:t>
      </w:r>
      <w:r>
        <w:rPr>
          <w:rFonts w:ascii="Calibri" w:eastAsia="Calibri" w:hAnsi="Calibri"/>
          <w:color w:val="5F5F5F"/>
          <w:szCs w:val="19"/>
        </w:rPr>
        <w:t xml:space="preserve"> </w:t>
      </w:r>
      <w:r w:rsidRPr="00125D27">
        <w:rPr>
          <w:rFonts w:ascii="Calibri" w:eastAsia="Calibri" w:hAnsi="Calibri"/>
          <w:color w:val="5F5F5F"/>
          <w:szCs w:val="19"/>
        </w:rPr>
        <w:t>TEN development. The 2013 net interest charge includes</w:t>
      </w:r>
      <w:r>
        <w:rPr>
          <w:rFonts w:ascii="Calibri" w:eastAsia="Calibri" w:hAnsi="Calibri"/>
          <w:color w:val="5F5F5F"/>
          <w:szCs w:val="19"/>
        </w:rPr>
        <w:t xml:space="preserve"> </w:t>
      </w:r>
      <w:r w:rsidRPr="00125D27">
        <w:rPr>
          <w:rFonts w:ascii="Calibri" w:eastAsia="Calibri" w:hAnsi="Calibri"/>
          <w:color w:val="5F5F5F"/>
          <w:szCs w:val="19"/>
        </w:rPr>
        <w:t>interest incurred on the Group’s debt facilities and the</w:t>
      </w:r>
      <w:r>
        <w:rPr>
          <w:rFonts w:ascii="Calibri" w:eastAsia="Calibri" w:hAnsi="Calibri"/>
          <w:color w:val="5F5F5F"/>
          <w:szCs w:val="19"/>
        </w:rPr>
        <w:t xml:space="preserve"> </w:t>
      </w:r>
      <w:r w:rsidRPr="00125D27">
        <w:rPr>
          <w:rFonts w:ascii="Calibri" w:eastAsia="Calibri" w:hAnsi="Calibri"/>
          <w:color w:val="5F5F5F"/>
          <w:szCs w:val="19"/>
        </w:rPr>
        <w:t>decommissioning finance charge offset by interest earned on</w:t>
      </w:r>
      <w:r>
        <w:rPr>
          <w:rFonts w:ascii="Calibri" w:eastAsia="Calibri" w:hAnsi="Calibri"/>
          <w:color w:val="5F5F5F"/>
          <w:szCs w:val="19"/>
        </w:rPr>
        <w:t xml:space="preserve"> </w:t>
      </w:r>
      <w:r w:rsidRPr="00125D27">
        <w:rPr>
          <w:rFonts w:ascii="Calibri" w:eastAsia="Calibri" w:hAnsi="Calibri"/>
          <w:color w:val="5F5F5F"/>
          <w:szCs w:val="19"/>
        </w:rPr>
        <w:t>cash deposits and borrowing costs capitalised principally</w:t>
      </w:r>
      <w:r>
        <w:rPr>
          <w:rFonts w:ascii="Calibri" w:eastAsia="Calibri" w:hAnsi="Calibri"/>
          <w:color w:val="5F5F5F"/>
          <w:szCs w:val="19"/>
        </w:rPr>
        <w:t xml:space="preserve"> </w:t>
      </w:r>
      <w:r w:rsidRPr="00125D27">
        <w:rPr>
          <w:rFonts w:ascii="Calibri" w:eastAsia="Calibri" w:hAnsi="Calibri"/>
          <w:color w:val="5F5F5F"/>
          <w:szCs w:val="19"/>
        </w:rPr>
        <w:t>against the Ugandan assets.</w:t>
      </w:r>
    </w:p>
    <w:p w:rsidR="00405DDF" w:rsidRPr="00135693" w:rsidRDefault="00405DDF" w:rsidP="00135693">
      <w:pPr>
        <w:spacing w:before="240" w:after="60"/>
        <w:jc w:val="left"/>
        <w:rPr>
          <w:rFonts w:ascii="Calibri" w:hAnsi="Calibri"/>
          <w:b/>
          <w:color w:val="00305C"/>
          <w:sz w:val="22"/>
          <w:szCs w:val="22"/>
        </w:rPr>
      </w:pPr>
      <w:r w:rsidRPr="00135693">
        <w:rPr>
          <w:rFonts w:ascii="Calibri" w:hAnsi="Calibri"/>
          <w:b/>
          <w:color w:val="00305C"/>
          <w:sz w:val="22"/>
          <w:szCs w:val="22"/>
        </w:rPr>
        <w:t>Taxation</w:t>
      </w:r>
    </w:p>
    <w:p w:rsidR="00405DDF" w:rsidRPr="00125D27" w:rsidRDefault="00DF1D07" w:rsidP="00125D27">
      <w:pPr>
        <w:rPr>
          <w:rFonts w:ascii="Calibri" w:eastAsia="Calibri" w:hAnsi="Calibri"/>
          <w:color w:val="5F5F5F"/>
          <w:szCs w:val="19"/>
        </w:rPr>
      </w:pPr>
      <w:r>
        <w:rPr>
          <w:rFonts w:ascii="Calibri" w:eastAsia="Calibri" w:hAnsi="Calibri"/>
          <w:color w:val="5F5F5F"/>
          <w:szCs w:val="19"/>
        </w:rPr>
        <w:t>The tax charge of $97</w:t>
      </w:r>
      <w:r w:rsidR="00125D27" w:rsidRPr="00125D27">
        <w:rPr>
          <w:rFonts w:ascii="Calibri" w:eastAsia="Calibri" w:hAnsi="Calibri"/>
          <w:color w:val="5F5F5F"/>
          <w:szCs w:val="19"/>
        </w:rPr>
        <w:t xml:space="preserve"> million (2012: $450 million) relates to the Group’s North Sea, Gabon, Equatorial Guinea and Ghanaian production activities offset by the tax refund in relation to Norwegian exploration and deferred tax credits associated with exploration write-offs. After adjusting for exploration write-offs, the related deferred tax benefit in relation to the exploration write-offs and profits/losses on disposal, the Group’s underlying effective tax rate is 3</w:t>
      </w:r>
      <w:r w:rsidR="001808A9">
        <w:rPr>
          <w:rFonts w:ascii="Calibri" w:eastAsia="Calibri" w:hAnsi="Calibri"/>
          <w:color w:val="5F5F5F"/>
          <w:szCs w:val="19"/>
        </w:rPr>
        <w:t>2</w:t>
      </w:r>
      <w:r w:rsidR="00125D27" w:rsidRPr="00125D27">
        <w:rPr>
          <w:rFonts w:ascii="Calibri" w:eastAsia="Calibri" w:hAnsi="Calibri"/>
          <w:color w:val="5F5F5F"/>
          <w:szCs w:val="19"/>
        </w:rPr>
        <w:t>% (2012: 41%). The decrease in underlying effective tax rate is primarily a result of higher PSC income.</w:t>
      </w:r>
    </w:p>
    <w:p w:rsidR="00405DDF" w:rsidRPr="00135693" w:rsidRDefault="00405DDF" w:rsidP="00135693">
      <w:pPr>
        <w:spacing w:before="240" w:after="60"/>
        <w:jc w:val="left"/>
        <w:rPr>
          <w:rFonts w:ascii="Calibri" w:hAnsi="Calibri"/>
          <w:b/>
          <w:color w:val="00305C"/>
          <w:sz w:val="22"/>
          <w:szCs w:val="22"/>
        </w:rPr>
      </w:pPr>
      <w:r w:rsidRPr="00135693">
        <w:rPr>
          <w:rFonts w:ascii="Calibri" w:hAnsi="Calibri"/>
          <w:b/>
          <w:color w:val="00305C"/>
          <w:sz w:val="22"/>
          <w:szCs w:val="22"/>
        </w:rPr>
        <w:t>Profit from continuing activities and basic earnings per share</w:t>
      </w:r>
    </w:p>
    <w:p w:rsidR="00125D27" w:rsidRPr="00125D27" w:rsidRDefault="00125D27" w:rsidP="00125D27">
      <w:pPr>
        <w:rPr>
          <w:rFonts w:ascii="Calibri" w:eastAsia="Calibri" w:hAnsi="Calibri"/>
          <w:color w:val="5F5F5F"/>
          <w:szCs w:val="19"/>
        </w:rPr>
      </w:pPr>
      <w:r w:rsidRPr="00125D27">
        <w:rPr>
          <w:rFonts w:ascii="Calibri" w:eastAsia="Calibri" w:hAnsi="Calibri"/>
          <w:color w:val="5F5F5F"/>
          <w:szCs w:val="19"/>
        </w:rPr>
        <w:t xml:space="preserve">Profit for the year from continuing activities decreased </w:t>
      </w:r>
      <w:r w:rsidR="00DF1D07">
        <w:rPr>
          <w:rFonts w:ascii="Calibri" w:eastAsia="Calibri" w:hAnsi="Calibri"/>
          <w:color w:val="5F5F5F"/>
          <w:szCs w:val="19"/>
        </w:rPr>
        <w:t xml:space="preserve">by </w:t>
      </w:r>
      <w:r w:rsidRPr="00125D27">
        <w:rPr>
          <w:rFonts w:ascii="Calibri" w:eastAsia="Calibri" w:hAnsi="Calibri"/>
          <w:color w:val="5F5F5F"/>
          <w:szCs w:val="19"/>
        </w:rPr>
        <w:t>68% to $216 million (2012: $666 mil</w:t>
      </w:r>
      <w:r w:rsidR="004A00E3">
        <w:rPr>
          <w:rFonts w:ascii="Calibri" w:eastAsia="Calibri" w:hAnsi="Calibri"/>
          <w:color w:val="5F5F5F"/>
          <w:szCs w:val="19"/>
        </w:rPr>
        <w:t xml:space="preserve">lion). Basic earnings per share </w:t>
      </w:r>
      <w:r w:rsidRPr="00125D27">
        <w:rPr>
          <w:rFonts w:ascii="Calibri" w:eastAsia="Calibri" w:hAnsi="Calibri"/>
          <w:color w:val="5F5F5F"/>
          <w:szCs w:val="19"/>
        </w:rPr>
        <w:t>decreased by 73% to 18.6 cents (2012: 68.8 cents).</w:t>
      </w:r>
    </w:p>
    <w:p w:rsidR="00405DDF" w:rsidRPr="00125D27" w:rsidRDefault="00405DDF" w:rsidP="00135693">
      <w:pPr>
        <w:spacing w:before="240" w:after="60"/>
        <w:jc w:val="left"/>
        <w:rPr>
          <w:rFonts w:ascii="Calibri" w:hAnsi="Calibri"/>
          <w:b/>
          <w:color w:val="002B45"/>
          <w:sz w:val="22"/>
          <w:szCs w:val="22"/>
        </w:rPr>
      </w:pPr>
      <w:r w:rsidRPr="00135693">
        <w:rPr>
          <w:rFonts w:ascii="Calibri" w:hAnsi="Calibri"/>
          <w:b/>
          <w:color w:val="00305C"/>
          <w:sz w:val="22"/>
          <w:szCs w:val="22"/>
        </w:rPr>
        <w:t xml:space="preserve">Dividend per share </w:t>
      </w:r>
    </w:p>
    <w:p w:rsidR="00125D27" w:rsidRPr="00125D27" w:rsidRDefault="00125D27" w:rsidP="00125D27">
      <w:pPr>
        <w:rPr>
          <w:rFonts w:ascii="Calibri" w:eastAsia="Calibri" w:hAnsi="Calibri"/>
          <w:color w:val="5F5F5F"/>
          <w:szCs w:val="19"/>
        </w:rPr>
      </w:pPr>
      <w:r w:rsidRPr="00125D27">
        <w:rPr>
          <w:rFonts w:ascii="Calibri" w:eastAsia="Calibri" w:hAnsi="Calibri"/>
          <w:color w:val="5F5F5F"/>
          <w:szCs w:val="19"/>
        </w:rPr>
        <w:t xml:space="preserve">The Board is proposing a final dividend of 8.0 pence per share (2012: 8.0 pence per share). The dividend will be paid on </w:t>
      </w:r>
      <w:r w:rsidR="00A8510D">
        <w:rPr>
          <w:rFonts w:ascii="Calibri" w:eastAsia="Calibri" w:hAnsi="Calibri"/>
          <w:color w:val="5F5F5F"/>
          <w:szCs w:val="19"/>
        </w:rPr>
        <w:t>9</w:t>
      </w:r>
      <w:r w:rsidRPr="00125D27">
        <w:rPr>
          <w:rFonts w:ascii="Calibri" w:eastAsia="Calibri" w:hAnsi="Calibri"/>
          <w:color w:val="5F5F5F"/>
          <w:szCs w:val="19"/>
        </w:rPr>
        <w:t xml:space="preserve"> May 2014 to shareholders on the register on </w:t>
      </w:r>
      <w:r w:rsidR="00DF1D07">
        <w:rPr>
          <w:rFonts w:ascii="Calibri" w:eastAsia="Calibri" w:hAnsi="Calibri"/>
          <w:color w:val="5F5F5F"/>
          <w:szCs w:val="19"/>
        </w:rPr>
        <w:t>4</w:t>
      </w:r>
      <w:r w:rsidRPr="00125D27">
        <w:rPr>
          <w:rFonts w:ascii="Calibri" w:eastAsia="Calibri" w:hAnsi="Calibri"/>
          <w:color w:val="5F5F5F"/>
          <w:szCs w:val="19"/>
        </w:rPr>
        <w:t xml:space="preserve"> April 2014</w:t>
      </w:r>
      <w:r w:rsidR="00DF1D07">
        <w:rPr>
          <w:rFonts w:ascii="Calibri" w:eastAsia="Calibri" w:hAnsi="Calibri"/>
          <w:color w:val="5F5F5F"/>
          <w:szCs w:val="19"/>
        </w:rPr>
        <w:t xml:space="preserve"> subject to the </w:t>
      </w:r>
      <w:r w:rsidR="00255645">
        <w:rPr>
          <w:rFonts w:ascii="Calibri" w:eastAsia="Calibri" w:hAnsi="Calibri"/>
          <w:color w:val="5F5F5F"/>
          <w:szCs w:val="19"/>
        </w:rPr>
        <w:t>approval</w:t>
      </w:r>
      <w:r w:rsidR="00DF1D07">
        <w:rPr>
          <w:rFonts w:ascii="Calibri" w:eastAsia="Calibri" w:hAnsi="Calibri"/>
          <w:color w:val="5F5F5F"/>
          <w:szCs w:val="19"/>
        </w:rPr>
        <w:t xml:space="preserve"> of shareholders at the Annual General Meeting to be held on 30 April 2014</w:t>
      </w:r>
      <w:r w:rsidRPr="00125D27">
        <w:rPr>
          <w:rFonts w:ascii="Calibri" w:eastAsia="Calibri" w:hAnsi="Calibri"/>
          <w:color w:val="5F5F5F"/>
          <w:szCs w:val="19"/>
        </w:rPr>
        <w:t xml:space="preserve">. Shareholders with registered addresses in the UK will be paid their dividends in pounds Sterling. Those with registered addresses in European countries which have adopted the Euro will be paid their dividends in Euro. Such shareholders may, however, elect to be paid their dividends in either pounds Sterling or Euro, provided such election is received at the Company’s registrars by </w:t>
      </w:r>
      <w:r w:rsidR="00E24055">
        <w:rPr>
          <w:rFonts w:ascii="Calibri" w:eastAsia="Calibri" w:hAnsi="Calibri"/>
          <w:color w:val="5F5F5F"/>
          <w:szCs w:val="19"/>
        </w:rPr>
        <w:t>15 April 2014</w:t>
      </w:r>
      <w:r w:rsidRPr="00125D27">
        <w:rPr>
          <w:rFonts w:ascii="Calibri" w:eastAsia="Calibri" w:hAnsi="Calibri"/>
          <w:color w:val="5F5F5F"/>
          <w:szCs w:val="19"/>
        </w:rPr>
        <w:t xml:space="preserve">. Shareholders on the Ghana branch register will be paid their dividends in Ghana Cedis. The conversion rate for the dividend payments in Euro or Ghana Cedis will be determined using the applicable exchange rate on </w:t>
      </w:r>
      <w:r w:rsidR="00E24055">
        <w:rPr>
          <w:rFonts w:ascii="Calibri" w:eastAsia="Calibri" w:hAnsi="Calibri"/>
          <w:color w:val="5F5F5F"/>
          <w:szCs w:val="19"/>
        </w:rPr>
        <w:t>16 April 2014</w:t>
      </w:r>
      <w:r w:rsidRPr="00125D27">
        <w:rPr>
          <w:rFonts w:ascii="Calibri" w:eastAsia="Calibri" w:hAnsi="Calibri"/>
          <w:color w:val="5F5F5F"/>
          <w:szCs w:val="19"/>
        </w:rPr>
        <w:t>.</w:t>
      </w:r>
      <w:r w:rsidR="00DF1D07">
        <w:rPr>
          <w:rFonts w:ascii="Calibri" w:eastAsia="Calibri" w:hAnsi="Calibri"/>
          <w:color w:val="5F5F5F"/>
          <w:szCs w:val="19"/>
        </w:rPr>
        <w:t xml:space="preserve"> A dividend re-investment plan (DRIP) is available to shareholders on the UK register who would prefer to invest their dividends in the shares of the Company. The last date to elect for the DRIP and to qualify for the share alternative in respect of this dividend is 15 April 2014. </w:t>
      </w:r>
    </w:p>
    <w:p w:rsidR="00405DDF" w:rsidRPr="00135693" w:rsidRDefault="00405DDF" w:rsidP="00135693">
      <w:pPr>
        <w:spacing w:before="240" w:after="60"/>
        <w:jc w:val="left"/>
        <w:rPr>
          <w:rFonts w:ascii="Calibri" w:hAnsi="Calibri"/>
          <w:b/>
          <w:color w:val="00305C"/>
          <w:sz w:val="22"/>
          <w:szCs w:val="22"/>
        </w:rPr>
      </w:pPr>
      <w:r w:rsidRPr="00135693">
        <w:rPr>
          <w:rFonts w:ascii="Calibri" w:hAnsi="Calibri"/>
          <w:b/>
          <w:color w:val="00305C"/>
          <w:sz w:val="22"/>
          <w:szCs w:val="22"/>
        </w:rPr>
        <w:t>Operating cash flow</w:t>
      </w:r>
    </w:p>
    <w:p w:rsidR="001F4632" w:rsidRDefault="00125D27" w:rsidP="004A00E3">
      <w:pPr>
        <w:rPr>
          <w:rFonts w:ascii="Calibri" w:eastAsia="Calibri" w:hAnsi="Calibri"/>
          <w:color w:val="5F5F5F"/>
          <w:szCs w:val="19"/>
        </w:rPr>
      </w:pPr>
      <w:r w:rsidRPr="00125D27">
        <w:rPr>
          <w:rFonts w:ascii="Calibri" w:eastAsia="Calibri" w:hAnsi="Calibri"/>
          <w:color w:val="5F5F5F"/>
          <w:szCs w:val="19"/>
        </w:rPr>
        <w:t>Operating cash flow b</w:t>
      </w:r>
      <w:r>
        <w:rPr>
          <w:rFonts w:ascii="Calibri" w:eastAsia="Calibri" w:hAnsi="Calibri"/>
          <w:color w:val="5F5F5F"/>
          <w:szCs w:val="19"/>
        </w:rPr>
        <w:t xml:space="preserve">efore working capital movements </w:t>
      </w:r>
      <w:r w:rsidRPr="00125D27">
        <w:rPr>
          <w:rFonts w:ascii="Calibri" w:eastAsia="Calibri" w:hAnsi="Calibri"/>
          <w:color w:val="5F5F5F"/>
          <w:szCs w:val="19"/>
        </w:rPr>
        <w:t xml:space="preserve">increased by </w:t>
      </w:r>
      <w:r w:rsidR="00255645">
        <w:rPr>
          <w:rFonts w:ascii="Calibri" w:eastAsia="Calibri" w:hAnsi="Calibri"/>
          <w:color w:val="5F5F5F"/>
          <w:szCs w:val="19"/>
        </w:rPr>
        <w:t>7</w:t>
      </w:r>
      <w:r w:rsidRPr="00125D27">
        <w:rPr>
          <w:rFonts w:ascii="Calibri" w:eastAsia="Calibri" w:hAnsi="Calibri"/>
          <w:color w:val="5F5F5F"/>
          <w:szCs w:val="19"/>
        </w:rPr>
        <w:t>% to $1.9 billion (2012: $1.8 billion) as a result</w:t>
      </w:r>
      <w:r>
        <w:rPr>
          <w:rFonts w:ascii="Calibri" w:eastAsia="Calibri" w:hAnsi="Calibri"/>
          <w:color w:val="5F5F5F"/>
          <w:szCs w:val="19"/>
        </w:rPr>
        <w:t xml:space="preserve"> </w:t>
      </w:r>
      <w:r w:rsidRPr="00125D27">
        <w:rPr>
          <w:rFonts w:ascii="Calibri" w:eastAsia="Calibri" w:hAnsi="Calibri"/>
          <w:color w:val="5F5F5F"/>
          <w:szCs w:val="19"/>
        </w:rPr>
        <w:t>of increased sales volumes from Jubilee, offset by higher</w:t>
      </w:r>
      <w:r>
        <w:rPr>
          <w:rFonts w:ascii="Calibri" w:eastAsia="Calibri" w:hAnsi="Calibri"/>
          <w:color w:val="5F5F5F"/>
          <w:szCs w:val="19"/>
        </w:rPr>
        <w:t xml:space="preserve"> </w:t>
      </w:r>
      <w:r w:rsidRPr="00125D27">
        <w:rPr>
          <w:rFonts w:ascii="Calibri" w:eastAsia="Calibri" w:hAnsi="Calibri"/>
          <w:color w:val="5F5F5F"/>
          <w:szCs w:val="19"/>
        </w:rPr>
        <w:t>cash operating costs. In 2013, this cash flow together with</w:t>
      </w:r>
      <w:r>
        <w:rPr>
          <w:rFonts w:ascii="Calibri" w:eastAsia="Calibri" w:hAnsi="Calibri"/>
          <w:color w:val="5F5F5F"/>
          <w:szCs w:val="19"/>
        </w:rPr>
        <w:t xml:space="preserve"> </w:t>
      </w:r>
      <w:r w:rsidRPr="00125D27">
        <w:rPr>
          <w:rFonts w:ascii="Calibri" w:eastAsia="Calibri" w:hAnsi="Calibri"/>
          <w:color w:val="5F5F5F"/>
          <w:szCs w:val="19"/>
        </w:rPr>
        <w:t>increased debt facilities helped fund $2.0 billion capital</w:t>
      </w:r>
      <w:r>
        <w:rPr>
          <w:rFonts w:ascii="Calibri" w:eastAsia="Calibri" w:hAnsi="Calibri"/>
          <w:color w:val="5F5F5F"/>
          <w:szCs w:val="19"/>
        </w:rPr>
        <w:t xml:space="preserve"> </w:t>
      </w:r>
      <w:r w:rsidRPr="00125D27">
        <w:rPr>
          <w:rFonts w:ascii="Calibri" w:eastAsia="Calibri" w:hAnsi="Calibri"/>
          <w:color w:val="5F5F5F"/>
          <w:szCs w:val="19"/>
        </w:rPr>
        <w:t>expenditure in exploration and development activities,</w:t>
      </w:r>
      <w:r>
        <w:rPr>
          <w:rFonts w:ascii="Calibri" w:eastAsia="Calibri" w:hAnsi="Calibri"/>
          <w:color w:val="5F5F5F"/>
          <w:szCs w:val="19"/>
        </w:rPr>
        <w:t xml:space="preserve"> </w:t>
      </w:r>
      <w:r w:rsidRPr="00125D27">
        <w:rPr>
          <w:rFonts w:ascii="Calibri" w:eastAsia="Calibri" w:hAnsi="Calibri"/>
          <w:color w:val="5F5F5F"/>
          <w:szCs w:val="19"/>
        </w:rPr>
        <w:t>$298 million payment of dividends and the servicing of</w:t>
      </w:r>
      <w:r>
        <w:rPr>
          <w:rFonts w:ascii="Calibri" w:eastAsia="Calibri" w:hAnsi="Calibri"/>
          <w:color w:val="5F5F5F"/>
          <w:szCs w:val="19"/>
        </w:rPr>
        <w:t xml:space="preserve"> </w:t>
      </w:r>
      <w:r w:rsidRPr="00125D27">
        <w:rPr>
          <w:rFonts w:ascii="Calibri" w:eastAsia="Calibri" w:hAnsi="Calibri"/>
          <w:color w:val="5F5F5F"/>
          <w:szCs w:val="19"/>
        </w:rPr>
        <w:t>debt facilities.</w:t>
      </w:r>
    </w:p>
    <w:p w:rsidR="006B21A3" w:rsidRPr="00135693" w:rsidRDefault="006B21A3" w:rsidP="00135693">
      <w:pPr>
        <w:spacing w:before="240" w:after="60"/>
        <w:jc w:val="left"/>
        <w:rPr>
          <w:rFonts w:ascii="Calibri" w:hAnsi="Calibri"/>
          <w:b/>
          <w:color w:val="00305C"/>
          <w:sz w:val="22"/>
          <w:szCs w:val="22"/>
        </w:rPr>
      </w:pPr>
      <w:r w:rsidRPr="00135693">
        <w:rPr>
          <w:rFonts w:ascii="Calibri" w:hAnsi="Calibri"/>
          <w:b/>
          <w:color w:val="00305C"/>
          <w:sz w:val="22"/>
          <w:szCs w:val="22"/>
        </w:rPr>
        <w:t>Capital expenditure</w:t>
      </w:r>
    </w:p>
    <w:p w:rsidR="006B4FE1" w:rsidRDefault="004A00E3" w:rsidP="00255645">
      <w:pPr>
        <w:rPr>
          <w:rFonts w:ascii="Calibri" w:hAnsi="Calibri"/>
          <w:b/>
          <w:color w:val="00305C"/>
          <w:sz w:val="22"/>
          <w:szCs w:val="22"/>
        </w:rPr>
      </w:pPr>
      <w:r w:rsidRPr="004A00E3">
        <w:rPr>
          <w:rFonts w:ascii="Calibri" w:eastAsia="Calibri" w:hAnsi="Calibri"/>
          <w:color w:val="5F5F5F"/>
          <w:szCs w:val="19"/>
        </w:rPr>
        <w:t xml:space="preserve">2013 capital expenditure </w:t>
      </w:r>
      <w:r>
        <w:rPr>
          <w:rFonts w:ascii="Calibri" w:eastAsia="Calibri" w:hAnsi="Calibri"/>
          <w:color w:val="5F5F5F"/>
          <w:szCs w:val="19"/>
        </w:rPr>
        <w:t xml:space="preserve">amounted to $1.8 billion (2012: </w:t>
      </w:r>
      <w:r w:rsidRPr="004A00E3">
        <w:rPr>
          <w:rFonts w:ascii="Calibri" w:eastAsia="Calibri" w:hAnsi="Calibri"/>
          <w:color w:val="5F5F5F"/>
          <w:szCs w:val="19"/>
        </w:rPr>
        <w:t xml:space="preserve">$1.9 billion) (net of </w:t>
      </w:r>
      <w:r w:rsidR="00255645">
        <w:rPr>
          <w:rFonts w:ascii="Calibri" w:eastAsia="Calibri" w:hAnsi="Calibri"/>
          <w:color w:val="5F5F5F"/>
          <w:szCs w:val="19"/>
        </w:rPr>
        <w:t>Norwegian</w:t>
      </w:r>
      <w:r w:rsidRPr="004A00E3">
        <w:rPr>
          <w:rFonts w:ascii="Calibri" w:eastAsia="Calibri" w:hAnsi="Calibri"/>
          <w:color w:val="5F5F5F"/>
          <w:szCs w:val="19"/>
        </w:rPr>
        <w:t xml:space="preserve"> tax) with 38% invested in</w:t>
      </w:r>
      <w:r>
        <w:rPr>
          <w:rFonts w:ascii="Calibri" w:eastAsia="Calibri" w:hAnsi="Calibri"/>
          <w:color w:val="5F5F5F"/>
          <w:szCs w:val="19"/>
        </w:rPr>
        <w:t xml:space="preserve"> </w:t>
      </w:r>
      <w:r w:rsidRPr="004A00E3">
        <w:rPr>
          <w:rFonts w:ascii="Calibri" w:eastAsia="Calibri" w:hAnsi="Calibri"/>
          <w:color w:val="5F5F5F"/>
          <w:szCs w:val="19"/>
        </w:rPr>
        <w:t>development activities, 12% in appraisal activities and 50% in</w:t>
      </w:r>
      <w:r>
        <w:rPr>
          <w:rFonts w:ascii="Calibri" w:eastAsia="Calibri" w:hAnsi="Calibri"/>
          <w:color w:val="5F5F5F"/>
          <w:szCs w:val="19"/>
        </w:rPr>
        <w:t xml:space="preserve"> </w:t>
      </w:r>
      <w:r w:rsidRPr="004A00E3">
        <w:rPr>
          <w:rFonts w:ascii="Calibri" w:eastAsia="Calibri" w:hAnsi="Calibri"/>
          <w:color w:val="5F5F5F"/>
          <w:szCs w:val="19"/>
        </w:rPr>
        <w:t>exploration activities. More than 40% of the total was</w:t>
      </w:r>
      <w:r>
        <w:rPr>
          <w:rFonts w:ascii="Calibri" w:eastAsia="Calibri" w:hAnsi="Calibri"/>
          <w:color w:val="5F5F5F"/>
          <w:szCs w:val="19"/>
        </w:rPr>
        <w:t xml:space="preserve"> </w:t>
      </w:r>
      <w:r w:rsidRPr="004A00E3">
        <w:rPr>
          <w:rFonts w:ascii="Calibri" w:eastAsia="Calibri" w:hAnsi="Calibri"/>
          <w:color w:val="5F5F5F"/>
          <w:szCs w:val="19"/>
        </w:rPr>
        <w:t>invested in Kenya, Ghana and Uganda and over 70%, more</w:t>
      </w:r>
      <w:r>
        <w:rPr>
          <w:rFonts w:ascii="Calibri" w:eastAsia="Calibri" w:hAnsi="Calibri"/>
          <w:color w:val="5F5F5F"/>
          <w:szCs w:val="19"/>
        </w:rPr>
        <w:t xml:space="preserve"> </w:t>
      </w:r>
      <w:r w:rsidRPr="004A00E3">
        <w:rPr>
          <w:rFonts w:ascii="Calibri" w:eastAsia="Calibri" w:hAnsi="Calibri"/>
          <w:color w:val="5F5F5F"/>
          <w:szCs w:val="19"/>
        </w:rPr>
        <w:t>than $1.3 billion, was invested in Africa. Based on current</w:t>
      </w:r>
      <w:r>
        <w:rPr>
          <w:rFonts w:ascii="Calibri" w:eastAsia="Calibri" w:hAnsi="Calibri"/>
          <w:color w:val="5F5F5F"/>
          <w:szCs w:val="19"/>
        </w:rPr>
        <w:t xml:space="preserve"> </w:t>
      </w:r>
      <w:r w:rsidRPr="004A00E3">
        <w:rPr>
          <w:rFonts w:ascii="Calibri" w:eastAsia="Calibri" w:hAnsi="Calibri"/>
          <w:color w:val="5F5F5F"/>
          <w:szCs w:val="19"/>
        </w:rPr>
        <w:t>estimates and work programmes, 2014 capital expenditure is</w:t>
      </w:r>
      <w:r>
        <w:rPr>
          <w:rFonts w:ascii="Calibri" w:eastAsia="Calibri" w:hAnsi="Calibri"/>
          <w:color w:val="5F5F5F"/>
          <w:szCs w:val="19"/>
        </w:rPr>
        <w:t xml:space="preserve"> </w:t>
      </w:r>
      <w:r w:rsidRPr="004A00E3">
        <w:rPr>
          <w:rFonts w:ascii="Calibri" w:eastAsia="Calibri" w:hAnsi="Calibri"/>
          <w:color w:val="5F5F5F"/>
          <w:szCs w:val="19"/>
        </w:rPr>
        <w:t xml:space="preserve">forecast to reach $2.2 billion (net of </w:t>
      </w:r>
      <w:r w:rsidR="00255645">
        <w:rPr>
          <w:rFonts w:ascii="Calibri" w:eastAsia="Calibri" w:hAnsi="Calibri"/>
          <w:color w:val="5F5F5F"/>
          <w:szCs w:val="19"/>
        </w:rPr>
        <w:t>Norwegian</w:t>
      </w:r>
      <w:r w:rsidR="00255645" w:rsidRPr="004A00E3">
        <w:rPr>
          <w:rFonts w:ascii="Calibri" w:eastAsia="Calibri" w:hAnsi="Calibri"/>
          <w:color w:val="5F5F5F"/>
          <w:szCs w:val="19"/>
        </w:rPr>
        <w:t xml:space="preserve"> </w:t>
      </w:r>
      <w:r w:rsidRPr="004A00E3">
        <w:rPr>
          <w:rFonts w:ascii="Calibri" w:eastAsia="Calibri" w:hAnsi="Calibri"/>
          <w:color w:val="5F5F5F"/>
          <w:szCs w:val="19"/>
        </w:rPr>
        <w:t>tax).</w:t>
      </w:r>
    </w:p>
    <w:p w:rsidR="00772C45" w:rsidRDefault="00772C45" w:rsidP="00135693">
      <w:pPr>
        <w:spacing w:before="240" w:after="60"/>
        <w:jc w:val="left"/>
        <w:rPr>
          <w:rFonts w:ascii="Calibri" w:hAnsi="Calibri"/>
          <w:b/>
          <w:color w:val="00305C"/>
          <w:sz w:val="22"/>
          <w:szCs w:val="22"/>
        </w:rPr>
      </w:pPr>
    </w:p>
    <w:p w:rsidR="00772C45" w:rsidRDefault="00772C45" w:rsidP="00135693">
      <w:pPr>
        <w:spacing w:before="240" w:after="60"/>
        <w:jc w:val="left"/>
        <w:rPr>
          <w:rFonts w:ascii="Calibri" w:hAnsi="Calibri"/>
          <w:b/>
          <w:color w:val="00305C"/>
          <w:sz w:val="22"/>
          <w:szCs w:val="22"/>
        </w:rPr>
      </w:pPr>
    </w:p>
    <w:p w:rsidR="00772C45" w:rsidRDefault="00772C45" w:rsidP="00135693">
      <w:pPr>
        <w:spacing w:before="240" w:after="60"/>
        <w:jc w:val="left"/>
        <w:rPr>
          <w:rFonts w:ascii="Calibri" w:hAnsi="Calibri"/>
          <w:b/>
          <w:color w:val="00305C"/>
          <w:sz w:val="22"/>
          <w:szCs w:val="22"/>
        </w:rPr>
      </w:pPr>
    </w:p>
    <w:p w:rsidR="00871692" w:rsidRDefault="006B21A3" w:rsidP="00135693">
      <w:pPr>
        <w:spacing w:before="240" w:after="60"/>
        <w:jc w:val="left"/>
        <w:rPr>
          <w:rFonts w:ascii="Calibri" w:hAnsi="Calibri"/>
          <w:b/>
          <w:color w:val="002B45"/>
          <w:sz w:val="22"/>
          <w:szCs w:val="22"/>
        </w:rPr>
      </w:pPr>
      <w:r w:rsidRPr="00135693">
        <w:rPr>
          <w:rFonts w:ascii="Calibri" w:hAnsi="Calibri"/>
          <w:b/>
          <w:color w:val="00305C"/>
          <w:sz w:val="22"/>
          <w:szCs w:val="22"/>
        </w:rPr>
        <w:t xml:space="preserve">Portfolio management </w:t>
      </w:r>
    </w:p>
    <w:p w:rsidR="004A00E3" w:rsidRPr="004A00E3" w:rsidRDefault="004A00E3" w:rsidP="004A00E3">
      <w:pPr>
        <w:rPr>
          <w:rFonts w:ascii="Calibri" w:eastAsia="Calibri" w:hAnsi="Calibri"/>
          <w:color w:val="5F5F5F"/>
          <w:szCs w:val="19"/>
        </w:rPr>
      </w:pPr>
      <w:r w:rsidRPr="004A00E3">
        <w:rPr>
          <w:rFonts w:ascii="Calibri" w:eastAsia="Calibri" w:hAnsi="Calibri"/>
          <w:color w:val="5F5F5F"/>
          <w:szCs w:val="19"/>
        </w:rPr>
        <w:t xml:space="preserve">During December 2013 the Bangladesh asset sale completed resulting in receipt of $41 million in proceeds. On 11 October 2013, Tullow signed a Sales and Purchase agreement with Ocean Pakistan Limited, a part of the Hashoo Group, for the sale of Tullow’s 100% owned Pakistan subsidiary (TPDL). Government and regulatory approval has been requested and is expected in </w:t>
      </w:r>
      <w:r w:rsidR="008227C9">
        <w:rPr>
          <w:rFonts w:ascii="Calibri" w:eastAsia="Calibri" w:hAnsi="Calibri"/>
          <w:color w:val="5F5F5F"/>
          <w:szCs w:val="19"/>
        </w:rPr>
        <w:t xml:space="preserve">early </w:t>
      </w:r>
      <w:r w:rsidRPr="004A00E3">
        <w:rPr>
          <w:rFonts w:ascii="Calibri" w:eastAsia="Calibri" w:hAnsi="Calibri"/>
          <w:color w:val="5F5F5F"/>
          <w:szCs w:val="19"/>
        </w:rPr>
        <w:t xml:space="preserve">2014. The Southern North Sea asset sale is being restructured and sales of parts of this portfolio </w:t>
      </w:r>
      <w:r w:rsidR="00255645">
        <w:rPr>
          <w:rFonts w:ascii="Calibri" w:eastAsia="Calibri" w:hAnsi="Calibri"/>
          <w:color w:val="5F5F5F"/>
          <w:szCs w:val="19"/>
        </w:rPr>
        <w:t>are</w:t>
      </w:r>
      <w:r w:rsidRPr="004A00E3">
        <w:rPr>
          <w:rFonts w:ascii="Calibri" w:eastAsia="Calibri" w:hAnsi="Calibri"/>
          <w:color w:val="5F5F5F"/>
          <w:szCs w:val="19"/>
        </w:rPr>
        <w:t xml:space="preserve"> expected to occur </w:t>
      </w:r>
      <w:r w:rsidR="00F92BB9">
        <w:rPr>
          <w:rFonts w:ascii="Calibri" w:eastAsia="Calibri" w:hAnsi="Calibri"/>
          <w:color w:val="5F5F5F"/>
          <w:szCs w:val="19"/>
        </w:rPr>
        <w:t>gradually</w:t>
      </w:r>
      <w:r w:rsidRPr="004A00E3">
        <w:rPr>
          <w:rFonts w:ascii="Calibri" w:eastAsia="Calibri" w:hAnsi="Calibri"/>
          <w:color w:val="5F5F5F"/>
          <w:szCs w:val="19"/>
        </w:rPr>
        <w:t>. Following the receipt of initial bids, it became clear that the sales strategy needed to be adjusted to reflect current market conditions and to ensure that Tullow receives appropriate value from assets that are performing well with strong cash flows and have further exploration upside. The process to farm down Tullow’s interest in the TEN Development is ongoing with proposals being evaluated.</w:t>
      </w:r>
    </w:p>
    <w:p w:rsidR="006B21A3" w:rsidRDefault="006B21A3" w:rsidP="00135693">
      <w:pPr>
        <w:spacing w:before="240" w:after="60"/>
        <w:jc w:val="left"/>
        <w:rPr>
          <w:rFonts w:ascii="Calibri" w:hAnsi="Calibri"/>
          <w:b/>
          <w:color w:val="002B45"/>
          <w:sz w:val="22"/>
          <w:szCs w:val="22"/>
        </w:rPr>
      </w:pPr>
      <w:r w:rsidRPr="00135693">
        <w:rPr>
          <w:rFonts w:ascii="Calibri" w:hAnsi="Calibri"/>
          <w:b/>
          <w:color w:val="00305C"/>
          <w:sz w:val="22"/>
          <w:szCs w:val="22"/>
        </w:rPr>
        <w:t>Net debt and financing</w:t>
      </w:r>
    </w:p>
    <w:p w:rsidR="004A00E3" w:rsidRPr="004A00E3" w:rsidRDefault="004A00E3" w:rsidP="00F364BD">
      <w:pPr>
        <w:spacing w:after="120"/>
        <w:rPr>
          <w:rFonts w:ascii="Calibri" w:eastAsia="Calibri" w:hAnsi="Calibri"/>
          <w:color w:val="5F5F5F"/>
          <w:szCs w:val="19"/>
        </w:rPr>
      </w:pPr>
      <w:r w:rsidRPr="004A00E3">
        <w:rPr>
          <w:rFonts w:ascii="Calibri" w:eastAsia="Calibri" w:hAnsi="Calibri"/>
          <w:color w:val="5F5F5F"/>
          <w:szCs w:val="19"/>
        </w:rPr>
        <w:t xml:space="preserve">On 6 November 2013, Tullow completed an offering of $650 million of 6% senior notes due in 2020 having originally offered $500 million. The net proceeds have been used to repay existing indebtedness under the Company’s credit facilities but not cancel commitments under such facilities. </w:t>
      </w:r>
      <w:r w:rsidR="00A8510D">
        <w:rPr>
          <w:rFonts w:ascii="Calibri" w:eastAsia="Calibri" w:hAnsi="Calibri"/>
          <w:color w:val="5F5F5F"/>
          <w:szCs w:val="19"/>
        </w:rPr>
        <w:t>This inaugural bond issue was an important step in the evolution of Tullow’s capital structure and reduced the dependence on commercial bank lending by opening up access to a new source of debt capital</w:t>
      </w:r>
      <w:r w:rsidRPr="004A00E3">
        <w:rPr>
          <w:rFonts w:ascii="Calibri" w:eastAsia="Calibri" w:hAnsi="Calibri"/>
          <w:color w:val="5F5F5F"/>
          <w:szCs w:val="19"/>
        </w:rPr>
        <w:t>. Commitments under the Reserves Based Lending credit facility remain unchanged at $3.5 billion from 2012 as do commitments under the Revolving credit facility of $0.5 billion. At 31 December 2013, Tullow had net debt of $1.9 billion (2012: $1.0 billion). Unutilised debt capacity at year-end amounted to approximately $2.4 billion. Gearing was 35% (2012: 19%) and EBITDA interest cover decreased to 40.2 times (2012: 48.3 times). Total net assets at 31 December 2013 amounted to $5.4 billion (31 December 2012: $5.3 billion) with the increase in total net assets principally due to the profit for the year from continuing activities.</w:t>
      </w:r>
    </w:p>
    <w:tbl>
      <w:tblPr>
        <w:tblW w:w="9498" w:type="dxa"/>
        <w:tblBorders>
          <w:bottom w:val="single" w:sz="4" w:space="0" w:color="A6A6A6"/>
          <w:insideH w:val="single" w:sz="4" w:space="0" w:color="A6A6A6"/>
        </w:tblBorders>
        <w:tblCellMar>
          <w:left w:w="0" w:type="dxa"/>
          <w:right w:w="0" w:type="dxa"/>
        </w:tblCellMar>
        <w:tblLook w:val="01E0" w:firstRow="1" w:lastRow="1" w:firstColumn="1" w:lastColumn="1" w:noHBand="0" w:noVBand="0"/>
      </w:tblPr>
      <w:tblGrid>
        <w:gridCol w:w="8222"/>
        <w:gridCol w:w="1276"/>
      </w:tblGrid>
      <w:tr w:rsidR="004A00E3" w:rsidRPr="009318F0" w:rsidTr="006B4FE1">
        <w:trPr>
          <w:trHeight w:val="240"/>
        </w:trPr>
        <w:tc>
          <w:tcPr>
            <w:tcW w:w="8222" w:type="dxa"/>
            <w:tcBorders>
              <w:bottom w:val="single" w:sz="8" w:space="0" w:color="00305C"/>
            </w:tcBorders>
            <w:tcMar>
              <w:top w:w="57" w:type="dxa"/>
              <w:left w:w="0" w:type="dxa"/>
              <w:bottom w:w="57" w:type="dxa"/>
              <w:right w:w="0" w:type="dxa"/>
            </w:tcMar>
            <w:vAlign w:val="bottom"/>
          </w:tcPr>
          <w:p w:rsidR="004A00E3" w:rsidRDefault="004A00E3" w:rsidP="004A00E3">
            <w:pPr>
              <w:pStyle w:val="StyleCustomColorRGB04369Before3pt"/>
              <w:spacing w:before="0"/>
              <w:jc w:val="right"/>
              <w:rPr>
                <w:rFonts w:ascii="Calibri" w:hAnsi="Calibri" w:cs="Calibri"/>
                <w:color w:val="003366"/>
                <w:sz w:val="20"/>
                <w:lang w:val="en-US"/>
              </w:rPr>
            </w:pPr>
          </w:p>
        </w:tc>
        <w:tc>
          <w:tcPr>
            <w:tcW w:w="1276" w:type="dxa"/>
            <w:tcBorders>
              <w:bottom w:val="single" w:sz="8" w:space="0" w:color="00305C"/>
            </w:tcBorders>
            <w:shd w:val="clear" w:color="auto" w:fill="auto"/>
            <w:tcMar>
              <w:top w:w="57" w:type="dxa"/>
              <w:left w:w="0" w:type="dxa"/>
              <w:bottom w:w="57" w:type="dxa"/>
              <w:right w:w="0" w:type="dxa"/>
            </w:tcMar>
            <w:vAlign w:val="bottom"/>
          </w:tcPr>
          <w:p w:rsidR="004A00E3" w:rsidRPr="009318F0" w:rsidRDefault="004A00E3" w:rsidP="00135693">
            <w:pPr>
              <w:ind w:right="113"/>
              <w:jc w:val="right"/>
              <w:rPr>
                <w:rFonts w:ascii="Calibri" w:hAnsi="Calibri" w:cs="Calibri"/>
                <w:b/>
                <w:color w:val="002B45"/>
                <w:sz w:val="20"/>
                <w:szCs w:val="20"/>
                <w:lang w:val="en-US"/>
              </w:rPr>
            </w:pPr>
            <w:r>
              <w:rPr>
                <w:rFonts w:ascii="Calibri" w:hAnsi="Calibri" w:cs="Calibri"/>
                <w:b/>
                <w:color w:val="002B45"/>
                <w:sz w:val="20"/>
                <w:szCs w:val="20"/>
                <w:lang w:val="en-US"/>
              </w:rPr>
              <w:t>$m</w:t>
            </w:r>
          </w:p>
        </w:tc>
      </w:tr>
      <w:tr w:rsidR="004A00E3" w:rsidRPr="0055761B" w:rsidTr="006B4FE1">
        <w:trPr>
          <w:trHeight w:val="255"/>
        </w:trPr>
        <w:tc>
          <w:tcPr>
            <w:tcW w:w="8222" w:type="dxa"/>
            <w:tcBorders>
              <w:top w:val="single" w:sz="8" w:space="0" w:color="00305C"/>
              <w:bottom w:val="single" w:sz="8" w:space="0" w:color="00305C"/>
            </w:tcBorders>
            <w:tcMar>
              <w:top w:w="57" w:type="dxa"/>
              <w:left w:w="0" w:type="dxa"/>
              <w:bottom w:w="57" w:type="dxa"/>
              <w:right w:w="0" w:type="dxa"/>
            </w:tcMar>
            <w:vAlign w:val="center"/>
          </w:tcPr>
          <w:p w:rsidR="004A00E3" w:rsidRPr="004A00E3" w:rsidRDefault="004A00E3" w:rsidP="004A00E3">
            <w:pPr>
              <w:rPr>
                <w:rFonts w:ascii="Calibri" w:hAnsi="Calibri" w:cs="Calibri"/>
                <w:b/>
                <w:color w:val="002B45"/>
                <w:sz w:val="20"/>
                <w:szCs w:val="20"/>
                <w:lang w:val="en-US"/>
              </w:rPr>
            </w:pPr>
            <w:r w:rsidRPr="004A00E3">
              <w:rPr>
                <w:rFonts w:ascii="Calibri" w:hAnsi="Calibri" w:cs="Calibri"/>
                <w:b/>
                <w:color w:val="002B45"/>
                <w:sz w:val="20"/>
                <w:szCs w:val="20"/>
                <w:lang w:val="en-US"/>
              </w:rPr>
              <w:t>Year end 2012 net debt</w:t>
            </w:r>
          </w:p>
        </w:tc>
        <w:tc>
          <w:tcPr>
            <w:tcW w:w="1276" w:type="dxa"/>
            <w:tcBorders>
              <w:top w:val="single" w:sz="8" w:space="0" w:color="00305C"/>
              <w:bottom w:val="single" w:sz="8" w:space="0" w:color="00305C"/>
            </w:tcBorders>
            <w:shd w:val="clear" w:color="auto" w:fill="F2F2F2"/>
            <w:tcMar>
              <w:top w:w="57" w:type="dxa"/>
              <w:left w:w="0" w:type="dxa"/>
              <w:bottom w:w="57" w:type="dxa"/>
              <w:right w:w="0" w:type="dxa"/>
            </w:tcMar>
            <w:vAlign w:val="center"/>
          </w:tcPr>
          <w:p w:rsidR="004A00E3" w:rsidRPr="004A00E3" w:rsidRDefault="004A00E3" w:rsidP="00135693">
            <w:pPr>
              <w:ind w:right="113"/>
              <w:jc w:val="right"/>
              <w:rPr>
                <w:rFonts w:ascii="Calibri" w:hAnsi="Calibri" w:cs="Calibri"/>
                <w:b/>
                <w:color w:val="002B45"/>
                <w:sz w:val="20"/>
                <w:szCs w:val="20"/>
                <w:lang w:val="en-US"/>
              </w:rPr>
            </w:pPr>
            <w:r w:rsidRPr="004A00E3">
              <w:rPr>
                <w:rFonts w:ascii="Calibri" w:hAnsi="Calibri" w:cs="Calibri"/>
                <w:b/>
                <w:color w:val="002B45"/>
                <w:sz w:val="20"/>
                <w:szCs w:val="20"/>
                <w:lang w:val="en-US"/>
              </w:rPr>
              <w:t>(</w:t>
            </w:r>
            <w:r>
              <w:rPr>
                <w:rFonts w:ascii="Calibri" w:hAnsi="Calibri" w:cs="Calibri"/>
                <w:b/>
                <w:color w:val="002B45"/>
                <w:sz w:val="20"/>
                <w:szCs w:val="20"/>
                <w:lang w:val="en-US"/>
              </w:rPr>
              <w:t>989</w:t>
            </w:r>
            <w:r w:rsidRPr="004A00E3">
              <w:rPr>
                <w:rFonts w:ascii="Calibri" w:hAnsi="Calibri" w:cs="Calibri"/>
                <w:b/>
                <w:color w:val="002B45"/>
                <w:sz w:val="20"/>
                <w:szCs w:val="20"/>
                <w:lang w:val="en-US"/>
              </w:rPr>
              <w:t>)</w:t>
            </w:r>
          </w:p>
        </w:tc>
      </w:tr>
      <w:tr w:rsidR="004A00E3" w:rsidRPr="0055761B" w:rsidTr="006B4FE1">
        <w:trPr>
          <w:trHeight w:val="255"/>
        </w:trPr>
        <w:tc>
          <w:tcPr>
            <w:tcW w:w="8222" w:type="dxa"/>
            <w:tcBorders>
              <w:top w:val="single" w:sz="8" w:space="0" w:color="00305C"/>
              <w:bottom w:val="single" w:sz="4" w:space="0" w:color="D9D9D9" w:themeColor="background1" w:themeShade="D9"/>
            </w:tcBorders>
            <w:tcMar>
              <w:top w:w="57" w:type="dxa"/>
              <w:left w:w="0" w:type="dxa"/>
              <w:bottom w:w="57" w:type="dxa"/>
              <w:right w:w="0" w:type="dxa"/>
            </w:tcMar>
            <w:vAlign w:val="center"/>
          </w:tcPr>
          <w:p w:rsidR="004A00E3" w:rsidRPr="0055761B" w:rsidRDefault="004A00E3" w:rsidP="004A00E3">
            <w:pPr>
              <w:rPr>
                <w:rFonts w:asciiTheme="minorHAnsi" w:hAnsiTheme="minorHAnsi" w:cstheme="minorHAnsi"/>
                <w:color w:val="5F5F5F"/>
                <w:szCs w:val="19"/>
              </w:rPr>
            </w:pPr>
            <w:r>
              <w:rPr>
                <w:rFonts w:asciiTheme="minorHAnsi" w:hAnsiTheme="minorHAnsi" w:cstheme="minorHAnsi"/>
                <w:color w:val="5F5F5F"/>
                <w:szCs w:val="19"/>
              </w:rPr>
              <w:t>Revenue</w:t>
            </w:r>
          </w:p>
        </w:tc>
        <w:tc>
          <w:tcPr>
            <w:tcW w:w="1276" w:type="dxa"/>
            <w:tcBorders>
              <w:top w:val="single" w:sz="8" w:space="0" w:color="00305C"/>
              <w:bottom w:val="single" w:sz="4" w:space="0" w:color="D9D9D9" w:themeColor="background1" w:themeShade="D9"/>
            </w:tcBorders>
            <w:shd w:val="clear" w:color="auto" w:fill="F2F2F2"/>
            <w:tcMar>
              <w:top w:w="57" w:type="dxa"/>
              <w:left w:w="0" w:type="dxa"/>
              <w:bottom w:w="57" w:type="dxa"/>
              <w:right w:w="0" w:type="dxa"/>
            </w:tcMar>
            <w:vAlign w:val="center"/>
          </w:tcPr>
          <w:p w:rsidR="004A00E3" w:rsidRPr="0055761B" w:rsidRDefault="004A00E3" w:rsidP="00135693">
            <w:pPr>
              <w:ind w:right="113"/>
              <w:jc w:val="right"/>
              <w:rPr>
                <w:rFonts w:asciiTheme="minorHAnsi" w:hAnsiTheme="minorHAnsi" w:cstheme="minorHAnsi"/>
                <w:color w:val="5F5F5F"/>
                <w:szCs w:val="19"/>
              </w:rPr>
            </w:pPr>
            <w:r>
              <w:rPr>
                <w:rFonts w:asciiTheme="minorHAnsi" w:hAnsiTheme="minorHAnsi" w:cstheme="minorHAnsi"/>
                <w:color w:val="5F5F5F"/>
                <w:szCs w:val="19"/>
              </w:rPr>
              <w:t>2,647</w:t>
            </w:r>
          </w:p>
        </w:tc>
      </w:tr>
      <w:tr w:rsidR="004A00E3" w:rsidRPr="0055761B" w:rsidTr="006B4FE1">
        <w:trPr>
          <w:trHeight w:val="255"/>
        </w:trPr>
        <w:tc>
          <w:tcPr>
            <w:tcW w:w="8222" w:type="dxa"/>
            <w:tcBorders>
              <w:top w:val="single" w:sz="4" w:space="0" w:color="D9D9D9" w:themeColor="background1" w:themeShade="D9"/>
              <w:bottom w:val="single" w:sz="4" w:space="0" w:color="D9D9D9" w:themeColor="background1" w:themeShade="D9"/>
            </w:tcBorders>
            <w:tcMar>
              <w:top w:w="57" w:type="dxa"/>
              <w:left w:w="0" w:type="dxa"/>
              <w:bottom w:w="57" w:type="dxa"/>
              <w:right w:w="0" w:type="dxa"/>
            </w:tcMar>
            <w:vAlign w:val="center"/>
          </w:tcPr>
          <w:p w:rsidR="004A00E3" w:rsidRPr="0055761B" w:rsidRDefault="004A00E3" w:rsidP="004A00E3">
            <w:pPr>
              <w:rPr>
                <w:rFonts w:asciiTheme="minorHAnsi" w:hAnsiTheme="minorHAnsi" w:cstheme="minorHAnsi"/>
                <w:color w:val="5F5F5F"/>
                <w:szCs w:val="19"/>
              </w:rPr>
            </w:pPr>
            <w:r>
              <w:rPr>
                <w:rFonts w:asciiTheme="minorHAnsi" w:hAnsiTheme="minorHAnsi" w:cstheme="minorHAnsi"/>
                <w:color w:val="5F5F5F"/>
                <w:szCs w:val="19"/>
              </w:rPr>
              <w:t>Operating costs</w:t>
            </w:r>
          </w:p>
        </w:tc>
        <w:tc>
          <w:tcPr>
            <w:tcW w:w="1276" w:type="dxa"/>
            <w:tcBorders>
              <w:top w:val="single" w:sz="4" w:space="0" w:color="D9D9D9" w:themeColor="background1" w:themeShade="D9"/>
              <w:bottom w:val="single" w:sz="4" w:space="0" w:color="D9D9D9" w:themeColor="background1" w:themeShade="D9"/>
            </w:tcBorders>
            <w:shd w:val="clear" w:color="auto" w:fill="F2F2F2"/>
            <w:tcMar>
              <w:top w:w="57" w:type="dxa"/>
              <w:left w:w="0" w:type="dxa"/>
              <w:bottom w:w="57" w:type="dxa"/>
              <w:right w:w="0" w:type="dxa"/>
            </w:tcMar>
            <w:vAlign w:val="center"/>
          </w:tcPr>
          <w:p w:rsidR="004A00E3" w:rsidRPr="0055761B" w:rsidRDefault="004A00E3" w:rsidP="00135693">
            <w:pPr>
              <w:ind w:right="113"/>
              <w:jc w:val="right"/>
              <w:rPr>
                <w:rFonts w:asciiTheme="minorHAnsi" w:hAnsiTheme="minorHAnsi" w:cstheme="minorHAnsi"/>
                <w:color w:val="5F5F5F"/>
                <w:szCs w:val="19"/>
              </w:rPr>
            </w:pPr>
            <w:r>
              <w:rPr>
                <w:rFonts w:asciiTheme="minorHAnsi" w:hAnsiTheme="minorHAnsi" w:cstheme="minorHAnsi"/>
                <w:color w:val="5F5F5F"/>
                <w:szCs w:val="19"/>
              </w:rPr>
              <w:t>(524)</w:t>
            </w:r>
          </w:p>
        </w:tc>
      </w:tr>
      <w:tr w:rsidR="004A00E3" w:rsidRPr="0055761B" w:rsidTr="006B4FE1">
        <w:trPr>
          <w:trHeight w:val="255"/>
        </w:trPr>
        <w:tc>
          <w:tcPr>
            <w:tcW w:w="8222" w:type="dxa"/>
            <w:tcBorders>
              <w:top w:val="single" w:sz="4" w:space="0" w:color="D9D9D9" w:themeColor="background1" w:themeShade="D9"/>
              <w:bottom w:val="single" w:sz="4" w:space="0" w:color="D9D9D9" w:themeColor="background1" w:themeShade="D9"/>
              <w:right w:val="nil"/>
            </w:tcBorders>
            <w:tcMar>
              <w:top w:w="57" w:type="dxa"/>
              <w:left w:w="0" w:type="dxa"/>
              <w:bottom w:w="57" w:type="dxa"/>
              <w:right w:w="0" w:type="dxa"/>
            </w:tcMar>
            <w:vAlign w:val="center"/>
          </w:tcPr>
          <w:p w:rsidR="004A00E3" w:rsidRPr="0055761B" w:rsidRDefault="004A00E3" w:rsidP="004A00E3">
            <w:pPr>
              <w:rPr>
                <w:rFonts w:asciiTheme="minorHAnsi" w:hAnsiTheme="minorHAnsi" w:cstheme="minorHAnsi"/>
                <w:color w:val="5F5F5F"/>
                <w:szCs w:val="19"/>
              </w:rPr>
            </w:pPr>
            <w:r>
              <w:rPr>
                <w:rFonts w:asciiTheme="minorHAnsi" w:hAnsiTheme="minorHAnsi" w:cstheme="minorHAnsi"/>
                <w:color w:val="5F5F5F"/>
                <w:szCs w:val="19"/>
              </w:rPr>
              <w:t>Operating expenses</w:t>
            </w:r>
          </w:p>
        </w:tc>
        <w:tc>
          <w:tcPr>
            <w:tcW w:w="1276" w:type="dxa"/>
            <w:tcBorders>
              <w:top w:val="single" w:sz="4" w:space="0" w:color="D9D9D9" w:themeColor="background1" w:themeShade="D9"/>
              <w:left w:val="nil"/>
              <w:bottom w:val="single" w:sz="4" w:space="0" w:color="D9D9D9" w:themeColor="background1" w:themeShade="D9"/>
            </w:tcBorders>
            <w:shd w:val="clear" w:color="auto" w:fill="F2F2F2"/>
            <w:tcMar>
              <w:top w:w="57" w:type="dxa"/>
              <w:left w:w="0" w:type="dxa"/>
              <w:bottom w:w="57" w:type="dxa"/>
              <w:right w:w="0" w:type="dxa"/>
            </w:tcMar>
            <w:vAlign w:val="center"/>
          </w:tcPr>
          <w:p w:rsidR="004A00E3" w:rsidRPr="0055761B" w:rsidRDefault="004A00E3" w:rsidP="00255645">
            <w:pPr>
              <w:ind w:right="113"/>
              <w:jc w:val="right"/>
              <w:rPr>
                <w:rFonts w:asciiTheme="minorHAnsi" w:hAnsiTheme="minorHAnsi" w:cstheme="minorHAnsi"/>
                <w:color w:val="5F5F5F"/>
                <w:szCs w:val="19"/>
              </w:rPr>
            </w:pPr>
            <w:r>
              <w:rPr>
                <w:rFonts w:asciiTheme="minorHAnsi" w:hAnsiTheme="minorHAnsi" w:cstheme="minorHAnsi"/>
                <w:color w:val="5F5F5F"/>
                <w:szCs w:val="19"/>
              </w:rPr>
              <w:t>(</w:t>
            </w:r>
            <w:r w:rsidR="00255645">
              <w:rPr>
                <w:rFonts w:asciiTheme="minorHAnsi" w:hAnsiTheme="minorHAnsi" w:cstheme="minorHAnsi"/>
                <w:color w:val="5F5F5F"/>
                <w:szCs w:val="19"/>
              </w:rPr>
              <w:t>222</w:t>
            </w:r>
            <w:r>
              <w:rPr>
                <w:rFonts w:asciiTheme="minorHAnsi" w:hAnsiTheme="minorHAnsi" w:cstheme="minorHAnsi"/>
                <w:color w:val="5F5F5F"/>
                <w:szCs w:val="19"/>
              </w:rPr>
              <w:t>)</w:t>
            </w:r>
          </w:p>
        </w:tc>
      </w:tr>
      <w:tr w:rsidR="004A00E3" w:rsidRPr="0055761B" w:rsidTr="006B4FE1">
        <w:trPr>
          <w:trHeight w:val="255"/>
        </w:trPr>
        <w:tc>
          <w:tcPr>
            <w:tcW w:w="8222" w:type="dxa"/>
            <w:tcBorders>
              <w:top w:val="single" w:sz="4" w:space="0" w:color="D9D9D9" w:themeColor="background1" w:themeShade="D9"/>
              <w:bottom w:val="single" w:sz="4" w:space="0" w:color="D9D9D9" w:themeColor="background1" w:themeShade="D9"/>
              <w:right w:val="nil"/>
            </w:tcBorders>
            <w:tcMar>
              <w:top w:w="57" w:type="dxa"/>
              <w:left w:w="0" w:type="dxa"/>
              <w:bottom w:w="57" w:type="dxa"/>
              <w:right w:w="0" w:type="dxa"/>
            </w:tcMar>
            <w:vAlign w:val="center"/>
          </w:tcPr>
          <w:p w:rsidR="004A00E3" w:rsidRPr="0055761B" w:rsidRDefault="004A00E3" w:rsidP="004A00E3">
            <w:pPr>
              <w:rPr>
                <w:rFonts w:asciiTheme="minorHAnsi" w:hAnsiTheme="minorHAnsi" w:cstheme="minorHAnsi"/>
                <w:color w:val="5F5F5F"/>
                <w:szCs w:val="19"/>
              </w:rPr>
            </w:pPr>
            <w:r>
              <w:rPr>
                <w:rFonts w:asciiTheme="minorHAnsi" w:hAnsiTheme="minorHAnsi" w:cstheme="minorHAnsi"/>
                <w:color w:val="5F5F5F"/>
                <w:szCs w:val="19"/>
              </w:rPr>
              <w:t>Cash flow from operations</w:t>
            </w:r>
          </w:p>
        </w:tc>
        <w:tc>
          <w:tcPr>
            <w:tcW w:w="1276" w:type="dxa"/>
            <w:tcBorders>
              <w:top w:val="single" w:sz="4" w:space="0" w:color="D9D9D9" w:themeColor="background1" w:themeShade="D9"/>
              <w:left w:val="nil"/>
              <w:bottom w:val="single" w:sz="4" w:space="0" w:color="D9D9D9" w:themeColor="background1" w:themeShade="D9"/>
            </w:tcBorders>
            <w:shd w:val="clear" w:color="auto" w:fill="F2F2F2"/>
            <w:tcMar>
              <w:top w:w="57" w:type="dxa"/>
              <w:left w:w="0" w:type="dxa"/>
              <w:bottom w:w="57" w:type="dxa"/>
              <w:right w:w="0" w:type="dxa"/>
            </w:tcMar>
            <w:vAlign w:val="center"/>
          </w:tcPr>
          <w:p w:rsidR="004A00E3" w:rsidRPr="0055761B" w:rsidRDefault="004A00E3" w:rsidP="00255645">
            <w:pPr>
              <w:ind w:right="113"/>
              <w:jc w:val="right"/>
              <w:rPr>
                <w:rFonts w:asciiTheme="minorHAnsi" w:hAnsiTheme="minorHAnsi" w:cstheme="minorHAnsi"/>
                <w:color w:val="5F5F5F"/>
                <w:szCs w:val="19"/>
              </w:rPr>
            </w:pPr>
            <w:r>
              <w:rPr>
                <w:rFonts w:asciiTheme="minorHAnsi" w:hAnsiTheme="minorHAnsi" w:cstheme="minorHAnsi"/>
                <w:color w:val="5F5F5F"/>
                <w:szCs w:val="19"/>
              </w:rPr>
              <w:t>1,9</w:t>
            </w:r>
            <w:r w:rsidR="00255645">
              <w:rPr>
                <w:rFonts w:asciiTheme="minorHAnsi" w:hAnsiTheme="minorHAnsi" w:cstheme="minorHAnsi"/>
                <w:color w:val="5F5F5F"/>
                <w:szCs w:val="19"/>
              </w:rPr>
              <w:t>0</w:t>
            </w:r>
            <w:r>
              <w:rPr>
                <w:rFonts w:asciiTheme="minorHAnsi" w:hAnsiTheme="minorHAnsi" w:cstheme="minorHAnsi"/>
                <w:color w:val="5F5F5F"/>
                <w:szCs w:val="19"/>
              </w:rPr>
              <w:t>1</w:t>
            </w:r>
          </w:p>
        </w:tc>
      </w:tr>
      <w:tr w:rsidR="004A00E3" w:rsidRPr="0055761B" w:rsidTr="006B4FE1">
        <w:trPr>
          <w:trHeight w:val="255"/>
        </w:trPr>
        <w:tc>
          <w:tcPr>
            <w:tcW w:w="8222" w:type="dxa"/>
            <w:tcBorders>
              <w:top w:val="single" w:sz="4" w:space="0" w:color="D9D9D9" w:themeColor="background1" w:themeShade="D9"/>
              <w:bottom w:val="single" w:sz="4" w:space="0" w:color="D9D9D9" w:themeColor="background1" w:themeShade="D9"/>
              <w:right w:val="nil"/>
            </w:tcBorders>
            <w:tcMar>
              <w:top w:w="57" w:type="dxa"/>
              <w:left w:w="0" w:type="dxa"/>
              <w:bottom w:w="57" w:type="dxa"/>
              <w:right w:w="0" w:type="dxa"/>
            </w:tcMar>
            <w:vAlign w:val="center"/>
          </w:tcPr>
          <w:p w:rsidR="004A00E3" w:rsidRPr="0055761B" w:rsidRDefault="004A00E3" w:rsidP="004A00E3">
            <w:pPr>
              <w:rPr>
                <w:rFonts w:asciiTheme="minorHAnsi" w:hAnsiTheme="minorHAnsi" w:cstheme="minorHAnsi"/>
                <w:color w:val="5F5F5F"/>
                <w:szCs w:val="19"/>
              </w:rPr>
            </w:pPr>
            <w:r>
              <w:rPr>
                <w:rFonts w:asciiTheme="minorHAnsi" w:hAnsiTheme="minorHAnsi" w:cstheme="minorHAnsi"/>
                <w:color w:val="5F5F5F"/>
                <w:szCs w:val="19"/>
              </w:rPr>
              <w:t>Movement in working capital</w:t>
            </w:r>
          </w:p>
        </w:tc>
        <w:tc>
          <w:tcPr>
            <w:tcW w:w="1276" w:type="dxa"/>
            <w:tcBorders>
              <w:top w:val="single" w:sz="4" w:space="0" w:color="D9D9D9" w:themeColor="background1" w:themeShade="D9"/>
              <w:left w:val="nil"/>
              <w:bottom w:val="single" w:sz="4" w:space="0" w:color="D9D9D9" w:themeColor="background1" w:themeShade="D9"/>
            </w:tcBorders>
            <w:shd w:val="clear" w:color="auto" w:fill="F2F2F2"/>
            <w:tcMar>
              <w:top w:w="57" w:type="dxa"/>
              <w:left w:w="0" w:type="dxa"/>
              <w:bottom w:w="57" w:type="dxa"/>
              <w:right w:w="0" w:type="dxa"/>
            </w:tcMar>
            <w:vAlign w:val="center"/>
          </w:tcPr>
          <w:p w:rsidR="004A00E3" w:rsidRPr="0055761B" w:rsidRDefault="004A00E3" w:rsidP="00255645">
            <w:pPr>
              <w:ind w:right="113"/>
              <w:jc w:val="right"/>
              <w:rPr>
                <w:rFonts w:asciiTheme="minorHAnsi" w:hAnsiTheme="minorHAnsi" w:cstheme="minorHAnsi"/>
                <w:color w:val="5F5F5F"/>
                <w:szCs w:val="19"/>
              </w:rPr>
            </w:pPr>
            <w:r>
              <w:rPr>
                <w:rFonts w:asciiTheme="minorHAnsi" w:hAnsiTheme="minorHAnsi" w:cstheme="minorHAnsi"/>
                <w:color w:val="5F5F5F"/>
                <w:szCs w:val="19"/>
              </w:rPr>
              <w:t>9</w:t>
            </w:r>
            <w:r w:rsidR="00255645">
              <w:rPr>
                <w:rFonts w:asciiTheme="minorHAnsi" w:hAnsiTheme="minorHAnsi" w:cstheme="minorHAnsi"/>
                <w:color w:val="5F5F5F"/>
                <w:szCs w:val="19"/>
              </w:rPr>
              <w:t>7</w:t>
            </w:r>
          </w:p>
        </w:tc>
      </w:tr>
      <w:tr w:rsidR="004A00E3" w:rsidRPr="0055761B" w:rsidTr="006B4FE1">
        <w:trPr>
          <w:trHeight w:val="255"/>
        </w:trPr>
        <w:tc>
          <w:tcPr>
            <w:tcW w:w="8222" w:type="dxa"/>
            <w:tcBorders>
              <w:top w:val="single" w:sz="4" w:space="0" w:color="D9D9D9" w:themeColor="background1" w:themeShade="D9"/>
              <w:bottom w:val="single" w:sz="4" w:space="0" w:color="D9D9D9" w:themeColor="background1" w:themeShade="D9"/>
              <w:right w:val="nil"/>
            </w:tcBorders>
            <w:tcMar>
              <w:top w:w="57" w:type="dxa"/>
              <w:left w:w="0" w:type="dxa"/>
              <w:bottom w:w="57" w:type="dxa"/>
              <w:right w:w="0" w:type="dxa"/>
            </w:tcMar>
            <w:vAlign w:val="center"/>
          </w:tcPr>
          <w:p w:rsidR="004A00E3" w:rsidRPr="0055761B" w:rsidRDefault="004A00E3" w:rsidP="004A00E3">
            <w:pPr>
              <w:rPr>
                <w:rFonts w:asciiTheme="minorHAnsi" w:hAnsiTheme="minorHAnsi" w:cstheme="minorHAnsi"/>
                <w:color w:val="5F5F5F"/>
                <w:szCs w:val="19"/>
              </w:rPr>
            </w:pPr>
            <w:r>
              <w:rPr>
                <w:rFonts w:asciiTheme="minorHAnsi" w:hAnsiTheme="minorHAnsi" w:cstheme="minorHAnsi"/>
                <w:color w:val="5F5F5F"/>
                <w:szCs w:val="19"/>
              </w:rPr>
              <w:t>Tax paid</w:t>
            </w:r>
          </w:p>
        </w:tc>
        <w:tc>
          <w:tcPr>
            <w:tcW w:w="1276" w:type="dxa"/>
            <w:tcBorders>
              <w:top w:val="single" w:sz="4" w:space="0" w:color="D9D9D9" w:themeColor="background1" w:themeShade="D9"/>
              <w:left w:val="nil"/>
              <w:bottom w:val="single" w:sz="4" w:space="0" w:color="D9D9D9" w:themeColor="background1" w:themeShade="D9"/>
            </w:tcBorders>
            <w:shd w:val="clear" w:color="auto" w:fill="F2F2F2"/>
            <w:tcMar>
              <w:top w:w="57" w:type="dxa"/>
              <w:left w:w="0" w:type="dxa"/>
              <w:bottom w:w="57" w:type="dxa"/>
              <w:right w:w="0" w:type="dxa"/>
            </w:tcMar>
            <w:vAlign w:val="center"/>
          </w:tcPr>
          <w:p w:rsidR="004A00E3" w:rsidRPr="0055761B" w:rsidRDefault="004A00E3" w:rsidP="00135693">
            <w:pPr>
              <w:ind w:right="113"/>
              <w:jc w:val="right"/>
              <w:rPr>
                <w:rFonts w:asciiTheme="minorHAnsi" w:hAnsiTheme="minorHAnsi" w:cstheme="minorHAnsi"/>
                <w:color w:val="5F5F5F"/>
                <w:szCs w:val="19"/>
              </w:rPr>
            </w:pPr>
            <w:r>
              <w:rPr>
                <w:rFonts w:asciiTheme="minorHAnsi" w:hAnsiTheme="minorHAnsi" w:cstheme="minorHAnsi"/>
                <w:color w:val="5F5F5F"/>
                <w:szCs w:val="19"/>
              </w:rPr>
              <w:t>(252)</w:t>
            </w:r>
          </w:p>
        </w:tc>
      </w:tr>
      <w:tr w:rsidR="004A00E3" w:rsidRPr="0055761B" w:rsidTr="006B4FE1">
        <w:trPr>
          <w:trHeight w:val="255"/>
        </w:trPr>
        <w:tc>
          <w:tcPr>
            <w:tcW w:w="8222" w:type="dxa"/>
            <w:tcBorders>
              <w:top w:val="single" w:sz="4" w:space="0" w:color="D9D9D9" w:themeColor="background1" w:themeShade="D9"/>
              <w:bottom w:val="single" w:sz="4" w:space="0" w:color="D9D9D9" w:themeColor="background1" w:themeShade="D9"/>
              <w:right w:val="nil"/>
            </w:tcBorders>
            <w:tcMar>
              <w:top w:w="57" w:type="dxa"/>
              <w:left w:w="0" w:type="dxa"/>
              <w:bottom w:w="57" w:type="dxa"/>
              <w:right w:w="0" w:type="dxa"/>
            </w:tcMar>
            <w:vAlign w:val="center"/>
          </w:tcPr>
          <w:p w:rsidR="004A00E3" w:rsidRPr="0055761B" w:rsidRDefault="004A00E3" w:rsidP="004A00E3">
            <w:pPr>
              <w:rPr>
                <w:rFonts w:asciiTheme="minorHAnsi" w:hAnsiTheme="minorHAnsi" w:cstheme="minorHAnsi"/>
                <w:color w:val="5F5F5F"/>
                <w:szCs w:val="19"/>
              </w:rPr>
            </w:pPr>
            <w:r>
              <w:rPr>
                <w:rFonts w:asciiTheme="minorHAnsi" w:hAnsiTheme="minorHAnsi" w:cstheme="minorHAnsi"/>
                <w:color w:val="5F5F5F"/>
                <w:szCs w:val="19"/>
              </w:rPr>
              <w:t>Capital expenditure</w:t>
            </w:r>
          </w:p>
        </w:tc>
        <w:tc>
          <w:tcPr>
            <w:tcW w:w="1276" w:type="dxa"/>
            <w:tcBorders>
              <w:top w:val="single" w:sz="4" w:space="0" w:color="D9D9D9" w:themeColor="background1" w:themeShade="D9"/>
              <w:left w:val="nil"/>
              <w:bottom w:val="single" w:sz="4" w:space="0" w:color="D9D9D9" w:themeColor="background1" w:themeShade="D9"/>
            </w:tcBorders>
            <w:shd w:val="clear" w:color="auto" w:fill="F2F2F2"/>
            <w:tcMar>
              <w:top w:w="57" w:type="dxa"/>
              <w:left w:w="0" w:type="dxa"/>
              <w:bottom w:w="57" w:type="dxa"/>
              <w:right w:w="0" w:type="dxa"/>
            </w:tcMar>
            <w:vAlign w:val="center"/>
          </w:tcPr>
          <w:p w:rsidR="004A00E3" w:rsidRPr="0055761B" w:rsidRDefault="004A00E3" w:rsidP="00135693">
            <w:pPr>
              <w:ind w:right="113"/>
              <w:jc w:val="right"/>
              <w:rPr>
                <w:rFonts w:asciiTheme="minorHAnsi" w:hAnsiTheme="minorHAnsi" w:cstheme="minorHAnsi"/>
                <w:color w:val="5F5F5F"/>
                <w:szCs w:val="19"/>
              </w:rPr>
            </w:pPr>
            <w:r>
              <w:rPr>
                <w:rFonts w:asciiTheme="minorHAnsi" w:hAnsiTheme="minorHAnsi" w:cstheme="minorHAnsi"/>
                <w:color w:val="5F5F5F"/>
                <w:szCs w:val="19"/>
              </w:rPr>
              <w:t>(2,009)</w:t>
            </w:r>
          </w:p>
        </w:tc>
      </w:tr>
      <w:tr w:rsidR="004A00E3" w:rsidRPr="0055761B" w:rsidTr="006B4FE1">
        <w:trPr>
          <w:trHeight w:val="255"/>
        </w:trPr>
        <w:tc>
          <w:tcPr>
            <w:tcW w:w="8222" w:type="dxa"/>
            <w:tcBorders>
              <w:top w:val="single" w:sz="4" w:space="0" w:color="D9D9D9" w:themeColor="background1" w:themeShade="D9"/>
              <w:bottom w:val="single" w:sz="4" w:space="0" w:color="D9D9D9" w:themeColor="background1" w:themeShade="D9"/>
              <w:right w:val="nil"/>
            </w:tcBorders>
            <w:tcMar>
              <w:top w:w="57" w:type="dxa"/>
              <w:left w:w="0" w:type="dxa"/>
              <w:bottom w:w="57" w:type="dxa"/>
              <w:right w:w="0" w:type="dxa"/>
            </w:tcMar>
            <w:vAlign w:val="center"/>
          </w:tcPr>
          <w:p w:rsidR="004A00E3" w:rsidRPr="0055761B" w:rsidRDefault="004A00E3" w:rsidP="004A00E3">
            <w:pPr>
              <w:rPr>
                <w:rFonts w:asciiTheme="minorHAnsi" w:hAnsiTheme="minorHAnsi" w:cstheme="minorHAnsi"/>
                <w:color w:val="5F5F5F"/>
                <w:szCs w:val="19"/>
              </w:rPr>
            </w:pPr>
            <w:r>
              <w:rPr>
                <w:rFonts w:asciiTheme="minorHAnsi" w:hAnsiTheme="minorHAnsi" w:cstheme="minorHAnsi"/>
                <w:color w:val="5F5F5F"/>
                <w:szCs w:val="19"/>
              </w:rPr>
              <w:t>Acquisitions</w:t>
            </w:r>
          </w:p>
        </w:tc>
        <w:tc>
          <w:tcPr>
            <w:tcW w:w="1276" w:type="dxa"/>
            <w:tcBorders>
              <w:top w:val="single" w:sz="4" w:space="0" w:color="D9D9D9" w:themeColor="background1" w:themeShade="D9"/>
              <w:left w:val="nil"/>
              <w:bottom w:val="single" w:sz="4" w:space="0" w:color="D9D9D9" w:themeColor="background1" w:themeShade="D9"/>
            </w:tcBorders>
            <w:shd w:val="clear" w:color="auto" w:fill="F2F2F2"/>
            <w:tcMar>
              <w:top w:w="57" w:type="dxa"/>
              <w:left w:w="0" w:type="dxa"/>
              <w:bottom w:w="57" w:type="dxa"/>
              <w:right w:w="0" w:type="dxa"/>
            </w:tcMar>
            <w:vAlign w:val="center"/>
          </w:tcPr>
          <w:p w:rsidR="004A00E3" w:rsidRPr="0055761B" w:rsidRDefault="004A00E3" w:rsidP="00135693">
            <w:pPr>
              <w:ind w:right="113"/>
              <w:jc w:val="right"/>
              <w:rPr>
                <w:rFonts w:asciiTheme="minorHAnsi" w:hAnsiTheme="minorHAnsi" w:cstheme="minorHAnsi"/>
                <w:color w:val="5F5F5F"/>
                <w:szCs w:val="19"/>
              </w:rPr>
            </w:pPr>
            <w:r>
              <w:rPr>
                <w:rFonts w:asciiTheme="minorHAnsi" w:hAnsiTheme="minorHAnsi" w:cstheme="minorHAnsi"/>
                <w:color w:val="5F5F5F"/>
                <w:szCs w:val="19"/>
              </w:rPr>
              <w:t>(4</w:t>
            </w:r>
            <w:r w:rsidR="008A3064">
              <w:rPr>
                <w:rFonts w:asciiTheme="minorHAnsi" w:hAnsiTheme="minorHAnsi" w:cstheme="minorHAnsi"/>
                <w:color w:val="5F5F5F"/>
                <w:szCs w:val="19"/>
              </w:rPr>
              <w:t>81</w:t>
            </w:r>
            <w:r>
              <w:rPr>
                <w:rFonts w:asciiTheme="minorHAnsi" w:hAnsiTheme="minorHAnsi" w:cstheme="minorHAnsi"/>
                <w:color w:val="5F5F5F"/>
                <w:szCs w:val="19"/>
              </w:rPr>
              <w:t>)</w:t>
            </w:r>
          </w:p>
        </w:tc>
      </w:tr>
      <w:tr w:rsidR="004A00E3" w:rsidRPr="0055761B" w:rsidTr="006B4FE1">
        <w:trPr>
          <w:trHeight w:val="255"/>
        </w:trPr>
        <w:tc>
          <w:tcPr>
            <w:tcW w:w="8222" w:type="dxa"/>
            <w:tcBorders>
              <w:top w:val="single" w:sz="4" w:space="0" w:color="D9D9D9" w:themeColor="background1" w:themeShade="D9"/>
              <w:bottom w:val="single" w:sz="4" w:space="0" w:color="D9D9D9" w:themeColor="background1" w:themeShade="D9"/>
              <w:right w:val="nil"/>
            </w:tcBorders>
            <w:tcMar>
              <w:top w:w="57" w:type="dxa"/>
              <w:left w:w="0" w:type="dxa"/>
              <w:bottom w:w="57" w:type="dxa"/>
              <w:right w:w="0" w:type="dxa"/>
            </w:tcMar>
            <w:vAlign w:val="center"/>
          </w:tcPr>
          <w:p w:rsidR="004A00E3" w:rsidRPr="0055761B" w:rsidRDefault="004A00E3" w:rsidP="004A00E3">
            <w:pPr>
              <w:rPr>
                <w:rFonts w:asciiTheme="minorHAnsi" w:hAnsiTheme="minorHAnsi" w:cstheme="minorHAnsi"/>
                <w:color w:val="5F5F5F"/>
                <w:szCs w:val="19"/>
              </w:rPr>
            </w:pPr>
            <w:r>
              <w:rPr>
                <w:rFonts w:asciiTheme="minorHAnsi" w:hAnsiTheme="minorHAnsi" w:cstheme="minorHAnsi"/>
                <w:color w:val="5F5F5F"/>
                <w:szCs w:val="19"/>
              </w:rPr>
              <w:t>Disposals</w:t>
            </w:r>
          </w:p>
        </w:tc>
        <w:tc>
          <w:tcPr>
            <w:tcW w:w="1276" w:type="dxa"/>
            <w:tcBorders>
              <w:top w:val="single" w:sz="4" w:space="0" w:color="D9D9D9" w:themeColor="background1" w:themeShade="D9"/>
              <w:left w:val="nil"/>
              <w:bottom w:val="single" w:sz="4" w:space="0" w:color="D9D9D9" w:themeColor="background1" w:themeShade="D9"/>
            </w:tcBorders>
            <w:shd w:val="clear" w:color="auto" w:fill="F2F2F2"/>
            <w:tcMar>
              <w:top w:w="57" w:type="dxa"/>
              <w:left w:w="0" w:type="dxa"/>
              <w:bottom w:w="57" w:type="dxa"/>
              <w:right w:w="0" w:type="dxa"/>
            </w:tcMar>
            <w:vAlign w:val="center"/>
          </w:tcPr>
          <w:p w:rsidR="004A00E3" w:rsidRPr="0055761B" w:rsidRDefault="00255645" w:rsidP="00135693">
            <w:pPr>
              <w:ind w:right="113"/>
              <w:jc w:val="right"/>
              <w:rPr>
                <w:rFonts w:asciiTheme="minorHAnsi" w:hAnsiTheme="minorHAnsi" w:cstheme="minorHAnsi"/>
                <w:color w:val="5F5F5F"/>
                <w:szCs w:val="19"/>
              </w:rPr>
            </w:pPr>
            <w:r>
              <w:rPr>
                <w:rFonts w:asciiTheme="minorHAnsi" w:hAnsiTheme="minorHAnsi" w:cstheme="minorHAnsi"/>
                <w:color w:val="5F5F5F"/>
                <w:szCs w:val="19"/>
              </w:rPr>
              <w:t>8</w:t>
            </w:r>
            <w:r w:rsidR="004A00E3">
              <w:rPr>
                <w:rFonts w:asciiTheme="minorHAnsi" w:hAnsiTheme="minorHAnsi" w:cstheme="minorHAnsi"/>
                <w:color w:val="5F5F5F"/>
                <w:szCs w:val="19"/>
              </w:rPr>
              <w:t>0</w:t>
            </w:r>
          </w:p>
        </w:tc>
      </w:tr>
      <w:tr w:rsidR="004A00E3" w:rsidRPr="0055761B" w:rsidTr="006B4FE1">
        <w:trPr>
          <w:trHeight w:val="255"/>
        </w:trPr>
        <w:tc>
          <w:tcPr>
            <w:tcW w:w="8222" w:type="dxa"/>
            <w:tcBorders>
              <w:top w:val="single" w:sz="4" w:space="0" w:color="D9D9D9" w:themeColor="background1" w:themeShade="D9"/>
              <w:bottom w:val="single" w:sz="4" w:space="0" w:color="D9D9D9" w:themeColor="background1" w:themeShade="D9"/>
              <w:right w:val="nil"/>
            </w:tcBorders>
            <w:tcMar>
              <w:top w:w="57" w:type="dxa"/>
              <w:left w:w="0" w:type="dxa"/>
              <w:bottom w:w="57" w:type="dxa"/>
              <w:right w:w="0" w:type="dxa"/>
            </w:tcMar>
            <w:vAlign w:val="center"/>
          </w:tcPr>
          <w:p w:rsidR="004A00E3" w:rsidRPr="0055761B" w:rsidRDefault="004A00E3" w:rsidP="004A00E3">
            <w:pPr>
              <w:rPr>
                <w:rFonts w:asciiTheme="minorHAnsi" w:hAnsiTheme="minorHAnsi" w:cstheme="minorHAnsi"/>
                <w:color w:val="5F5F5F"/>
                <w:szCs w:val="19"/>
              </w:rPr>
            </w:pPr>
            <w:r>
              <w:rPr>
                <w:rFonts w:asciiTheme="minorHAnsi" w:hAnsiTheme="minorHAnsi" w:cstheme="minorHAnsi"/>
                <w:color w:val="5F5F5F"/>
                <w:szCs w:val="19"/>
              </w:rPr>
              <w:t>Other investing activities</w:t>
            </w:r>
          </w:p>
        </w:tc>
        <w:tc>
          <w:tcPr>
            <w:tcW w:w="1276" w:type="dxa"/>
            <w:tcBorders>
              <w:top w:val="single" w:sz="4" w:space="0" w:color="D9D9D9" w:themeColor="background1" w:themeShade="D9"/>
              <w:left w:val="nil"/>
              <w:bottom w:val="single" w:sz="4" w:space="0" w:color="D9D9D9" w:themeColor="background1" w:themeShade="D9"/>
            </w:tcBorders>
            <w:shd w:val="clear" w:color="auto" w:fill="F2F2F2"/>
            <w:tcMar>
              <w:top w:w="57" w:type="dxa"/>
              <w:left w:w="0" w:type="dxa"/>
              <w:bottom w:w="57" w:type="dxa"/>
              <w:right w:w="0" w:type="dxa"/>
            </w:tcMar>
            <w:vAlign w:val="center"/>
          </w:tcPr>
          <w:p w:rsidR="004A00E3" w:rsidRPr="0055761B" w:rsidRDefault="004A00E3" w:rsidP="00135693">
            <w:pPr>
              <w:ind w:right="113"/>
              <w:jc w:val="right"/>
              <w:rPr>
                <w:rFonts w:asciiTheme="minorHAnsi" w:hAnsiTheme="minorHAnsi" w:cstheme="minorHAnsi"/>
                <w:color w:val="5F5F5F"/>
                <w:szCs w:val="19"/>
              </w:rPr>
            </w:pPr>
            <w:r>
              <w:rPr>
                <w:rFonts w:asciiTheme="minorHAnsi" w:hAnsiTheme="minorHAnsi" w:cstheme="minorHAnsi"/>
                <w:color w:val="5F5F5F"/>
                <w:szCs w:val="19"/>
              </w:rPr>
              <w:t>34</w:t>
            </w:r>
          </w:p>
        </w:tc>
      </w:tr>
      <w:tr w:rsidR="004A00E3" w:rsidRPr="0055761B" w:rsidTr="006B4FE1">
        <w:trPr>
          <w:trHeight w:val="255"/>
        </w:trPr>
        <w:tc>
          <w:tcPr>
            <w:tcW w:w="8222" w:type="dxa"/>
            <w:tcBorders>
              <w:top w:val="single" w:sz="4" w:space="0" w:color="D9D9D9" w:themeColor="background1" w:themeShade="D9"/>
              <w:bottom w:val="single" w:sz="4" w:space="0" w:color="D9D9D9" w:themeColor="background1" w:themeShade="D9"/>
              <w:right w:val="nil"/>
            </w:tcBorders>
            <w:tcMar>
              <w:top w:w="57" w:type="dxa"/>
              <w:left w:w="0" w:type="dxa"/>
              <w:bottom w:w="57" w:type="dxa"/>
              <w:right w:w="0" w:type="dxa"/>
            </w:tcMar>
            <w:vAlign w:val="center"/>
          </w:tcPr>
          <w:p w:rsidR="004A00E3" w:rsidRPr="0055761B" w:rsidRDefault="004A00E3" w:rsidP="004A00E3">
            <w:pPr>
              <w:rPr>
                <w:rFonts w:asciiTheme="minorHAnsi" w:hAnsiTheme="minorHAnsi" w:cstheme="minorHAnsi"/>
                <w:color w:val="5F5F5F"/>
                <w:szCs w:val="19"/>
              </w:rPr>
            </w:pPr>
            <w:r>
              <w:rPr>
                <w:rFonts w:asciiTheme="minorHAnsi" w:hAnsiTheme="minorHAnsi" w:cstheme="minorHAnsi"/>
                <w:color w:val="5F5F5F"/>
                <w:szCs w:val="19"/>
              </w:rPr>
              <w:t>Financing activities</w:t>
            </w:r>
          </w:p>
        </w:tc>
        <w:tc>
          <w:tcPr>
            <w:tcW w:w="1276" w:type="dxa"/>
            <w:tcBorders>
              <w:top w:val="single" w:sz="4" w:space="0" w:color="D9D9D9" w:themeColor="background1" w:themeShade="D9"/>
              <w:left w:val="nil"/>
              <w:bottom w:val="single" w:sz="4" w:space="0" w:color="D9D9D9" w:themeColor="background1" w:themeShade="D9"/>
            </w:tcBorders>
            <w:shd w:val="clear" w:color="auto" w:fill="F2F2F2"/>
            <w:tcMar>
              <w:top w:w="57" w:type="dxa"/>
              <w:left w:w="0" w:type="dxa"/>
              <w:bottom w:w="57" w:type="dxa"/>
              <w:right w:w="0" w:type="dxa"/>
            </w:tcMar>
            <w:vAlign w:val="center"/>
          </w:tcPr>
          <w:p w:rsidR="004A00E3" w:rsidRPr="0055761B" w:rsidRDefault="004A00E3" w:rsidP="00135693">
            <w:pPr>
              <w:ind w:right="113"/>
              <w:jc w:val="right"/>
              <w:rPr>
                <w:rFonts w:asciiTheme="minorHAnsi" w:hAnsiTheme="minorHAnsi" w:cstheme="minorHAnsi"/>
                <w:color w:val="5F5F5F"/>
                <w:szCs w:val="19"/>
              </w:rPr>
            </w:pPr>
            <w:r>
              <w:rPr>
                <w:rFonts w:asciiTheme="minorHAnsi" w:hAnsiTheme="minorHAnsi" w:cstheme="minorHAnsi"/>
                <w:color w:val="5F5F5F"/>
                <w:szCs w:val="19"/>
              </w:rPr>
              <w:t>(298)</w:t>
            </w:r>
          </w:p>
        </w:tc>
      </w:tr>
      <w:tr w:rsidR="004A00E3" w:rsidRPr="0055761B" w:rsidTr="006B4FE1">
        <w:trPr>
          <w:trHeight w:val="255"/>
        </w:trPr>
        <w:tc>
          <w:tcPr>
            <w:tcW w:w="8222" w:type="dxa"/>
            <w:tcBorders>
              <w:top w:val="single" w:sz="4" w:space="0" w:color="D9D9D9" w:themeColor="background1" w:themeShade="D9"/>
              <w:bottom w:val="single" w:sz="4" w:space="0" w:color="D9D9D9" w:themeColor="background1" w:themeShade="D9"/>
              <w:right w:val="nil"/>
            </w:tcBorders>
            <w:tcMar>
              <w:top w:w="57" w:type="dxa"/>
              <w:left w:w="0" w:type="dxa"/>
              <w:bottom w:w="57" w:type="dxa"/>
              <w:right w:w="0" w:type="dxa"/>
            </w:tcMar>
            <w:vAlign w:val="center"/>
          </w:tcPr>
          <w:p w:rsidR="004A00E3" w:rsidRPr="0055761B" w:rsidRDefault="004A00E3" w:rsidP="004A00E3">
            <w:pPr>
              <w:rPr>
                <w:rFonts w:asciiTheme="minorHAnsi" w:hAnsiTheme="minorHAnsi" w:cstheme="minorHAnsi"/>
                <w:color w:val="5F5F5F"/>
                <w:szCs w:val="19"/>
              </w:rPr>
            </w:pPr>
            <w:r>
              <w:rPr>
                <w:rFonts w:asciiTheme="minorHAnsi" w:hAnsiTheme="minorHAnsi" w:cstheme="minorHAnsi"/>
                <w:color w:val="5F5F5F"/>
                <w:szCs w:val="19"/>
              </w:rPr>
              <w:t>Cash held for sale</w:t>
            </w:r>
          </w:p>
        </w:tc>
        <w:tc>
          <w:tcPr>
            <w:tcW w:w="1276" w:type="dxa"/>
            <w:tcBorders>
              <w:top w:val="single" w:sz="4" w:space="0" w:color="D9D9D9" w:themeColor="background1" w:themeShade="D9"/>
              <w:left w:val="nil"/>
              <w:bottom w:val="single" w:sz="4" w:space="0" w:color="D9D9D9" w:themeColor="background1" w:themeShade="D9"/>
            </w:tcBorders>
            <w:shd w:val="clear" w:color="auto" w:fill="F2F2F2"/>
            <w:tcMar>
              <w:top w:w="57" w:type="dxa"/>
              <w:left w:w="0" w:type="dxa"/>
              <w:bottom w:w="57" w:type="dxa"/>
              <w:right w:w="0" w:type="dxa"/>
            </w:tcMar>
            <w:vAlign w:val="center"/>
          </w:tcPr>
          <w:p w:rsidR="004A00E3" w:rsidRPr="0055761B" w:rsidRDefault="004A00E3" w:rsidP="00135693">
            <w:pPr>
              <w:ind w:right="113"/>
              <w:jc w:val="right"/>
              <w:rPr>
                <w:rFonts w:asciiTheme="minorHAnsi" w:hAnsiTheme="minorHAnsi" w:cstheme="minorHAnsi"/>
                <w:color w:val="5F5F5F"/>
                <w:szCs w:val="19"/>
              </w:rPr>
            </w:pPr>
            <w:r>
              <w:rPr>
                <w:rFonts w:asciiTheme="minorHAnsi" w:hAnsiTheme="minorHAnsi" w:cstheme="minorHAnsi"/>
                <w:color w:val="5F5F5F"/>
                <w:szCs w:val="19"/>
              </w:rPr>
              <w:t>1</w:t>
            </w:r>
          </w:p>
        </w:tc>
      </w:tr>
      <w:tr w:rsidR="00EB5D64" w:rsidRPr="0055761B" w:rsidTr="006B4FE1">
        <w:trPr>
          <w:trHeight w:val="255"/>
        </w:trPr>
        <w:tc>
          <w:tcPr>
            <w:tcW w:w="8222" w:type="dxa"/>
            <w:tcBorders>
              <w:top w:val="single" w:sz="4" w:space="0" w:color="D9D9D9" w:themeColor="background1" w:themeShade="D9"/>
              <w:bottom w:val="single" w:sz="8" w:space="0" w:color="00305C"/>
              <w:right w:val="nil"/>
            </w:tcBorders>
            <w:tcMar>
              <w:top w:w="57" w:type="dxa"/>
              <w:left w:w="0" w:type="dxa"/>
              <w:bottom w:w="57" w:type="dxa"/>
              <w:right w:w="0" w:type="dxa"/>
            </w:tcMar>
            <w:vAlign w:val="center"/>
          </w:tcPr>
          <w:p w:rsidR="00EB5D64" w:rsidRDefault="00EB5D64" w:rsidP="004A00E3">
            <w:pPr>
              <w:rPr>
                <w:rFonts w:asciiTheme="minorHAnsi" w:hAnsiTheme="minorHAnsi" w:cstheme="minorHAnsi"/>
                <w:color w:val="5F5F5F"/>
                <w:szCs w:val="19"/>
              </w:rPr>
            </w:pPr>
            <w:r>
              <w:rPr>
                <w:rFonts w:asciiTheme="minorHAnsi" w:hAnsiTheme="minorHAnsi" w:cstheme="minorHAnsi"/>
                <w:color w:val="5F5F5F"/>
                <w:szCs w:val="19"/>
              </w:rPr>
              <w:t>Foreign exchange gain on cash and debt</w:t>
            </w:r>
          </w:p>
        </w:tc>
        <w:tc>
          <w:tcPr>
            <w:tcW w:w="1276" w:type="dxa"/>
            <w:tcBorders>
              <w:top w:val="single" w:sz="4" w:space="0" w:color="D9D9D9" w:themeColor="background1" w:themeShade="D9"/>
              <w:left w:val="nil"/>
              <w:bottom w:val="single" w:sz="8" w:space="0" w:color="00305C"/>
            </w:tcBorders>
            <w:shd w:val="clear" w:color="auto" w:fill="F2F2F2"/>
            <w:tcMar>
              <w:top w:w="57" w:type="dxa"/>
              <w:left w:w="0" w:type="dxa"/>
              <w:bottom w:w="57" w:type="dxa"/>
              <w:right w:w="0" w:type="dxa"/>
            </w:tcMar>
            <w:vAlign w:val="center"/>
          </w:tcPr>
          <w:p w:rsidR="00EB5D64" w:rsidRDefault="00EB5D64" w:rsidP="00135693">
            <w:pPr>
              <w:ind w:right="113"/>
              <w:jc w:val="right"/>
              <w:rPr>
                <w:rFonts w:asciiTheme="minorHAnsi" w:hAnsiTheme="minorHAnsi" w:cstheme="minorHAnsi"/>
                <w:color w:val="5F5F5F"/>
                <w:szCs w:val="19"/>
              </w:rPr>
            </w:pPr>
            <w:r>
              <w:rPr>
                <w:rFonts w:asciiTheme="minorHAnsi" w:hAnsiTheme="minorHAnsi" w:cstheme="minorHAnsi"/>
                <w:color w:val="5F5F5F"/>
                <w:szCs w:val="19"/>
              </w:rPr>
              <w:t>7</w:t>
            </w:r>
          </w:p>
        </w:tc>
      </w:tr>
      <w:tr w:rsidR="004A00E3" w:rsidRPr="004A00E3" w:rsidTr="006B4FE1">
        <w:trPr>
          <w:trHeight w:val="255"/>
        </w:trPr>
        <w:tc>
          <w:tcPr>
            <w:tcW w:w="8222" w:type="dxa"/>
            <w:tcBorders>
              <w:top w:val="single" w:sz="8" w:space="0" w:color="00305C"/>
              <w:bottom w:val="single" w:sz="8" w:space="0" w:color="00305C"/>
              <w:right w:val="nil"/>
            </w:tcBorders>
            <w:tcMar>
              <w:top w:w="57" w:type="dxa"/>
              <w:left w:w="0" w:type="dxa"/>
              <w:bottom w:w="57" w:type="dxa"/>
              <w:right w:w="0" w:type="dxa"/>
            </w:tcMar>
            <w:vAlign w:val="center"/>
          </w:tcPr>
          <w:p w:rsidR="004A00E3" w:rsidRPr="004A00E3" w:rsidRDefault="004A00E3" w:rsidP="004A00E3">
            <w:pPr>
              <w:rPr>
                <w:rFonts w:ascii="Calibri" w:hAnsi="Calibri" w:cs="Calibri"/>
                <w:b/>
                <w:color w:val="002B45"/>
                <w:sz w:val="20"/>
                <w:szCs w:val="20"/>
                <w:lang w:val="en-US"/>
              </w:rPr>
            </w:pPr>
            <w:r w:rsidRPr="004A00E3">
              <w:rPr>
                <w:rFonts w:ascii="Calibri" w:hAnsi="Calibri" w:cs="Calibri"/>
                <w:b/>
                <w:color w:val="002B45"/>
                <w:sz w:val="20"/>
                <w:szCs w:val="20"/>
                <w:lang w:val="en-US"/>
              </w:rPr>
              <w:t>Year end 2013 net debt</w:t>
            </w:r>
          </w:p>
        </w:tc>
        <w:tc>
          <w:tcPr>
            <w:tcW w:w="1276" w:type="dxa"/>
            <w:tcBorders>
              <w:top w:val="single" w:sz="8" w:space="0" w:color="00305C"/>
              <w:left w:val="nil"/>
              <w:bottom w:val="single" w:sz="8" w:space="0" w:color="00305C"/>
            </w:tcBorders>
            <w:shd w:val="clear" w:color="auto" w:fill="F2F2F2"/>
            <w:tcMar>
              <w:top w:w="57" w:type="dxa"/>
              <w:left w:w="0" w:type="dxa"/>
              <w:bottom w:w="57" w:type="dxa"/>
              <w:right w:w="0" w:type="dxa"/>
            </w:tcMar>
            <w:vAlign w:val="center"/>
          </w:tcPr>
          <w:p w:rsidR="004A00E3" w:rsidRPr="004A00E3" w:rsidRDefault="004A00E3" w:rsidP="00135693">
            <w:pPr>
              <w:ind w:right="113"/>
              <w:jc w:val="right"/>
              <w:rPr>
                <w:rFonts w:ascii="Calibri" w:hAnsi="Calibri" w:cs="Calibri"/>
                <w:b/>
                <w:color w:val="002B45"/>
                <w:sz w:val="20"/>
                <w:szCs w:val="20"/>
                <w:lang w:val="en-US"/>
              </w:rPr>
            </w:pPr>
            <w:r>
              <w:rPr>
                <w:rFonts w:ascii="Calibri" w:hAnsi="Calibri" w:cs="Calibri"/>
                <w:b/>
                <w:color w:val="002B45"/>
                <w:sz w:val="20"/>
                <w:szCs w:val="20"/>
                <w:lang w:val="en-US"/>
              </w:rPr>
              <w:t>(1,909)</w:t>
            </w:r>
          </w:p>
        </w:tc>
      </w:tr>
    </w:tbl>
    <w:p w:rsidR="00D3409B" w:rsidRPr="00F364BD" w:rsidRDefault="00D3409B" w:rsidP="00F364BD">
      <w:pPr>
        <w:spacing w:before="240" w:after="60"/>
        <w:jc w:val="left"/>
        <w:rPr>
          <w:rFonts w:ascii="Calibri" w:hAnsi="Calibri"/>
          <w:b/>
          <w:color w:val="00305C"/>
          <w:sz w:val="22"/>
          <w:szCs w:val="22"/>
        </w:rPr>
      </w:pPr>
      <w:r w:rsidRPr="00F364BD">
        <w:rPr>
          <w:rFonts w:ascii="Calibri" w:hAnsi="Calibri"/>
          <w:b/>
          <w:color w:val="00305C"/>
          <w:sz w:val="22"/>
          <w:szCs w:val="22"/>
        </w:rPr>
        <w:t>Uganda tax and legal issues</w:t>
      </w:r>
    </w:p>
    <w:p w:rsidR="00D3409B" w:rsidRPr="00D3409B" w:rsidRDefault="00D3409B" w:rsidP="00D3409B">
      <w:pPr>
        <w:autoSpaceDE w:val="0"/>
        <w:autoSpaceDN w:val="0"/>
        <w:adjustRightInd w:val="0"/>
        <w:rPr>
          <w:rFonts w:ascii="Calibri" w:eastAsia="Calibri" w:hAnsi="Calibri"/>
          <w:color w:val="5F5F5F"/>
          <w:szCs w:val="19"/>
          <w:lang w:val="en-IE"/>
        </w:rPr>
      </w:pPr>
      <w:r w:rsidRPr="00D3409B">
        <w:rPr>
          <w:rFonts w:ascii="Calibri" w:eastAsia="Calibri" w:hAnsi="Calibri"/>
          <w:color w:val="5F5F5F"/>
          <w:szCs w:val="19"/>
          <w:lang w:val="en-IE"/>
        </w:rPr>
        <w:t xml:space="preserve">In 2012, we included $142 million in the Group’s tax charge in relation to disputed capital gains tax on the Uganda farm-down to Total and CNOOC. This is currently going through a legal process and on the advice of </w:t>
      </w:r>
      <w:r w:rsidR="00255645">
        <w:rPr>
          <w:rFonts w:ascii="Calibri" w:eastAsia="Calibri" w:hAnsi="Calibri"/>
          <w:color w:val="5F5F5F"/>
          <w:szCs w:val="19"/>
          <w:lang w:val="en-IE"/>
        </w:rPr>
        <w:t xml:space="preserve">leading </w:t>
      </w:r>
      <w:r w:rsidRPr="00D3409B">
        <w:rPr>
          <w:rFonts w:ascii="Calibri" w:eastAsia="Calibri" w:hAnsi="Calibri"/>
          <w:color w:val="5F5F5F"/>
          <w:szCs w:val="19"/>
          <w:lang w:val="en-IE"/>
        </w:rPr>
        <w:t xml:space="preserve">senior counsel, both in international and Ugandan law, we believe we have a strong case and expect the most probable outcome to be that any liability will be similar to the amount already paid on account. Also in relation to the Uganda farm-down we continue to have a receivable on our balance sheet at </w:t>
      </w:r>
      <w:r w:rsidR="006A1511">
        <w:rPr>
          <w:rFonts w:ascii="Calibri" w:eastAsia="Calibri" w:hAnsi="Calibri"/>
          <w:color w:val="5F5F5F"/>
          <w:szCs w:val="19"/>
          <w:lang w:val="en-IE"/>
        </w:rPr>
        <w:t xml:space="preserve">31 </w:t>
      </w:r>
      <w:r w:rsidRPr="00D3409B">
        <w:rPr>
          <w:rFonts w:ascii="Calibri" w:eastAsia="Calibri" w:hAnsi="Calibri"/>
          <w:color w:val="5F5F5F"/>
          <w:szCs w:val="19"/>
          <w:lang w:val="en-IE"/>
        </w:rPr>
        <w:t xml:space="preserve">December 2013 of $358 million contingent consideration due on the 2012 Ugandan farm down </w:t>
      </w:r>
      <w:r w:rsidR="006A1511">
        <w:rPr>
          <w:rFonts w:ascii="Calibri" w:eastAsia="Calibri" w:hAnsi="Calibri"/>
          <w:color w:val="5F5F5F"/>
          <w:szCs w:val="19"/>
          <w:lang w:val="en-IE"/>
        </w:rPr>
        <w:t>from</w:t>
      </w:r>
      <w:r w:rsidRPr="00D3409B">
        <w:rPr>
          <w:rFonts w:ascii="Calibri" w:eastAsia="Calibri" w:hAnsi="Calibri"/>
          <w:color w:val="5F5F5F"/>
          <w:szCs w:val="19"/>
          <w:lang w:val="en-IE"/>
        </w:rPr>
        <w:t xml:space="preserve"> Total and CNOOC. The actual amount recoverable is dependent on the timing of the receipt of certain project approvals and is expected to be settled in full. </w:t>
      </w:r>
    </w:p>
    <w:p w:rsidR="00772C45" w:rsidRDefault="00772C45" w:rsidP="00F364BD">
      <w:pPr>
        <w:spacing w:before="240" w:after="60"/>
        <w:jc w:val="left"/>
        <w:rPr>
          <w:rFonts w:ascii="Calibri" w:hAnsi="Calibri"/>
          <w:b/>
          <w:color w:val="00305C"/>
          <w:sz w:val="22"/>
          <w:szCs w:val="22"/>
        </w:rPr>
      </w:pPr>
    </w:p>
    <w:p w:rsidR="00772C45" w:rsidRDefault="00772C45" w:rsidP="00F364BD">
      <w:pPr>
        <w:spacing w:before="240" w:after="60"/>
        <w:jc w:val="left"/>
        <w:rPr>
          <w:rFonts w:ascii="Calibri" w:hAnsi="Calibri"/>
          <w:b/>
          <w:color w:val="00305C"/>
          <w:sz w:val="22"/>
          <w:szCs w:val="22"/>
        </w:rPr>
      </w:pPr>
    </w:p>
    <w:p w:rsidR="00772C45" w:rsidRDefault="00772C45" w:rsidP="00F364BD">
      <w:pPr>
        <w:spacing w:before="240" w:after="60"/>
        <w:jc w:val="left"/>
        <w:rPr>
          <w:rFonts w:ascii="Calibri" w:hAnsi="Calibri"/>
          <w:b/>
          <w:color w:val="00305C"/>
          <w:sz w:val="22"/>
          <w:szCs w:val="22"/>
        </w:rPr>
      </w:pPr>
    </w:p>
    <w:p w:rsidR="00BA4052" w:rsidRPr="00F364BD" w:rsidRDefault="00BA4052" w:rsidP="00F364BD">
      <w:pPr>
        <w:spacing w:before="240" w:after="60"/>
        <w:jc w:val="left"/>
        <w:rPr>
          <w:rFonts w:ascii="Calibri" w:hAnsi="Calibri"/>
          <w:b/>
          <w:color w:val="00305C"/>
          <w:sz w:val="22"/>
          <w:szCs w:val="22"/>
        </w:rPr>
      </w:pPr>
      <w:r w:rsidRPr="00F364BD">
        <w:rPr>
          <w:rFonts w:ascii="Calibri" w:hAnsi="Calibri"/>
          <w:b/>
          <w:color w:val="00305C"/>
          <w:sz w:val="22"/>
          <w:szCs w:val="22"/>
        </w:rPr>
        <w:t>Liquidity risk management and going concern</w:t>
      </w:r>
    </w:p>
    <w:p w:rsidR="00BA4052" w:rsidRDefault="00255EFF" w:rsidP="00255EFF">
      <w:pPr>
        <w:autoSpaceDE w:val="0"/>
        <w:autoSpaceDN w:val="0"/>
        <w:adjustRightInd w:val="0"/>
        <w:rPr>
          <w:rFonts w:ascii="Calibri" w:eastAsia="Calibri" w:hAnsi="Calibri"/>
          <w:color w:val="5F5F5F"/>
          <w:szCs w:val="19"/>
        </w:rPr>
      </w:pPr>
      <w:r w:rsidRPr="00255EFF">
        <w:rPr>
          <w:rFonts w:ascii="Calibri" w:eastAsia="Calibri" w:hAnsi="Calibri"/>
          <w:color w:val="5F5F5F"/>
          <w:szCs w:val="19"/>
        </w:rPr>
        <w:t>The Group closely monitors and manages its liquidity risk.</w:t>
      </w:r>
      <w:r>
        <w:rPr>
          <w:rFonts w:ascii="Calibri" w:eastAsia="Calibri" w:hAnsi="Calibri"/>
          <w:color w:val="5F5F5F"/>
          <w:szCs w:val="19"/>
        </w:rPr>
        <w:t xml:space="preserve"> </w:t>
      </w:r>
      <w:r w:rsidRPr="00255EFF">
        <w:rPr>
          <w:rFonts w:ascii="Calibri" w:eastAsia="Calibri" w:hAnsi="Calibri"/>
          <w:color w:val="5F5F5F"/>
          <w:szCs w:val="19"/>
        </w:rPr>
        <w:t>Cash forecasts are regularly produced and sensitivities run</w:t>
      </w:r>
      <w:r>
        <w:rPr>
          <w:rFonts w:ascii="Calibri" w:eastAsia="Calibri" w:hAnsi="Calibri"/>
          <w:color w:val="5F5F5F"/>
          <w:szCs w:val="19"/>
        </w:rPr>
        <w:t xml:space="preserve"> </w:t>
      </w:r>
      <w:r w:rsidRPr="00255EFF">
        <w:rPr>
          <w:rFonts w:ascii="Calibri" w:eastAsia="Calibri" w:hAnsi="Calibri"/>
          <w:color w:val="5F5F5F"/>
          <w:szCs w:val="19"/>
        </w:rPr>
        <w:t>for different scenarios including, but not limited to, changes</w:t>
      </w:r>
      <w:r>
        <w:rPr>
          <w:rFonts w:ascii="Calibri" w:eastAsia="Calibri" w:hAnsi="Calibri"/>
          <w:color w:val="5F5F5F"/>
          <w:szCs w:val="19"/>
        </w:rPr>
        <w:t xml:space="preserve"> </w:t>
      </w:r>
      <w:r w:rsidRPr="00255EFF">
        <w:rPr>
          <w:rFonts w:ascii="Calibri" w:eastAsia="Calibri" w:hAnsi="Calibri"/>
          <w:color w:val="5F5F5F"/>
          <w:szCs w:val="19"/>
        </w:rPr>
        <w:t>in commodity prices, different production rates from the</w:t>
      </w:r>
      <w:r>
        <w:rPr>
          <w:rFonts w:ascii="Calibri" w:eastAsia="Calibri" w:hAnsi="Calibri"/>
          <w:color w:val="5F5F5F"/>
          <w:szCs w:val="19"/>
        </w:rPr>
        <w:t xml:space="preserve"> </w:t>
      </w:r>
      <w:r w:rsidRPr="00255EFF">
        <w:rPr>
          <w:rFonts w:ascii="Calibri" w:eastAsia="Calibri" w:hAnsi="Calibri"/>
          <w:color w:val="5F5F5F"/>
          <w:szCs w:val="19"/>
        </w:rPr>
        <w:t>Group’s producing assets and delays to development</w:t>
      </w:r>
      <w:r>
        <w:rPr>
          <w:rFonts w:ascii="Calibri" w:eastAsia="Calibri" w:hAnsi="Calibri"/>
          <w:color w:val="5F5F5F"/>
          <w:szCs w:val="19"/>
        </w:rPr>
        <w:t xml:space="preserve"> </w:t>
      </w:r>
      <w:r w:rsidRPr="00255EFF">
        <w:rPr>
          <w:rFonts w:ascii="Calibri" w:eastAsia="Calibri" w:hAnsi="Calibri"/>
          <w:color w:val="5F5F5F"/>
          <w:szCs w:val="19"/>
        </w:rPr>
        <w:t>projects. In addition to the Group’s operating cash flows,</w:t>
      </w:r>
      <w:r>
        <w:rPr>
          <w:rFonts w:ascii="Calibri" w:eastAsia="Calibri" w:hAnsi="Calibri"/>
          <w:color w:val="5F5F5F"/>
          <w:szCs w:val="19"/>
        </w:rPr>
        <w:t xml:space="preserve"> </w:t>
      </w:r>
      <w:r w:rsidRPr="00255EFF">
        <w:rPr>
          <w:rFonts w:ascii="Calibri" w:eastAsia="Calibri" w:hAnsi="Calibri"/>
          <w:color w:val="5F5F5F"/>
          <w:szCs w:val="19"/>
        </w:rPr>
        <w:t xml:space="preserve">portfolio management opportunities are reviewed </w:t>
      </w:r>
      <w:r w:rsidR="00255645" w:rsidRPr="00255EFF">
        <w:rPr>
          <w:rFonts w:ascii="Calibri" w:eastAsia="Calibri" w:hAnsi="Calibri"/>
          <w:color w:val="5F5F5F"/>
          <w:szCs w:val="19"/>
        </w:rPr>
        <w:t xml:space="preserve">potentially </w:t>
      </w:r>
      <w:r w:rsidRPr="00255EFF">
        <w:rPr>
          <w:rFonts w:ascii="Calibri" w:eastAsia="Calibri" w:hAnsi="Calibri"/>
          <w:color w:val="5F5F5F"/>
          <w:szCs w:val="19"/>
        </w:rPr>
        <w:t>to</w:t>
      </w:r>
      <w:r>
        <w:rPr>
          <w:rFonts w:ascii="Calibri" w:eastAsia="Calibri" w:hAnsi="Calibri"/>
          <w:color w:val="5F5F5F"/>
          <w:szCs w:val="19"/>
        </w:rPr>
        <w:t xml:space="preserve"> </w:t>
      </w:r>
      <w:r w:rsidRPr="00255EFF">
        <w:rPr>
          <w:rFonts w:ascii="Calibri" w:eastAsia="Calibri" w:hAnsi="Calibri"/>
          <w:color w:val="5F5F5F"/>
          <w:szCs w:val="19"/>
        </w:rPr>
        <w:t>enhance the financial capacity and flexibility of the</w:t>
      </w:r>
      <w:r>
        <w:rPr>
          <w:rFonts w:ascii="Calibri" w:eastAsia="Calibri" w:hAnsi="Calibri"/>
          <w:color w:val="5F5F5F"/>
          <w:szCs w:val="19"/>
        </w:rPr>
        <w:t xml:space="preserve"> </w:t>
      </w:r>
      <w:r w:rsidRPr="00255EFF">
        <w:rPr>
          <w:rFonts w:ascii="Calibri" w:eastAsia="Calibri" w:hAnsi="Calibri"/>
          <w:color w:val="5F5F5F"/>
          <w:szCs w:val="19"/>
        </w:rPr>
        <w:t>Group. The Group’s forecasts, taking into account reasonably</w:t>
      </w:r>
      <w:r>
        <w:rPr>
          <w:rFonts w:ascii="Calibri" w:eastAsia="Calibri" w:hAnsi="Calibri"/>
          <w:color w:val="5F5F5F"/>
          <w:szCs w:val="19"/>
        </w:rPr>
        <w:t xml:space="preserve"> </w:t>
      </w:r>
      <w:r w:rsidRPr="00255EFF">
        <w:rPr>
          <w:rFonts w:ascii="Calibri" w:eastAsia="Calibri" w:hAnsi="Calibri"/>
          <w:color w:val="5F5F5F"/>
          <w:szCs w:val="19"/>
        </w:rPr>
        <w:t>possible changes as described above, show that the Group</w:t>
      </w:r>
      <w:r>
        <w:rPr>
          <w:rFonts w:ascii="Calibri" w:eastAsia="Calibri" w:hAnsi="Calibri"/>
          <w:color w:val="5F5F5F"/>
          <w:szCs w:val="19"/>
        </w:rPr>
        <w:t xml:space="preserve"> </w:t>
      </w:r>
      <w:r w:rsidRPr="00255EFF">
        <w:rPr>
          <w:rFonts w:ascii="Calibri" w:eastAsia="Calibri" w:hAnsi="Calibri"/>
          <w:color w:val="5F5F5F"/>
          <w:szCs w:val="19"/>
        </w:rPr>
        <w:t>will be able to operate within its current debt facilities and</w:t>
      </w:r>
      <w:r>
        <w:rPr>
          <w:rFonts w:ascii="Calibri" w:eastAsia="Calibri" w:hAnsi="Calibri"/>
          <w:color w:val="5F5F5F"/>
          <w:szCs w:val="19"/>
        </w:rPr>
        <w:t xml:space="preserve"> </w:t>
      </w:r>
      <w:r w:rsidRPr="00255EFF">
        <w:rPr>
          <w:rFonts w:ascii="Calibri" w:eastAsia="Calibri" w:hAnsi="Calibri"/>
          <w:color w:val="5F5F5F"/>
          <w:szCs w:val="19"/>
        </w:rPr>
        <w:t>have significant financial headroom for the 12 months from</w:t>
      </w:r>
      <w:r>
        <w:rPr>
          <w:rFonts w:ascii="Calibri" w:eastAsia="Calibri" w:hAnsi="Calibri"/>
          <w:color w:val="5F5F5F"/>
          <w:szCs w:val="19"/>
        </w:rPr>
        <w:t xml:space="preserve"> </w:t>
      </w:r>
      <w:r w:rsidRPr="00255EFF">
        <w:rPr>
          <w:rFonts w:ascii="Calibri" w:eastAsia="Calibri" w:hAnsi="Calibri"/>
          <w:color w:val="5F5F5F"/>
          <w:szCs w:val="19"/>
        </w:rPr>
        <w:t>the date of approval of the 2013 Annual Report and Accounts.</w:t>
      </w:r>
    </w:p>
    <w:p w:rsidR="00BA4052" w:rsidRPr="00F364BD" w:rsidRDefault="00405DDF" w:rsidP="00F364BD">
      <w:pPr>
        <w:spacing w:before="240" w:after="60"/>
        <w:jc w:val="left"/>
        <w:rPr>
          <w:rFonts w:ascii="Calibri" w:hAnsi="Calibri"/>
          <w:b/>
          <w:color w:val="00305C"/>
          <w:sz w:val="22"/>
          <w:szCs w:val="22"/>
        </w:rPr>
      </w:pPr>
      <w:r w:rsidRPr="00F364BD">
        <w:rPr>
          <w:rFonts w:ascii="Calibri" w:hAnsi="Calibri"/>
          <w:b/>
          <w:color w:val="00305C"/>
          <w:sz w:val="22"/>
          <w:szCs w:val="22"/>
        </w:rPr>
        <w:t>201</w:t>
      </w:r>
      <w:r w:rsidR="00871692" w:rsidRPr="00F364BD">
        <w:rPr>
          <w:rFonts w:ascii="Calibri" w:hAnsi="Calibri"/>
          <w:b/>
          <w:color w:val="00305C"/>
          <w:sz w:val="22"/>
          <w:szCs w:val="22"/>
        </w:rPr>
        <w:t>4</w:t>
      </w:r>
      <w:r w:rsidR="00BA4052" w:rsidRPr="00F364BD">
        <w:rPr>
          <w:rFonts w:ascii="Calibri" w:hAnsi="Calibri"/>
          <w:b/>
          <w:color w:val="00305C"/>
          <w:sz w:val="22"/>
          <w:szCs w:val="22"/>
        </w:rPr>
        <w:t xml:space="preserve"> principal risks and uncertainties</w:t>
      </w:r>
    </w:p>
    <w:p w:rsidR="00255EFF" w:rsidRDefault="00255EFF" w:rsidP="00255EFF">
      <w:pPr>
        <w:autoSpaceDE w:val="0"/>
        <w:autoSpaceDN w:val="0"/>
        <w:adjustRightInd w:val="0"/>
        <w:rPr>
          <w:rFonts w:ascii="Calibri" w:eastAsia="Calibri" w:hAnsi="Calibri"/>
          <w:color w:val="5F5F5F"/>
          <w:szCs w:val="19"/>
        </w:rPr>
      </w:pPr>
      <w:r w:rsidRPr="00F2526B">
        <w:rPr>
          <w:rFonts w:ascii="Calibri" w:eastAsia="Calibri" w:hAnsi="Calibri"/>
          <w:color w:val="5F5F5F"/>
          <w:szCs w:val="19"/>
        </w:rPr>
        <w:t xml:space="preserve">The principal </w:t>
      </w:r>
      <w:r w:rsidR="00F2526B" w:rsidRPr="00F2526B">
        <w:rPr>
          <w:rFonts w:ascii="Calibri" w:eastAsia="Calibri" w:hAnsi="Calibri"/>
          <w:color w:val="5F5F5F"/>
          <w:szCs w:val="19"/>
        </w:rPr>
        <w:t xml:space="preserve">financial </w:t>
      </w:r>
      <w:r w:rsidRPr="00F2526B">
        <w:rPr>
          <w:rFonts w:ascii="Calibri" w:eastAsia="Calibri" w:hAnsi="Calibri"/>
          <w:color w:val="5F5F5F"/>
          <w:szCs w:val="19"/>
        </w:rPr>
        <w:t>risks to performance identified for 2014 are:</w:t>
      </w:r>
    </w:p>
    <w:p w:rsidR="00255EFF" w:rsidRPr="00F364BD" w:rsidRDefault="00255EFF" w:rsidP="00F364BD">
      <w:pPr>
        <w:pStyle w:val="StyleBulletedSymbolsymbolCustomColorRGB04369Left"/>
        <w:numPr>
          <w:ilvl w:val="0"/>
          <w:numId w:val="5"/>
        </w:numPr>
        <w:tabs>
          <w:tab w:val="clear" w:pos="715"/>
          <w:tab w:val="left" w:pos="0"/>
          <w:tab w:val="num" w:pos="284"/>
        </w:tabs>
        <w:spacing w:before="120"/>
        <w:ind w:left="284" w:hanging="284"/>
        <w:rPr>
          <w:rFonts w:ascii="Calibri" w:hAnsi="Calibri" w:cs="Calibri"/>
          <w:color w:val="5F5F5F"/>
          <w:szCs w:val="19"/>
        </w:rPr>
      </w:pPr>
      <w:r w:rsidRPr="00F364BD">
        <w:rPr>
          <w:rFonts w:ascii="Calibri" w:hAnsi="Calibri" w:cs="Calibri"/>
          <w:color w:val="5F5F5F"/>
          <w:szCs w:val="19"/>
        </w:rPr>
        <w:t>Continued delivery of financial strategy to maintain appropriate liquidity;</w:t>
      </w:r>
    </w:p>
    <w:p w:rsidR="00255EFF" w:rsidRPr="00F364BD" w:rsidRDefault="00255EFF" w:rsidP="00F364BD">
      <w:pPr>
        <w:pStyle w:val="StyleBulletedSymbolsymbolCustomColorRGB04369Left"/>
        <w:numPr>
          <w:ilvl w:val="0"/>
          <w:numId w:val="5"/>
        </w:numPr>
        <w:tabs>
          <w:tab w:val="clear" w:pos="715"/>
          <w:tab w:val="left" w:pos="0"/>
          <w:tab w:val="num" w:pos="284"/>
        </w:tabs>
        <w:spacing w:before="120"/>
        <w:ind w:left="284" w:hanging="284"/>
        <w:rPr>
          <w:rFonts w:ascii="Calibri" w:hAnsi="Calibri" w:cs="Calibri"/>
          <w:color w:val="5F5F5F"/>
          <w:szCs w:val="19"/>
        </w:rPr>
      </w:pPr>
      <w:r w:rsidRPr="00F364BD">
        <w:rPr>
          <w:rFonts w:ascii="Calibri" w:hAnsi="Calibri" w:cs="Calibri"/>
          <w:color w:val="5F5F5F"/>
          <w:szCs w:val="19"/>
        </w:rPr>
        <w:t>Ensuring cost and capital discipline and effective supply chain management;</w:t>
      </w:r>
    </w:p>
    <w:p w:rsidR="00255EFF" w:rsidRPr="00F364BD" w:rsidRDefault="00255EFF" w:rsidP="00F364BD">
      <w:pPr>
        <w:pStyle w:val="StyleBulletedSymbolsymbolCustomColorRGB04369Left"/>
        <w:numPr>
          <w:ilvl w:val="0"/>
          <w:numId w:val="5"/>
        </w:numPr>
        <w:tabs>
          <w:tab w:val="clear" w:pos="715"/>
          <w:tab w:val="left" w:pos="0"/>
          <w:tab w:val="num" w:pos="284"/>
        </w:tabs>
        <w:spacing w:before="120"/>
        <w:ind w:left="284" w:hanging="284"/>
        <w:rPr>
          <w:rFonts w:ascii="Calibri" w:hAnsi="Calibri" w:cs="Calibri"/>
          <w:color w:val="5F5F5F"/>
          <w:szCs w:val="19"/>
        </w:rPr>
      </w:pPr>
      <w:r w:rsidRPr="00F364BD">
        <w:rPr>
          <w:rFonts w:ascii="Calibri" w:hAnsi="Calibri" w:cs="Calibri"/>
          <w:color w:val="5F5F5F"/>
          <w:szCs w:val="19"/>
        </w:rPr>
        <w:t>Oil price and overall market volatility; and</w:t>
      </w:r>
    </w:p>
    <w:p w:rsidR="00BA4052" w:rsidRPr="00F364BD" w:rsidRDefault="00255EFF" w:rsidP="00F364BD">
      <w:pPr>
        <w:pStyle w:val="StyleBulletedSymbolsymbolCustomColorRGB04369Left"/>
        <w:numPr>
          <w:ilvl w:val="0"/>
          <w:numId w:val="5"/>
        </w:numPr>
        <w:tabs>
          <w:tab w:val="clear" w:pos="715"/>
          <w:tab w:val="left" w:pos="0"/>
          <w:tab w:val="num" w:pos="284"/>
        </w:tabs>
        <w:spacing w:before="120"/>
        <w:ind w:left="284" w:hanging="284"/>
        <w:rPr>
          <w:rFonts w:ascii="Calibri" w:hAnsi="Calibri" w:cs="Calibri"/>
          <w:color w:val="5F5F5F"/>
          <w:szCs w:val="19"/>
        </w:rPr>
      </w:pPr>
      <w:r w:rsidRPr="00F364BD">
        <w:rPr>
          <w:rFonts w:ascii="Calibri" w:hAnsi="Calibri" w:cs="Calibri"/>
          <w:color w:val="5F5F5F"/>
          <w:szCs w:val="19"/>
        </w:rPr>
        <w:t>Delivery of planned portfolio activity.</w:t>
      </w:r>
    </w:p>
    <w:p w:rsidR="00BA4052" w:rsidRPr="00F364BD" w:rsidRDefault="00BA4052" w:rsidP="00F364BD">
      <w:pPr>
        <w:spacing w:before="240" w:after="60"/>
        <w:jc w:val="left"/>
        <w:rPr>
          <w:rFonts w:ascii="Calibri" w:hAnsi="Calibri"/>
          <w:b/>
          <w:color w:val="00305C"/>
          <w:sz w:val="22"/>
          <w:szCs w:val="22"/>
        </w:rPr>
      </w:pPr>
      <w:r w:rsidRPr="00F364BD">
        <w:rPr>
          <w:rFonts w:ascii="Calibri" w:hAnsi="Calibri"/>
          <w:b/>
          <w:color w:val="00305C"/>
          <w:sz w:val="22"/>
          <w:szCs w:val="22"/>
        </w:rPr>
        <w:t>Events since year-end</w:t>
      </w:r>
    </w:p>
    <w:p w:rsidR="006B21A3" w:rsidRPr="00772C45" w:rsidRDefault="006A1511" w:rsidP="00772C45">
      <w:pPr>
        <w:autoSpaceDE w:val="0"/>
        <w:autoSpaceDN w:val="0"/>
        <w:adjustRightInd w:val="0"/>
        <w:spacing w:after="120"/>
        <w:rPr>
          <w:rFonts w:ascii="Calibri" w:eastAsia="Calibri" w:hAnsi="Calibri"/>
          <w:color w:val="5F5F5F"/>
          <w:szCs w:val="19"/>
        </w:rPr>
      </w:pPr>
      <w:r w:rsidRPr="00772C45">
        <w:rPr>
          <w:rFonts w:ascii="Calibri" w:eastAsia="Calibri" w:hAnsi="Calibri"/>
          <w:color w:val="5F5F5F"/>
          <w:szCs w:val="19"/>
        </w:rPr>
        <w:t>Since the balance sheet date Tullow has continued its exploration and appraisal, development and portfolio management activities.</w:t>
      </w:r>
    </w:p>
    <w:p w:rsidR="006A1511" w:rsidRPr="00772C45" w:rsidRDefault="006A1511" w:rsidP="00772C45">
      <w:pPr>
        <w:autoSpaceDE w:val="0"/>
        <w:autoSpaceDN w:val="0"/>
        <w:adjustRightInd w:val="0"/>
        <w:spacing w:after="120"/>
        <w:rPr>
          <w:rFonts w:ascii="Calibri" w:eastAsia="Calibri" w:hAnsi="Calibri"/>
          <w:color w:val="5F5F5F"/>
          <w:szCs w:val="19"/>
        </w:rPr>
      </w:pPr>
      <w:r w:rsidRPr="00772C45">
        <w:rPr>
          <w:rFonts w:ascii="Calibri" w:eastAsia="Calibri" w:hAnsi="Calibri"/>
          <w:color w:val="5F5F5F"/>
          <w:szCs w:val="19"/>
        </w:rPr>
        <w:t>In January 2014, Tullow announced oil discoveries at the Amosing-1 and Ewoi-1 exploration wells in Block 10BB onshore northern Kenya. As a result of these latest successes, Tullow updated its estimate of discovered resources in this basin to over 600 mmbo</w:t>
      </w:r>
      <w:r w:rsidR="00860AAD" w:rsidRPr="00772C45">
        <w:rPr>
          <w:rFonts w:ascii="Calibri" w:eastAsia="Calibri" w:hAnsi="Calibri"/>
          <w:color w:val="5F5F5F"/>
          <w:szCs w:val="19"/>
        </w:rPr>
        <w:t xml:space="preserve"> gross</w:t>
      </w:r>
      <w:r w:rsidRPr="00772C45">
        <w:rPr>
          <w:rFonts w:ascii="Calibri" w:eastAsia="Calibri" w:hAnsi="Calibri"/>
          <w:color w:val="5F5F5F"/>
          <w:szCs w:val="19"/>
        </w:rPr>
        <w:t>.</w:t>
      </w:r>
    </w:p>
    <w:p w:rsidR="006A1511" w:rsidRDefault="006A1511" w:rsidP="00772C45">
      <w:pPr>
        <w:autoSpaceDE w:val="0"/>
        <w:autoSpaceDN w:val="0"/>
        <w:adjustRightInd w:val="0"/>
        <w:spacing w:after="120"/>
        <w:rPr>
          <w:rFonts w:ascii="Calibri" w:eastAsia="Calibri" w:hAnsi="Calibri"/>
          <w:color w:val="5F5F5F"/>
          <w:szCs w:val="19"/>
          <w:lang w:val="en-IE"/>
        </w:rPr>
      </w:pPr>
      <w:r w:rsidRPr="00772C45">
        <w:rPr>
          <w:rFonts w:ascii="Calibri" w:eastAsia="Calibri" w:hAnsi="Calibri"/>
          <w:color w:val="5F5F5F"/>
          <w:szCs w:val="19"/>
        </w:rPr>
        <w:t xml:space="preserve">On 5 February 2014 a Memorandum of </w:t>
      </w:r>
      <w:r w:rsidR="001808A9" w:rsidRPr="00772C45">
        <w:rPr>
          <w:rFonts w:ascii="Calibri" w:eastAsia="Calibri" w:hAnsi="Calibri"/>
          <w:color w:val="5F5F5F"/>
          <w:szCs w:val="19"/>
        </w:rPr>
        <w:t>U</w:t>
      </w:r>
      <w:r w:rsidRPr="00772C45">
        <w:rPr>
          <w:rFonts w:ascii="Calibri" w:eastAsia="Calibri" w:hAnsi="Calibri"/>
          <w:color w:val="5F5F5F"/>
          <w:szCs w:val="19"/>
        </w:rPr>
        <w:t>nderstanding was signed between the Government of Uganda and Tullow, Total and CNOOC agreeing a basin wide commercialisation plan for the Lake Albert Basin</w:t>
      </w:r>
      <w:r>
        <w:rPr>
          <w:rFonts w:ascii="Calibri" w:eastAsia="Calibri" w:hAnsi="Calibri"/>
          <w:color w:val="5F5F5F"/>
          <w:szCs w:val="19"/>
          <w:lang w:val="en-IE"/>
        </w:rPr>
        <w:t>.</w:t>
      </w:r>
    </w:p>
    <w:p w:rsidR="00D3409B" w:rsidRPr="00F364BD" w:rsidRDefault="00D3409B" w:rsidP="00F364BD">
      <w:pPr>
        <w:spacing w:before="240" w:after="60"/>
        <w:jc w:val="left"/>
        <w:rPr>
          <w:rFonts w:ascii="Calibri" w:hAnsi="Calibri"/>
          <w:b/>
          <w:color w:val="00305C"/>
          <w:sz w:val="22"/>
          <w:szCs w:val="22"/>
        </w:rPr>
      </w:pPr>
      <w:r w:rsidRPr="00F364BD">
        <w:rPr>
          <w:rFonts w:ascii="Calibri" w:hAnsi="Calibri"/>
          <w:b/>
          <w:color w:val="00305C"/>
          <w:sz w:val="22"/>
          <w:szCs w:val="22"/>
        </w:rPr>
        <w:t>2014 outlook</w:t>
      </w:r>
    </w:p>
    <w:p w:rsidR="00D3409B" w:rsidRPr="00D3409B" w:rsidRDefault="00D3409B" w:rsidP="00D3409B">
      <w:pPr>
        <w:outlineLvl w:val="0"/>
        <w:rPr>
          <w:rFonts w:ascii="Calibri" w:eastAsia="Calibri" w:hAnsi="Calibri"/>
          <w:color w:val="5F5F5F"/>
          <w:szCs w:val="19"/>
          <w:lang w:val="en-IE"/>
        </w:rPr>
      </w:pPr>
      <w:r w:rsidRPr="00D3409B">
        <w:rPr>
          <w:rFonts w:ascii="Calibri" w:eastAsia="Calibri" w:hAnsi="Calibri"/>
          <w:color w:val="5F5F5F"/>
          <w:szCs w:val="19"/>
          <w:lang w:val="en-IE"/>
        </w:rPr>
        <w:t>Tullow has a large asset base diversified across high-value production, selective developments and high-impact exploration. The business generates strong operating cash flow through high margin production and ongoing portfolio management. We fund our activities through disciplined capital management and maintaining a strong financial profile. Overall, we expect 2014 to be another year of progress for Tullow with further growth in the business, continued exploration success and headway being made with major developments and portfolio management.</w:t>
      </w:r>
    </w:p>
    <w:p w:rsidR="00BA4052" w:rsidRPr="00F364BD" w:rsidRDefault="00BA4052" w:rsidP="00F364BD">
      <w:pPr>
        <w:spacing w:before="360" w:after="60"/>
        <w:jc w:val="left"/>
        <w:rPr>
          <w:rFonts w:ascii="Calibri" w:hAnsi="Calibri"/>
          <w:b/>
          <w:color w:val="00305C"/>
          <w:sz w:val="22"/>
          <w:szCs w:val="22"/>
        </w:rPr>
      </w:pPr>
      <w:r w:rsidRPr="00F364BD">
        <w:rPr>
          <w:rFonts w:ascii="Calibri" w:hAnsi="Calibri"/>
          <w:b/>
          <w:color w:val="00305C"/>
          <w:sz w:val="22"/>
          <w:szCs w:val="22"/>
        </w:rPr>
        <w:t>ENDS</w:t>
      </w:r>
    </w:p>
    <w:p w:rsidR="00BA4052" w:rsidRPr="00293CEB" w:rsidRDefault="00BA4052" w:rsidP="00BA4052">
      <w:pPr>
        <w:rPr>
          <w:rFonts w:ascii="Calibri" w:hAnsi="Calibri" w:cs="Calibri"/>
        </w:rPr>
      </w:pPr>
    </w:p>
    <w:p w:rsidR="00BA4052" w:rsidRPr="00293CEB" w:rsidRDefault="00BA4052" w:rsidP="00BA4052">
      <w:pPr>
        <w:outlineLvl w:val="0"/>
        <w:rPr>
          <w:rStyle w:val="StyleFranklinGothicDemi10ptCustomColorRGB1533154"/>
          <w:rFonts w:ascii="Calibri" w:hAnsi="Calibri"/>
          <w:b/>
          <w:sz w:val="22"/>
        </w:rPr>
      </w:pPr>
      <w:r w:rsidRPr="00293CEB">
        <w:rPr>
          <w:rStyle w:val="StyleFranklinGothicDemi10ptCustomColorRGB1533154"/>
          <w:rFonts w:ascii="Calibri" w:hAnsi="Calibri"/>
          <w:b/>
          <w:sz w:val="22"/>
        </w:rPr>
        <w:t>Disclaimer</w:t>
      </w:r>
    </w:p>
    <w:p w:rsidR="00BA4052" w:rsidRDefault="00BA4052" w:rsidP="00BA4052">
      <w:pPr>
        <w:rPr>
          <w:rStyle w:val="StyleCustomColorRGB043691"/>
          <w:rFonts w:ascii="Calibri" w:hAnsi="Calibri" w:cs="Calibri"/>
          <w:color w:val="5F5F5F"/>
        </w:rPr>
      </w:pPr>
      <w:r w:rsidRPr="00293CEB">
        <w:rPr>
          <w:rStyle w:val="StyleCustomColorRGB043691"/>
          <w:rFonts w:ascii="Calibri" w:hAnsi="Calibri" w:cs="Calibri"/>
          <w:color w:val="5F5F5F"/>
        </w:rPr>
        <w:t xml:space="preserve">This results announcement contains certain forward-looking statements that are subject to the risk factors and uncertainties associated with the oil and gas exploration and production business. Whilst the Group believes the expectations reflected herein to be reasonable in light of the information available to them at this time, the actual outcome may be materially different owing to a variety of factors including specific factors identified in this statement and other factors outlined in the Group’s </w:t>
      </w:r>
      <w:r w:rsidR="00255645">
        <w:rPr>
          <w:rStyle w:val="StyleCustomColorRGB043691"/>
          <w:rFonts w:ascii="Calibri" w:hAnsi="Calibri" w:cs="Calibri"/>
          <w:color w:val="5F5F5F"/>
        </w:rPr>
        <w:t>2013</w:t>
      </w:r>
      <w:r w:rsidRPr="00293CEB">
        <w:rPr>
          <w:rStyle w:val="StyleCustomColorRGB043691"/>
          <w:rFonts w:ascii="Calibri" w:hAnsi="Calibri" w:cs="Calibri"/>
          <w:color w:val="5F5F5F"/>
        </w:rPr>
        <w:t xml:space="preserve"> Annual Report.</w:t>
      </w:r>
      <w:r w:rsidRPr="009318F0">
        <w:rPr>
          <w:rStyle w:val="StyleCustomColorRGB043691"/>
          <w:rFonts w:ascii="Calibri" w:hAnsi="Calibri" w:cs="Calibri"/>
          <w:color w:val="5F5F5F"/>
        </w:rPr>
        <w:t xml:space="preserve"> </w:t>
      </w:r>
    </w:p>
    <w:p w:rsidR="00BA4052" w:rsidRPr="00B022BE" w:rsidRDefault="00BA4052" w:rsidP="00BA4052">
      <w:pPr>
        <w:pStyle w:val="NormalWeb"/>
        <w:spacing w:before="0" w:beforeAutospacing="0" w:after="0" w:afterAutospacing="0" w:line="240" w:lineRule="atLeast"/>
        <w:rPr>
          <w:rFonts w:ascii="Calibri" w:eastAsia="Calibri" w:hAnsi="Calibri"/>
          <w:color w:val="5F5F5F"/>
          <w:sz w:val="19"/>
          <w:szCs w:val="19"/>
          <w:lang w:val="en-GB"/>
        </w:rPr>
      </w:pPr>
    </w:p>
    <w:p w:rsidR="00BA4052" w:rsidRDefault="00BA4052" w:rsidP="00BA4052">
      <w:pPr>
        <w:spacing w:line="240" w:lineRule="auto"/>
        <w:jc w:val="left"/>
        <w:rPr>
          <w:rFonts w:ascii="Calibri" w:hAnsi="Calibri" w:cs="Calibri"/>
          <w:b/>
          <w:color w:val="002B45"/>
          <w:sz w:val="28"/>
          <w:szCs w:val="20"/>
        </w:rPr>
      </w:pPr>
      <w:r>
        <w:rPr>
          <w:rFonts w:ascii="Calibri" w:hAnsi="Calibri" w:cs="Calibri"/>
          <w:b/>
          <w:sz w:val="28"/>
        </w:rPr>
        <w:br w:type="page"/>
      </w:r>
    </w:p>
    <w:tbl>
      <w:tblPr>
        <w:tblStyle w:val="TableGrid"/>
        <w:tblpPr w:leftFromText="180" w:rightFromText="180" w:vertAnchor="page" w:horzAnchor="margin" w:tblpY="865"/>
        <w:tblW w:w="9498" w:type="dxa"/>
        <w:tblLayout w:type="fixed"/>
        <w:tblLook w:val="01E0" w:firstRow="1" w:lastRow="1" w:firstColumn="1" w:lastColumn="1" w:noHBand="0" w:noVBand="0"/>
      </w:tblPr>
      <w:tblGrid>
        <w:gridCol w:w="6096"/>
        <w:gridCol w:w="424"/>
        <w:gridCol w:w="710"/>
        <w:gridCol w:w="197"/>
        <w:gridCol w:w="907"/>
        <w:gridCol w:w="1164"/>
      </w:tblGrid>
      <w:tr w:rsidR="007152F7" w:rsidTr="007152F7">
        <w:tc>
          <w:tcPr>
            <w:tcW w:w="6520" w:type="dxa"/>
            <w:gridSpan w:val="2"/>
            <w:tcBorders>
              <w:top w:val="nil"/>
              <w:bottom w:val="nil"/>
            </w:tcBorders>
            <w:vAlign w:val="bottom"/>
          </w:tcPr>
          <w:p w:rsidR="007152F7" w:rsidRPr="009318F0" w:rsidRDefault="007152F7" w:rsidP="007152F7">
            <w:pPr>
              <w:pStyle w:val="StyleSection-heading12ptCustomColorRGB04369Centered"/>
              <w:spacing w:line="280" w:lineRule="exact"/>
              <w:ind w:left="0"/>
              <w:rPr>
                <w:rFonts w:ascii="Calibri" w:hAnsi="Calibri" w:cs="Calibri"/>
                <w:b/>
                <w:sz w:val="28"/>
              </w:rPr>
            </w:pPr>
            <w:r w:rsidRPr="009318F0">
              <w:rPr>
                <w:rFonts w:ascii="Calibri" w:hAnsi="Calibri" w:cs="Calibri"/>
                <w:b/>
                <w:sz w:val="28"/>
              </w:rPr>
              <w:t>Condensed consolidated income statement</w:t>
            </w:r>
          </w:p>
          <w:p w:rsidR="007152F7" w:rsidRPr="00661261" w:rsidRDefault="007152F7" w:rsidP="007152F7">
            <w:pPr>
              <w:pStyle w:val="Tablesub-haeding"/>
              <w:ind w:left="0"/>
              <w:rPr>
                <w:rFonts w:ascii="Calibri" w:hAnsi="Calibri" w:cs="Calibri"/>
                <w:color w:val="5F5F5F"/>
              </w:rPr>
            </w:pPr>
            <w:r>
              <w:rPr>
                <w:rFonts w:ascii="Calibri" w:hAnsi="Calibri" w:cs="Calibri"/>
                <w:color w:val="5F5F5F"/>
              </w:rPr>
              <w:t>Year ended 31 December 2013</w:t>
            </w:r>
          </w:p>
        </w:tc>
        <w:tc>
          <w:tcPr>
            <w:tcW w:w="907" w:type="dxa"/>
            <w:gridSpan w:val="2"/>
            <w:tcBorders>
              <w:top w:val="nil"/>
              <w:bottom w:val="nil"/>
            </w:tcBorders>
            <w:vAlign w:val="bottom"/>
          </w:tcPr>
          <w:p w:rsidR="007152F7" w:rsidRPr="00661261" w:rsidRDefault="007152F7" w:rsidP="007152F7">
            <w:pPr>
              <w:spacing w:line="180" w:lineRule="exact"/>
              <w:jc w:val="right"/>
              <w:rPr>
                <w:rStyle w:val="Bold"/>
                <w:rFonts w:ascii="Calibri" w:hAnsi="Calibri" w:cs="Calibri"/>
                <w:b/>
                <w:color w:val="002B45"/>
                <w:sz w:val="20"/>
                <w:szCs w:val="20"/>
              </w:rPr>
            </w:pPr>
          </w:p>
        </w:tc>
        <w:tc>
          <w:tcPr>
            <w:tcW w:w="907" w:type="dxa"/>
            <w:tcBorders>
              <w:top w:val="nil"/>
              <w:bottom w:val="nil"/>
            </w:tcBorders>
            <w:vAlign w:val="bottom"/>
          </w:tcPr>
          <w:p w:rsidR="007152F7" w:rsidRPr="00661261" w:rsidRDefault="007152F7" w:rsidP="007152F7">
            <w:pPr>
              <w:spacing w:line="180" w:lineRule="exact"/>
              <w:jc w:val="right"/>
              <w:rPr>
                <w:rStyle w:val="Bold"/>
                <w:rFonts w:ascii="Calibri" w:hAnsi="Calibri" w:cs="Calibri"/>
                <w:b/>
                <w:color w:val="002B45"/>
                <w:sz w:val="20"/>
                <w:szCs w:val="20"/>
              </w:rPr>
            </w:pPr>
          </w:p>
        </w:tc>
        <w:tc>
          <w:tcPr>
            <w:tcW w:w="1164" w:type="dxa"/>
            <w:tcBorders>
              <w:top w:val="nil"/>
              <w:bottom w:val="nil"/>
            </w:tcBorders>
            <w:vAlign w:val="bottom"/>
          </w:tcPr>
          <w:p w:rsidR="007152F7" w:rsidRPr="00661261" w:rsidRDefault="007152F7" w:rsidP="007152F7">
            <w:pPr>
              <w:spacing w:line="180" w:lineRule="exact"/>
              <w:jc w:val="center"/>
              <w:rPr>
                <w:rFonts w:ascii="Calibri" w:hAnsi="Calibri" w:cs="Calibri"/>
                <w:b/>
                <w:color w:val="002B45"/>
                <w:sz w:val="20"/>
                <w:szCs w:val="20"/>
                <w:lang w:val="en-US"/>
              </w:rPr>
            </w:pPr>
          </w:p>
        </w:tc>
      </w:tr>
      <w:tr w:rsidR="007152F7" w:rsidRPr="00FC27EC" w:rsidTr="007152F7">
        <w:trPr>
          <w:trHeight w:val="204"/>
        </w:trPr>
        <w:tc>
          <w:tcPr>
            <w:tcW w:w="6096" w:type="dxa"/>
            <w:tcBorders>
              <w:top w:val="nil"/>
              <w:bottom w:val="single" w:sz="8" w:space="0" w:color="00305C"/>
            </w:tcBorders>
            <w:tcMar>
              <w:top w:w="0" w:type="nil"/>
              <w:left w:w="0" w:type="nil"/>
              <w:bottom w:w="0" w:type="nil"/>
              <w:right w:w="0" w:type="nil"/>
            </w:tcMar>
            <w:vAlign w:val="bottom"/>
          </w:tcPr>
          <w:p w:rsidR="007152F7" w:rsidRPr="00FC27EC" w:rsidRDefault="007152F7" w:rsidP="007152F7">
            <w:pPr>
              <w:pStyle w:val="Tabletext0"/>
              <w:rPr>
                <w:rFonts w:ascii="Calibri" w:hAnsi="Calibri" w:cs="Calibri"/>
                <w:color w:val="002B45"/>
                <w:sz w:val="20"/>
                <w:szCs w:val="20"/>
              </w:rPr>
            </w:pPr>
          </w:p>
        </w:tc>
        <w:tc>
          <w:tcPr>
            <w:tcW w:w="1134" w:type="dxa"/>
            <w:gridSpan w:val="2"/>
            <w:tcBorders>
              <w:top w:val="nil"/>
              <w:bottom w:val="single" w:sz="8" w:space="0" w:color="00305C"/>
            </w:tcBorders>
            <w:tcMar>
              <w:top w:w="0" w:type="nil"/>
              <w:left w:w="0" w:type="nil"/>
              <w:bottom w:w="0" w:type="nil"/>
              <w:right w:w="0" w:type="nil"/>
            </w:tcMar>
            <w:vAlign w:val="bottom"/>
          </w:tcPr>
          <w:p w:rsidR="007152F7" w:rsidRPr="00787286" w:rsidRDefault="007152F7" w:rsidP="007152F7">
            <w:pPr>
              <w:pStyle w:val="TableFigures"/>
              <w:ind w:left="113"/>
              <w:rPr>
                <w:rFonts w:asciiTheme="minorHAnsi" w:hAnsiTheme="minorHAnsi"/>
                <w:color w:val="00305C"/>
                <w:sz w:val="20"/>
              </w:rPr>
            </w:pPr>
            <w:r w:rsidRPr="00787286">
              <w:rPr>
                <w:rFonts w:asciiTheme="minorHAnsi" w:hAnsiTheme="minorHAnsi"/>
                <w:color w:val="00305C"/>
                <w:sz w:val="20"/>
              </w:rPr>
              <w:t>Notes</w:t>
            </w:r>
          </w:p>
        </w:tc>
        <w:tc>
          <w:tcPr>
            <w:tcW w:w="1104" w:type="dxa"/>
            <w:gridSpan w:val="2"/>
            <w:tcBorders>
              <w:top w:val="nil"/>
              <w:bottom w:val="single" w:sz="8" w:space="0" w:color="00305C"/>
            </w:tcBorders>
            <w:shd w:val="clear" w:color="auto" w:fill="auto"/>
            <w:tcMar>
              <w:top w:w="0" w:type="nil"/>
              <w:left w:w="0" w:type="nil"/>
              <w:bottom w:w="0" w:type="nil"/>
              <w:right w:w="0" w:type="nil"/>
            </w:tcMar>
            <w:vAlign w:val="bottom"/>
          </w:tcPr>
          <w:p w:rsidR="007152F7" w:rsidRPr="00787286" w:rsidRDefault="007152F7" w:rsidP="007152F7">
            <w:pPr>
              <w:spacing w:line="180" w:lineRule="exact"/>
              <w:ind w:left="113"/>
              <w:jc w:val="right"/>
              <w:rPr>
                <w:rFonts w:ascii="Calibri" w:hAnsi="Calibri" w:cs="Calibri"/>
                <w:b/>
                <w:color w:val="00305C"/>
                <w:sz w:val="20"/>
                <w:szCs w:val="20"/>
                <w:lang w:val="en-US"/>
              </w:rPr>
            </w:pPr>
            <w:r w:rsidRPr="00787286">
              <w:rPr>
                <w:rFonts w:ascii="Calibri" w:hAnsi="Calibri" w:cs="Calibri"/>
                <w:b/>
                <w:color w:val="00305C"/>
                <w:sz w:val="20"/>
                <w:szCs w:val="20"/>
                <w:lang w:val="en-US"/>
              </w:rPr>
              <w:t>201</w:t>
            </w:r>
            <w:r>
              <w:rPr>
                <w:rFonts w:ascii="Calibri" w:hAnsi="Calibri" w:cs="Calibri"/>
                <w:b/>
                <w:color w:val="00305C"/>
                <w:sz w:val="20"/>
                <w:szCs w:val="20"/>
                <w:lang w:val="en-US"/>
              </w:rPr>
              <w:t>3</w:t>
            </w:r>
            <w:r w:rsidRPr="00787286">
              <w:rPr>
                <w:rFonts w:ascii="Calibri" w:hAnsi="Calibri" w:cs="Calibri"/>
                <w:b/>
                <w:color w:val="00305C"/>
                <w:sz w:val="20"/>
                <w:szCs w:val="20"/>
                <w:lang w:val="en-US"/>
              </w:rPr>
              <w:br/>
              <w:t>$m</w:t>
            </w:r>
          </w:p>
        </w:tc>
        <w:tc>
          <w:tcPr>
            <w:tcW w:w="1164" w:type="dxa"/>
            <w:tcBorders>
              <w:top w:val="nil"/>
              <w:bottom w:val="single" w:sz="8" w:space="0" w:color="00305C"/>
            </w:tcBorders>
            <w:tcMar>
              <w:top w:w="0" w:type="nil"/>
              <w:left w:w="0" w:type="nil"/>
              <w:bottom w:w="0" w:type="nil"/>
              <w:right w:w="0" w:type="nil"/>
            </w:tcMar>
            <w:vAlign w:val="bottom"/>
          </w:tcPr>
          <w:p w:rsidR="007152F7" w:rsidRPr="00787286" w:rsidRDefault="007152F7" w:rsidP="007152F7">
            <w:pPr>
              <w:spacing w:line="180" w:lineRule="exact"/>
              <w:ind w:left="113"/>
              <w:jc w:val="right"/>
              <w:rPr>
                <w:rFonts w:ascii="Calibri" w:hAnsi="Calibri" w:cs="Calibri"/>
                <w:b/>
                <w:color w:val="00305C"/>
                <w:sz w:val="20"/>
                <w:szCs w:val="20"/>
                <w:lang w:val="en-US"/>
              </w:rPr>
            </w:pPr>
            <w:r w:rsidRPr="00787286">
              <w:rPr>
                <w:rFonts w:ascii="Calibri" w:hAnsi="Calibri" w:cs="Calibri"/>
                <w:b/>
                <w:color w:val="00305C"/>
                <w:sz w:val="20"/>
                <w:szCs w:val="20"/>
                <w:lang w:val="en-US"/>
              </w:rPr>
              <w:t>2012</w:t>
            </w:r>
            <w:r w:rsidRPr="00787286">
              <w:rPr>
                <w:rFonts w:ascii="Calibri" w:hAnsi="Calibri" w:cs="Calibri"/>
                <w:b/>
                <w:color w:val="00305C"/>
                <w:sz w:val="20"/>
                <w:szCs w:val="20"/>
                <w:lang w:val="en-US"/>
              </w:rPr>
              <w:br/>
              <w:t>$m</w:t>
            </w:r>
          </w:p>
        </w:tc>
      </w:tr>
      <w:tr w:rsidR="007152F7" w:rsidTr="007152F7">
        <w:trPr>
          <w:trHeight w:val="283"/>
        </w:trPr>
        <w:tc>
          <w:tcPr>
            <w:tcW w:w="6096" w:type="dxa"/>
            <w:tcBorders>
              <w:top w:val="single" w:sz="8" w:space="0" w:color="00305C"/>
              <w:bottom w:val="nil"/>
            </w:tcBorders>
            <w:tcMar>
              <w:top w:w="0" w:type="nil"/>
              <w:left w:w="0" w:type="nil"/>
              <w:bottom w:w="0" w:type="nil"/>
              <w:right w:w="0" w:type="nil"/>
            </w:tcMar>
          </w:tcPr>
          <w:p w:rsidR="007152F7" w:rsidRPr="001C78E8" w:rsidRDefault="007152F7" w:rsidP="007152F7">
            <w:pPr>
              <w:pStyle w:val="Tabletext0"/>
              <w:ind w:left="0"/>
              <w:rPr>
                <w:rFonts w:ascii="Calibri" w:hAnsi="Calibri" w:cs="Calibri"/>
                <w:color w:val="002B45"/>
              </w:rPr>
            </w:pPr>
            <w:r>
              <w:rPr>
                <w:rFonts w:ascii="Calibri" w:hAnsi="Calibri" w:cs="Calibri"/>
                <w:color w:val="002B45"/>
              </w:rPr>
              <w:t>C</w:t>
            </w:r>
            <w:r w:rsidRPr="001C78E8">
              <w:rPr>
                <w:rFonts w:ascii="Calibri" w:hAnsi="Calibri" w:cs="Calibri"/>
                <w:color w:val="002B45"/>
              </w:rPr>
              <w:t>ontinuing activities</w:t>
            </w:r>
          </w:p>
        </w:tc>
        <w:tc>
          <w:tcPr>
            <w:tcW w:w="1134" w:type="dxa"/>
            <w:gridSpan w:val="2"/>
            <w:tcBorders>
              <w:top w:val="single" w:sz="8" w:space="0" w:color="00305C"/>
              <w:bottom w:val="nil"/>
            </w:tcBorders>
            <w:tcMar>
              <w:top w:w="0" w:type="nil"/>
              <w:left w:w="0" w:type="nil"/>
              <w:bottom w:w="0" w:type="nil"/>
              <w:right w:w="0" w:type="nil"/>
            </w:tcMar>
          </w:tcPr>
          <w:p w:rsidR="007152F7" w:rsidRPr="00787286" w:rsidRDefault="007152F7" w:rsidP="007152F7">
            <w:pPr>
              <w:pStyle w:val="TableFigures"/>
              <w:ind w:left="113"/>
              <w:rPr>
                <w:rFonts w:asciiTheme="minorHAnsi" w:hAnsiTheme="minorHAnsi"/>
                <w:color w:val="00305C"/>
                <w:sz w:val="19"/>
                <w:szCs w:val="19"/>
              </w:rPr>
            </w:pPr>
          </w:p>
        </w:tc>
        <w:tc>
          <w:tcPr>
            <w:tcW w:w="1104" w:type="dxa"/>
            <w:gridSpan w:val="2"/>
            <w:tcBorders>
              <w:top w:val="single" w:sz="8" w:space="0" w:color="00305C"/>
              <w:bottom w:val="nil"/>
            </w:tcBorders>
            <w:shd w:val="clear" w:color="auto" w:fill="E6E6E6"/>
            <w:tcMar>
              <w:top w:w="0" w:type="nil"/>
              <w:left w:w="0" w:type="nil"/>
              <w:bottom w:w="0" w:type="nil"/>
              <w:right w:w="0" w:type="nil"/>
            </w:tcMar>
          </w:tcPr>
          <w:p w:rsidR="007152F7" w:rsidRDefault="007152F7" w:rsidP="007152F7">
            <w:pPr>
              <w:pStyle w:val="TableFiguresBold"/>
              <w:ind w:left="113" w:right="0"/>
            </w:pPr>
          </w:p>
        </w:tc>
        <w:tc>
          <w:tcPr>
            <w:tcW w:w="1164" w:type="dxa"/>
            <w:tcBorders>
              <w:top w:val="single" w:sz="8" w:space="0" w:color="00305C"/>
              <w:bottom w:val="nil"/>
            </w:tcBorders>
            <w:tcMar>
              <w:top w:w="0" w:type="nil"/>
              <w:left w:w="0" w:type="nil"/>
              <w:bottom w:w="0" w:type="nil"/>
              <w:right w:w="0" w:type="nil"/>
            </w:tcMar>
          </w:tcPr>
          <w:p w:rsidR="007152F7" w:rsidRDefault="007152F7" w:rsidP="007152F7">
            <w:pPr>
              <w:pStyle w:val="TableFigures"/>
              <w:ind w:left="113" w:right="0"/>
            </w:pPr>
          </w:p>
        </w:tc>
      </w:tr>
      <w:tr w:rsidR="007152F7" w:rsidTr="007152F7">
        <w:trPr>
          <w:trHeight w:val="283"/>
        </w:trPr>
        <w:tc>
          <w:tcPr>
            <w:tcW w:w="6096" w:type="dxa"/>
            <w:tcBorders>
              <w:top w:val="nil"/>
              <w:bottom w:val="nil"/>
            </w:tcBorders>
            <w:tcMar>
              <w:top w:w="0" w:type="nil"/>
              <w:left w:w="0" w:type="nil"/>
              <w:bottom w:w="0" w:type="nil"/>
              <w:right w:w="0" w:type="nil"/>
            </w:tcMar>
          </w:tcPr>
          <w:p w:rsidR="007152F7" w:rsidRPr="001C78E8" w:rsidRDefault="007152F7" w:rsidP="007152F7">
            <w:pPr>
              <w:pStyle w:val="TabletextBold"/>
              <w:ind w:left="0"/>
              <w:rPr>
                <w:rFonts w:ascii="Calibri" w:hAnsi="Calibri" w:cs="Calibri"/>
                <w:color w:val="002B45"/>
                <w:sz w:val="19"/>
                <w:szCs w:val="24"/>
                <w:lang w:val="en-US" w:eastAsia="en-US"/>
              </w:rPr>
            </w:pPr>
            <w:r w:rsidRPr="001C78E8">
              <w:rPr>
                <w:rFonts w:ascii="Calibri" w:hAnsi="Calibri" w:cs="Calibri"/>
                <w:color w:val="002B45"/>
                <w:sz w:val="19"/>
                <w:szCs w:val="24"/>
                <w:lang w:val="en-US" w:eastAsia="en-US"/>
              </w:rPr>
              <w:t xml:space="preserve">Sales revenue </w:t>
            </w:r>
          </w:p>
        </w:tc>
        <w:tc>
          <w:tcPr>
            <w:tcW w:w="1134" w:type="dxa"/>
            <w:gridSpan w:val="2"/>
            <w:tcBorders>
              <w:top w:val="nil"/>
              <w:bottom w:val="nil"/>
            </w:tcBorders>
            <w:tcMar>
              <w:top w:w="0" w:type="nil"/>
              <w:left w:w="0" w:type="nil"/>
              <w:bottom w:w="0" w:type="nil"/>
              <w:right w:w="0" w:type="nil"/>
            </w:tcMar>
          </w:tcPr>
          <w:p w:rsidR="007152F7" w:rsidRPr="00787286" w:rsidRDefault="007152F7" w:rsidP="007152F7">
            <w:pPr>
              <w:pStyle w:val="TableFigures"/>
              <w:ind w:left="113"/>
              <w:rPr>
                <w:rFonts w:asciiTheme="minorHAnsi" w:hAnsiTheme="minorHAnsi"/>
                <w:color w:val="00305C"/>
                <w:sz w:val="19"/>
                <w:szCs w:val="19"/>
              </w:rPr>
            </w:pPr>
            <w:r w:rsidRPr="00787286">
              <w:rPr>
                <w:rFonts w:asciiTheme="minorHAnsi" w:hAnsiTheme="minorHAnsi"/>
                <w:color w:val="00305C"/>
                <w:sz w:val="19"/>
                <w:szCs w:val="19"/>
              </w:rPr>
              <w:t>6</w:t>
            </w:r>
          </w:p>
        </w:tc>
        <w:tc>
          <w:tcPr>
            <w:tcW w:w="1104" w:type="dxa"/>
            <w:gridSpan w:val="2"/>
            <w:tcBorders>
              <w:top w:val="nil"/>
              <w:bottom w:val="nil"/>
            </w:tcBorders>
            <w:shd w:val="clear" w:color="auto" w:fill="E6E6E6"/>
            <w:tcMar>
              <w:top w:w="0" w:type="nil"/>
              <w:left w:w="0" w:type="nil"/>
              <w:bottom w:w="0" w:type="nil"/>
              <w:right w:w="0" w:type="nil"/>
            </w:tcMar>
          </w:tcPr>
          <w:p w:rsidR="007152F7" w:rsidRPr="002609A5" w:rsidRDefault="007152F7" w:rsidP="007152F7">
            <w:pPr>
              <w:pStyle w:val="Tabletext"/>
              <w:tabs>
                <w:tab w:val="decimal" w:pos="907"/>
              </w:tabs>
              <w:ind w:left="113"/>
              <w:jc w:val="right"/>
              <w:rPr>
                <w:rFonts w:ascii="Calibri" w:hAnsi="Calibri" w:cs="Calibri"/>
                <w:color w:val="002B45"/>
              </w:rPr>
            </w:pPr>
            <w:r>
              <w:rPr>
                <w:rFonts w:ascii="Calibri" w:hAnsi="Calibri" w:cs="Calibri"/>
                <w:color w:val="002B45"/>
              </w:rPr>
              <w:t>2,646.9</w:t>
            </w:r>
          </w:p>
        </w:tc>
        <w:tc>
          <w:tcPr>
            <w:tcW w:w="1164" w:type="dxa"/>
            <w:tcBorders>
              <w:top w:val="nil"/>
              <w:bottom w:val="nil"/>
            </w:tcBorders>
            <w:tcMar>
              <w:top w:w="0" w:type="nil"/>
              <w:left w:w="0" w:type="nil"/>
              <w:bottom w:w="0" w:type="nil"/>
              <w:right w:w="0" w:type="nil"/>
            </w:tcMar>
          </w:tcPr>
          <w:p w:rsidR="007152F7" w:rsidRPr="002609A5" w:rsidRDefault="007152F7" w:rsidP="007152F7">
            <w:pPr>
              <w:pStyle w:val="Tabletext"/>
              <w:tabs>
                <w:tab w:val="decimal" w:pos="907"/>
              </w:tabs>
              <w:ind w:left="113"/>
              <w:jc w:val="right"/>
              <w:rPr>
                <w:rFonts w:ascii="Calibri" w:hAnsi="Calibri" w:cs="Calibri"/>
                <w:color w:val="002B45"/>
              </w:rPr>
            </w:pPr>
            <w:r w:rsidRPr="002609A5">
              <w:rPr>
                <w:rFonts w:ascii="Calibri" w:hAnsi="Calibri" w:cs="Calibri"/>
                <w:color w:val="002B45"/>
              </w:rPr>
              <w:t xml:space="preserve">  2,344.1</w:t>
            </w:r>
          </w:p>
        </w:tc>
      </w:tr>
      <w:tr w:rsidR="007152F7" w:rsidTr="007152F7">
        <w:trPr>
          <w:trHeight w:val="283"/>
        </w:trPr>
        <w:tc>
          <w:tcPr>
            <w:tcW w:w="6096" w:type="dxa"/>
            <w:tcBorders>
              <w:top w:val="nil"/>
              <w:bottom w:val="single" w:sz="4" w:space="0" w:color="999999"/>
            </w:tcBorders>
            <w:tcMar>
              <w:top w:w="0" w:type="nil"/>
              <w:left w:w="0" w:type="nil"/>
              <w:bottom w:w="0" w:type="nil"/>
              <w:right w:w="0" w:type="nil"/>
            </w:tcMar>
          </w:tcPr>
          <w:p w:rsidR="007152F7" w:rsidRPr="001C78E8" w:rsidRDefault="007152F7" w:rsidP="007152F7">
            <w:pPr>
              <w:pStyle w:val="Tabletext0"/>
              <w:ind w:left="0"/>
              <w:rPr>
                <w:rFonts w:ascii="Calibri" w:hAnsi="Calibri" w:cs="Calibri"/>
                <w:color w:val="002B45"/>
              </w:rPr>
            </w:pPr>
            <w:r w:rsidRPr="001C78E8">
              <w:rPr>
                <w:rFonts w:ascii="Calibri" w:hAnsi="Calibri" w:cs="Calibri"/>
                <w:color w:val="002B45"/>
              </w:rPr>
              <w:t xml:space="preserve">Cost of sales </w:t>
            </w:r>
          </w:p>
        </w:tc>
        <w:tc>
          <w:tcPr>
            <w:tcW w:w="1134" w:type="dxa"/>
            <w:gridSpan w:val="2"/>
            <w:tcBorders>
              <w:top w:val="nil"/>
              <w:bottom w:val="single" w:sz="4" w:space="0" w:color="999999"/>
            </w:tcBorders>
            <w:tcMar>
              <w:top w:w="0" w:type="nil"/>
              <w:left w:w="0" w:type="nil"/>
              <w:bottom w:w="0" w:type="nil"/>
              <w:right w:w="0" w:type="nil"/>
            </w:tcMar>
          </w:tcPr>
          <w:p w:rsidR="007152F7" w:rsidRPr="00787286" w:rsidRDefault="007152F7" w:rsidP="007152F7">
            <w:pPr>
              <w:pStyle w:val="TableFigures"/>
              <w:ind w:left="113"/>
              <w:rPr>
                <w:rFonts w:asciiTheme="minorHAnsi" w:hAnsiTheme="minorHAnsi"/>
                <w:color w:val="00305C"/>
                <w:sz w:val="19"/>
                <w:szCs w:val="19"/>
              </w:rPr>
            </w:pPr>
          </w:p>
        </w:tc>
        <w:tc>
          <w:tcPr>
            <w:tcW w:w="1104" w:type="dxa"/>
            <w:gridSpan w:val="2"/>
            <w:tcBorders>
              <w:top w:val="nil"/>
              <w:bottom w:val="single" w:sz="4" w:space="0" w:color="999999"/>
            </w:tcBorders>
            <w:shd w:val="clear" w:color="auto" w:fill="E6E6E6"/>
            <w:tcMar>
              <w:top w:w="0" w:type="nil"/>
              <w:left w:w="0" w:type="nil"/>
              <w:bottom w:w="0" w:type="nil"/>
              <w:right w:w="0" w:type="nil"/>
            </w:tcMar>
          </w:tcPr>
          <w:p w:rsidR="007152F7" w:rsidRPr="00745A36" w:rsidRDefault="007152F7" w:rsidP="007152F7">
            <w:pPr>
              <w:pStyle w:val="Tabletext"/>
              <w:tabs>
                <w:tab w:val="decimal" w:pos="907"/>
              </w:tabs>
              <w:ind w:left="113"/>
              <w:jc w:val="right"/>
              <w:rPr>
                <w:rFonts w:ascii="Calibri" w:hAnsi="Calibri" w:cs="Calibri"/>
                <w:color w:val="002B45"/>
              </w:rPr>
            </w:pPr>
            <w:r w:rsidRPr="00745A36">
              <w:rPr>
                <w:rFonts w:ascii="Calibri" w:hAnsi="Calibri" w:cs="Calibri"/>
                <w:color w:val="002B45"/>
              </w:rPr>
              <w:t>(1,206.5)</w:t>
            </w:r>
          </w:p>
        </w:tc>
        <w:tc>
          <w:tcPr>
            <w:tcW w:w="1164" w:type="dxa"/>
            <w:tcBorders>
              <w:top w:val="nil"/>
              <w:bottom w:val="single" w:sz="4" w:space="0" w:color="999999"/>
            </w:tcBorders>
            <w:tcMar>
              <w:top w:w="0" w:type="nil"/>
              <w:left w:w="0" w:type="nil"/>
              <w:bottom w:w="0" w:type="nil"/>
              <w:right w:w="0" w:type="nil"/>
            </w:tcMar>
          </w:tcPr>
          <w:p w:rsidR="007152F7" w:rsidRPr="00745A36" w:rsidRDefault="007152F7" w:rsidP="007152F7">
            <w:pPr>
              <w:pStyle w:val="Tabletext"/>
              <w:tabs>
                <w:tab w:val="decimal" w:pos="907"/>
              </w:tabs>
              <w:ind w:left="113"/>
              <w:jc w:val="right"/>
              <w:rPr>
                <w:rFonts w:ascii="Calibri" w:hAnsi="Calibri" w:cs="Calibri"/>
                <w:color w:val="002B45"/>
              </w:rPr>
            </w:pPr>
            <w:r w:rsidRPr="00745A36">
              <w:rPr>
                <w:rFonts w:ascii="Calibri" w:hAnsi="Calibri" w:cs="Calibri"/>
                <w:color w:val="002B45"/>
              </w:rPr>
              <w:t>(999.3)</w:t>
            </w:r>
          </w:p>
        </w:tc>
      </w:tr>
      <w:tr w:rsidR="007152F7" w:rsidTr="007152F7">
        <w:trPr>
          <w:trHeight w:val="283"/>
        </w:trPr>
        <w:tc>
          <w:tcPr>
            <w:tcW w:w="6096" w:type="dxa"/>
            <w:tcBorders>
              <w:top w:val="single" w:sz="4" w:space="0" w:color="999999"/>
              <w:bottom w:val="nil"/>
            </w:tcBorders>
            <w:tcMar>
              <w:top w:w="0" w:type="nil"/>
              <w:left w:w="0" w:type="nil"/>
              <w:bottom w:w="0" w:type="nil"/>
              <w:right w:w="0" w:type="nil"/>
            </w:tcMar>
          </w:tcPr>
          <w:p w:rsidR="007152F7" w:rsidRPr="001C78E8" w:rsidRDefault="007152F7" w:rsidP="007152F7">
            <w:pPr>
              <w:pStyle w:val="TabletextBold"/>
              <w:ind w:left="0"/>
              <w:rPr>
                <w:rFonts w:ascii="Calibri" w:hAnsi="Calibri" w:cs="Calibri"/>
                <w:color w:val="002B45"/>
                <w:sz w:val="19"/>
                <w:szCs w:val="24"/>
                <w:lang w:val="en-US" w:eastAsia="en-US"/>
              </w:rPr>
            </w:pPr>
            <w:r w:rsidRPr="001C78E8">
              <w:rPr>
                <w:rFonts w:ascii="Calibri" w:hAnsi="Calibri" w:cs="Calibri"/>
                <w:color w:val="002B45"/>
                <w:sz w:val="19"/>
                <w:szCs w:val="24"/>
                <w:lang w:val="en-US" w:eastAsia="en-US"/>
              </w:rPr>
              <w:t xml:space="preserve">Gross profit </w:t>
            </w:r>
          </w:p>
        </w:tc>
        <w:tc>
          <w:tcPr>
            <w:tcW w:w="1134" w:type="dxa"/>
            <w:gridSpan w:val="2"/>
            <w:tcBorders>
              <w:top w:val="single" w:sz="4" w:space="0" w:color="999999"/>
              <w:bottom w:val="nil"/>
            </w:tcBorders>
            <w:tcMar>
              <w:top w:w="0" w:type="nil"/>
              <w:left w:w="0" w:type="nil"/>
              <w:bottom w:w="0" w:type="nil"/>
              <w:right w:w="0" w:type="nil"/>
            </w:tcMar>
          </w:tcPr>
          <w:p w:rsidR="007152F7" w:rsidRPr="00787286" w:rsidRDefault="007152F7" w:rsidP="007152F7">
            <w:pPr>
              <w:pStyle w:val="TableFigures"/>
              <w:ind w:left="113"/>
              <w:rPr>
                <w:rFonts w:asciiTheme="minorHAnsi" w:hAnsiTheme="minorHAnsi"/>
                <w:color w:val="00305C"/>
                <w:sz w:val="19"/>
                <w:szCs w:val="19"/>
              </w:rPr>
            </w:pPr>
          </w:p>
        </w:tc>
        <w:tc>
          <w:tcPr>
            <w:tcW w:w="1104" w:type="dxa"/>
            <w:gridSpan w:val="2"/>
            <w:tcBorders>
              <w:top w:val="single" w:sz="4" w:space="0" w:color="999999"/>
              <w:bottom w:val="nil"/>
            </w:tcBorders>
            <w:shd w:val="clear" w:color="auto" w:fill="E6E6E6"/>
            <w:tcMar>
              <w:top w:w="0" w:type="nil"/>
              <w:left w:w="0" w:type="nil"/>
              <w:bottom w:w="0" w:type="nil"/>
              <w:right w:w="0" w:type="nil"/>
            </w:tcMar>
          </w:tcPr>
          <w:p w:rsidR="007152F7" w:rsidRPr="00745A36" w:rsidRDefault="007152F7" w:rsidP="007152F7">
            <w:pPr>
              <w:pStyle w:val="Tabletext"/>
              <w:tabs>
                <w:tab w:val="decimal" w:pos="907"/>
              </w:tabs>
              <w:ind w:left="113"/>
              <w:jc w:val="right"/>
              <w:rPr>
                <w:rFonts w:ascii="Calibri" w:hAnsi="Calibri" w:cs="Calibri"/>
                <w:color w:val="002B45"/>
              </w:rPr>
            </w:pPr>
            <w:r w:rsidRPr="00745A36">
              <w:rPr>
                <w:rFonts w:ascii="Calibri" w:hAnsi="Calibri" w:cs="Calibri"/>
                <w:color w:val="002B45"/>
              </w:rPr>
              <w:t xml:space="preserve"> 1,440.4 </w:t>
            </w:r>
          </w:p>
        </w:tc>
        <w:tc>
          <w:tcPr>
            <w:tcW w:w="1164" w:type="dxa"/>
            <w:tcBorders>
              <w:top w:val="single" w:sz="4" w:space="0" w:color="999999"/>
              <w:bottom w:val="nil"/>
            </w:tcBorders>
            <w:tcMar>
              <w:top w:w="0" w:type="nil"/>
              <w:left w:w="0" w:type="nil"/>
              <w:bottom w:w="0" w:type="nil"/>
              <w:right w:w="0" w:type="nil"/>
            </w:tcMar>
          </w:tcPr>
          <w:p w:rsidR="007152F7" w:rsidRPr="00745A36" w:rsidRDefault="007152F7" w:rsidP="007152F7">
            <w:pPr>
              <w:pStyle w:val="Tabletext"/>
              <w:tabs>
                <w:tab w:val="decimal" w:pos="907"/>
              </w:tabs>
              <w:ind w:left="113"/>
              <w:jc w:val="right"/>
              <w:rPr>
                <w:rFonts w:ascii="Calibri" w:hAnsi="Calibri" w:cs="Calibri"/>
                <w:color w:val="002B45"/>
              </w:rPr>
            </w:pPr>
            <w:r w:rsidRPr="00745A36">
              <w:rPr>
                <w:rFonts w:ascii="Calibri" w:hAnsi="Calibri" w:cs="Calibri"/>
                <w:color w:val="002B45"/>
              </w:rPr>
              <w:t xml:space="preserve"> 1,344.8 </w:t>
            </w:r>
          </w:p>
        </w:tc>
      </w:tr>
      <w:tr w:rsidR="007152F7" w:rsidTr="007152F7">
        <w:trPr>
          <w:trHeight w:val="283"/>
        </w:trPr>
        <w:tc>
          <w:tcPr>
            <w:tcW w:w="6096" w:type="dxa"/>
            <w:tcBorders>
              <w:top w:val="nil"/>
              <w:bottom w:val="nil"/>
            </w:tcBorders>
            <w:tcMar>
              <w:top w:w="0" w:type="nil"/>
              <w:left w:w="0" w:type="nil"/>
              <w:bottom w:w="0" w:type="nil"/>
              <w:right w:w="0" w:type="nil"/>
            </w:tcMar>
          </w:tcPr>
          <w:p w:rsidR="007152F7" w:rsidRPr="001C78E8" w:rsidRDefault="007152F7" w:rsidP="007152F7">
            <w:pPr>
              <w:pStyle w:val="Tabletext0"/>
              <w:ind w:left="0"/>
              <w:rPr>
                <w:rFonts w:ascii="Calibri" w:hAnsi="Calibri" w:cs="Calibri"/>
                <w:color w:val="002B45"/>
              </w:rPr>
            </w:pPr>
            <w:r w:rsidRPr="001C78E8">
              <w:rPr>
                <w:rFonts w:ascii="Calibri" w:hAnsi="Calibri" w:cs="Calibri"/>
                <w:color w:val="002B45"/>
              </w:rPr>
              <w:t xml:space="preserve">Administrative expenses </w:t>
            </w:r>
          </w:p>
        </w:tc>
        <w:tc>
          <w:tcPr>
            <w:tcW w:w="1134" w:type="dxa"/>
            <w:gridSpan w:val="2"/>
            <w:tcBorders>
              <w:top w:val="nil"/>
              <w:bottom w:val="nil"/>
            </w:tcBorders>
            <w:tcMar>
              <w:top w:w="0" w:type="nil"/>
              <w:left w:w="0" w:type="nil"/>
              <w:bottom w:w="0" w:type="nil"/>
              <w:right w:w="0" w:type="nil"/>
            </w:tcMar>
          </w:tcPr>
          <w:p w:rsidR="007152F7" w:rsidRPr="00787286" w:rsidRDefault="007152F7" w:rsidP="007152F7">
            <w:pPr>
              <w:pStyle w:val="TableFigures"/>
              <w:ind w:left="113"/>
              <w:rPr>
                <w:rFonts w:asciiTheme="minorHAnsi" w:hAnsiTheme="minorHAnsi"/>
                <w:color w:val="00305C"/>
                <w:sz w:val="19"/>
                <w:szCs w:val="19"/>
              </w:rPr>
            </w:pPr>
          </w:p>
        </w:tc>
        <w:tc>
          <w:tcPr>
            <w:tcW w:w="1104" w:type="dxa"/>
            <w:gridSpan w:val="2"/>
            <w:tcBorders>
              <w:top w:val="nil"/>
              <w:bottom w:val="nil"/>
            </w:tcBorders>
            <w:shd w:val="clear" w:color="auto" w:fill="E6E6E6"/>
            <w:tcMar>
              <w:top w:w="0" w:type="nil"/>
              <w:left w:w="0" w:type="nil"/>
              <w:bottom w:w="0" w:type="nil"/>
              <w:right w:w="0" w:type="nil"/>
            </w:tcMar>
          </w:tcPr>
          <w:p w:rsidR="007152F7" w:rsidRPr="00745A36" w:rsidRDefault="007152F7" w:rsidP="007152F7">
            <w:pPr>
              <w:pStyle w:val="Tabletext"/>
              <w:tabs>
                <w:tab w:val="decimal" w:pos="907"/>
              </w:tabs>
              <w:ind w:left="113"/>
              <w:jc w:val="right"/>
              <w:rPr>
                <w:rFonts w:ascii="Calibri" w:hAnsi="Calibri" w:cs="Calibri"/>
                <w:color w:val="002B45"/>
              </w:rPr>
            </w:pPr>
            <w:r w:rsidRPr="00745A36">
              <w:rPr>
                <w:rFonts w:ascii="Calibri" w:hAnsi="Calibri" w:cs="Calibri"/>
                <w:color w:val="002B45"/>
              </w:rPr>
              <w:t>(218.5)</w:t>
            </w:r>
          </w:p>
        </w:tc>
        <w:tc>
          <w:tcPr>
            <w:tcW w:w="1164" w:type="dxa"/>
            <w:tcBorders>
              <w:top w:val="nil"/>
              <w:bottom w:val="nil"/>
            </w:tcBorders>
            <w:tcMar>
              <w:top w:w="0" w:type="nil"/>
              <w:left w:w="0" w:type="nil"/>
              <w:bottom w:w="0" w:type="nil"/>
              <w:right w:w="0" w:type="nil"/>
            </w:tcMar>
          </w:tcPr>
          <w:p w:rsidR="007152F7" w:rsidRPr="00745A36" w:rsidRDefault="007152F7" w:rsidP="007152F7">
            <w:pPr>
              <w:pStyle w:val="Tabletext"/>
              <w:tabs>
                <w:tab w:val="decimal" w:pos="907"/>
              </w:tabs>
              <w:ind w:left="113"/>
              <w:jc w:val="right"/>
              <w:rPr>
                <w:rFonts w:ascii="Calibri" w:hAnsi="Calibri" w:cs="Calibri"/>
                <w:color w:val="002B45"/>
              </w:rPr>
            </w:pPr>
            <w:r w:rsidRPr="00745A36">
              <w:rPr>
                <w:rFonts w:ascii="Calibri" w:hAnsi="Calibri" w:cs="Calibri"/>
                <w:color w:val="002B45"/>
              </w:rPr>
              <w:t>(191.2)</w:t>
            </w:r>
          </w:p>
        </w:tc>
      </w:tr>
      <w:tr w:rsidR="007152F7" w:rsidTr="007152F7">
        <w:trPr>
          <w:trHeight w:val="283"/>
        </w:trPr>
        <w:tc>
          <w:tcPr>
            <w:tcW w:w="6096" w:type="dxa"/>
            <w:tcBorders>
              <w:top w:val="nil"/>
              <w:bottom w:val="nil"/>
            </w:tcBorders>
            <w:tcMar>
              <w:top w:w="0" w:type="nil"/>
              <w:left w:w="0" w:type="nil"/>
              <w:bottom w:w="0" w:type="nil"/>
              <w:right w:w="0" w:type="nil"/>
            </w:tcMar>
          </w:tcPr>
          <w:p w:rsidR="007152F7" w:rsidRPr="001C78E8" w:rsidRDefault="007152F7" w:rsidP="007152F7">
            <w:pPr>
              <w:pStyle w:val="Tabletext0"/>
              <w:ind w:left="0"/>
              <w:rPr>
                <w:rFonts w:ascii="Calibri" w:hAnsi="Calibri" w:cs="Calibri"/>
                <w:color w:val="002B45"/>
              </w:rPr>
            </w:pPr>
            <w:r w:rsidRPr="001C78E8">
              <w:rPr>
                <w:rFonts w:ascii="Calibri" w:hAnsi="Calibri" w:cs="Calibri"/>
                <w:color w:val="002B45"/>
              </w:rPr>
              <w:t>Profit on disposal</w:t>
            </w:r>
          </w:p>
        </w:tc>
        <w:tc>
          <w:tcPr>
            <w:tcW w:w="1134" w:type="dxa"/>
            <w:gridSpan w:val="2"/>
            <w:tcBorders>
              <w:top w:val="nil"/>
              <w:bottom w:val="nil"/>
            </w:tcBorders>
            <w:tcMar>
              <w:top w:w="0" w:type="nil"/>
              <w:left w:w="0" w:type="nil"/>
              <w:bottom w:w="0" w:type="nil"/>
              <w:right w:w="0" w:type="nil"/>
            </w:tcMar>
          </w:tcPr>
          <w:p w:rsidR="007152F7" w:rsidRPr="00787286" w:rsidRDefault="007152F7" w:rsidP="007152F7">
            <w:pPr>
              <w:pStyle w:val="TableFigures"/>
              <w:ind w:left="113"/>
              <w:rPr>
                <w:rFonts w:asciiTheme="minorHAnsi" w:hAnsiTheme="minorHAnsi"/>
                <w:color w:val="00305C"/>
                <w:sz w:val="19"/>
                <w:szCs w:val="19"/>
              </w:rPr>
            </w:pPr>
            <w:r w:rsidRPr="00787286">
              <w:rPr>
                <w:rFonts w:asciiTheme="minorHAnsi" w:hAnsiTheme="minorHAnsi"/>
                <w:color w:val="00305C"/>
                <w:sz w:val="19"/>
                <w:szCs w:val="19"/>
              </w:rPr>
              <w:t>9</w:t>
            </w:r>
          </w:p>
        </w:tc>
        <w:tc>
          <w:tcPr>
            <w:tcW w:w="1104" w:type="dxa"/>
            <w:gridSpan w:val="2"/>
            <w:tcBorders>
              <w:top w:val="nil"/>
              <w:bottom w:val="nil"/>
            </w:tcBorders>
            <w:shd w:val="clear" w:color="auto" w:fill="E6E6E6"/>
            <w:tcMar>
              <w:top w:w="0" w:type="nil"/>
              <w:left w:w="0" w:type="nil"/>
              <w:bottom w:w="0" w:type="nil"/>
              <w:right w:w="0" w:type="nil"/>
            </w:tcMar>
          </w:tcPr>
          <w:p w:rsidR="007152F7" w:rsidRPr="00745A36" w:rsidRDefault="007152F7" w:rsidP="007152F7">
            <w:pPr>
              <w:pStyle w:val="Tabletext"/>
              <w:tabs>
                <w:tab w:val="decimal" w:pos="907"/>
              </w:tabs>
              <w:ind w:left="113"/>
              <w:jc w:val="right"/>
              <w:rPr>
                <w:rFonts w:ascii="Calibri" w:hAnsi="Calibri" w:cs="Calibri"/>
                <w:color w:val="002B45"/>
              </w:rPr>
            </w:pPr>
            <w:r>
              <w:rPr>
                <w:rFonts w:ascii="Calibri" w:hAnsi="Calibri" w:cs="Calibri"/>
                <w:color w:val="002B45"/>
              </w:rPr>
              <w:t>29</w:t>
            </w:r>
            <w:r w:rsidRPr="00745A36">
              <w:rPr>
                <w:rFonts w:ascii="Calibri" w:hAnsi="Calibri" w:cs="Calibri"/>
                <w:color w:val="002B45"/>
              </w:rPr>
              <w:t>.5</w:t>
            </w:r>
          </w:p>
        </w:tc>
        <w:tc>
          <w:tcPr>
            <w:tcW w:w="1164" w:type="dxa"/>
            <w:tcBorders>
              <w:top w:val="nil"/>
              <w:bottom w:val="nil"/>
            </w:tcBorders>
            <w:tcMar>
              <w:top w:w="0" w:type="nil"/>
              <w:left w:w="0" w:type="nil"/>
              <w:bottom w:w="0" w:type="nil"/>
              <w:right w:w="0" w:type="nil"/>
            </w:tcMar>
          </w:tcPr>
          <w:p w:rsidR="007152F7" w:rsidRPr="00745A36" w:rsidRDefault="007152F7" w:rsidP="007152F7">
            <w:pPr>
              <w:pStyle w:val="Tabletext"/>
              <w:tabs>
                <w:tab w:val="decimal" w:pos="907"/>
              </w:tabs>
              <w:ind w:left="113"/>
              <w:jc w:val="right"/>
              <w:rPr>
                <w:rFonts w:ascii="Calibri" w:hAnsi="Calibri" w:cs="Calibri"/>
                <w:color w:val="002B45"/>
              </w:rPr>
            </w:pPr>
            <w:r w:rsidRPr="00745A36">
              <w:rPr>
                <w:rFonts w:ascii="Calibri" w:hAnsi="Calibri" w:cs="Calibri"/>
                <w:color w:val="002B45"/>
              </w:rPr>
              <w:t xml:space="preserve"> 702.5 </w:t>
            </w:r>
          </w:p>
        </w:tc>
      </w:tr>
      <w:tr w:rsidR="007152F7" w:rsidTr="007152F7">
        <w:trPr>
          <w:trHeight w:val="283"/>
        </w:trPr>
        <w:tc>
          <w:tcPr>
            <w:tcW w:w="6096" w:type="dxa"/>
            <w:tcBorders>
              <w:top w:val="nil"/>
              <w:bottom w:val="single" w:sz="4" w:space="0" w:color="999999"/>
            </w:tcBorders>
            <w:tcMar>
              <w:top w:w="0" w:type="nil"/>
              <w:left w:w="0" w:type="nil"/>
              <w:bottom w:w="0" w:type="nil"/>
              <w:right w:w="0" w:type="nil"/>
            </w:tcMar>
          </w:tcPr>
          <w:p w:rsidR="007152F7" w:rsidRPr="001C78E8" w:rsidRDefault="007152F7" w:rsidP="007152F7">
            <w:pPr>
              <w:pStyle w:val="Tabletext0"/>
              <w:ind w:left="0"/>
              <w:rPr>
                <w:rFonts w:ascii="Calibri" w:hAnsi="Calibri" w:cs="Calibri"/>
                <w:color w:val="002B45"/>
              </w:rPr>
            </w:pPr>
            <w:r w:rsidRPr="001C78E8">
              <w:rPr>
                <w:rFonts w:ascii="Calibri" w:hAnsi="Calibri" w:cs="Calibri"/>
                <w:color w:val="002B45"/>
              </w:rPr>
              <w:t>Exploration costs written off</w:t>
            </w:r>
          </w:p>
        </w:tc>
        <w:tc>
          <w:tcPr>
            <w:tcW w:w="1134" w:type="dxa"/>
            <w:gridSpan w:val="2"/>
            <w:tcBorders>
              <w:top w:val="nil"/>
              <w:bottom w:val="single" w:sz="4" w:space="0" w:color="999999"/>
            </w:tcBorders>
            <w:tcMar>
              <w:top w:w="0" w:type="nil"/>
              <w:left w:w="0" w:type="nil"/>
              <w:bottom w:w="0" w:type="nil"/>
              <w:right w:w="0" w:type="nil"/>
            </w:tcMar>
          </w:tcPr>
          <w:p w:rsidR="007152F7" w:rsidRPr="00787286" w:rsidRDefault="007152F7" w:rsidP="007152F7">
            <w:pPr>
              <w:pStyle w:val="TableFigures"/>
              <w:ind w:left="113"/>
              <w:rPr>
                <w:rFonts w:asciiTheme="minorHAnsi" w:hAnsiTheme="minorHAnsi"/>
                <w:color w:val="00305C"/>
                <w:sz w:val="19"/>
                <w:szCs w:val="19"/>
              </w:rPr>
            </w:pPr>
            <w:r w:rsidRPr="00787286">
              <w:rPr>
                <w:rFonts w:asciiTheme="minorHAnsi" w:hAnsiTheme="minorHAnsi"/>
                <w:color w:val="00305C"/>
                <w:sz w:val="19"/>
                <w:szCs w:val="19"/>
              </w:rPr>
              <w:t>10</w:t>
            </w:r>
          </w:p>
        </w:tc>
        <w:tc>
          <w:tcPr>
            <w:tcW w:w="1104" w:type="dxa"/>
            <w:gridSpan w:val="2"/>
            <w:tcBorders>
              <w:top w:val="nil"/>
              <w:bottom w:val="single" w:sz="4" w:space="0" w:color="999999"/>
            </w:tcBorders>
            <w:shd w:val="clear" w:color="auto" w:fill="E6E6E6"/>
            <w:tcMar>
              <w:top w:w="0" w:type="nil"/>
              <w:left w:w="0" w:type="nil"/>
              <w:bottom w:w="0" w:type="nil"/>
              <w:right w:w="0" w:type="nil"/>
            </w:tcMar>
          </w:tcPr>
          <w:p w:rsidR="007152F7" w:rsidRPr="00745A36" w:rsidRDefault="007152F7" w:rsidP="007152F7">
            <w:pPr>
              <w:pStyle w:val="Tabletext"/>
              <w:tabs>
                <w:tab w:val="decimal" w:pos="907"/>
              </w:tabs>
              <w:ind w:left="113"/>
              <w:jc w:val="right"/>
              <w:rPr>
                <w:rFonts w:ascii="Calibri" w:hAnsi="Calibri" w:cs="Calibri"/>
                <w:color w:val="002B45"/>
              </w:rPr>
            </w:pPr>
            <w:r w:rsidRPr="00745A36">
              <w:rPr>
                <w:rFonts w:ascii="Calibri" w:hAnsi="Calibri" w:cs="Calibri"/>
                <w:color w:val="002B45"/>
              </w:rPr>
              <w:t>(870.6)</w:t>
            </w:r>
          </w:p>
        </w:tc>
        <w:tc>
          <w:tcPr>
            <w:tcW w:w="1164" w:type="dxa"/>
            <w:tcBorders>
              <w:top w:val="nil"/>
              <w:bottom w:val="single" w:sz="4" w:space="0" w:color="999999"/>
            </w:tcBorders>
            <w:tcMar>
              <w:top w:w="0" w:type="nil"/>
              <w:left w:w="0" w:type="nil"/>
              <w:bottom w:w="0" w:type="nil"/>
              <w:right w:w="0" w:type="nil"/>
            </w:tcMar>
          </w:tcPr>
          <w:p w:rsidR="007152F7" w:rsidRPr="00745A36" w:rsidRDefault="007152F7" w:rsidP="007152F7">
            <w:pPr>
              <w:pStyle w:val="Tabletext"/>
              <w:tabs>
                <w:tab w:val="decimal" w:pos="907"/>
              </w:tabs>
              <w:ind w:left="113"/>
              <w:jc w:val="right"/>
              <w:rPr>
                <w:rFonts w:ascii="Calibri" w:hAnsi="Calibri" w:cs="Calibri"/>
                <w:color w:val="002B45"/>
              </w:rPr>
            </w:pPr>
            <w:r w:rsidRPr="00745A36">
              <w:rPr>
                <w:rFonts w:ascii="Calibri" w:hAnsi="Calibri" w:cs="Calibri"/>
                <w:color w:val="002B45"/>
              </w:rPr>
              <w:t>(670.9)</w:t>
            </w:r>
          </w:p>
        </w:tc>
      </w:tr>
      <w:tr w:rsidR="007152F7" w:rsidTr="007152F7">
        <w:trPr>
          <w:trHeight w:val="283"/>
        </w:trPr>
        <w:tc>
          <w:tcPr>
            <w:tcW w:w="6096" w:type="dxa"/>
            <w:tcBorders>
              <w:top w:val="single" w:sz="4" w:space="0" w:color="999999"/>
              <w:bottom w:val="nil"/>
            </w:tcBorders>
            <w:tcMar>
              <w:top w:w="0" w:type="nil"/>
              <w:left w:w="0" w:type="nil"/>
              <w:bottom w:w="0" w:type="nil"/>
              <w:right w:w="0" w:type="nil"/>
            </w:tcMar>
          </w:tcPr>
          <w:p w:rsidR="007152F7" w:rsidRPr="001C78E8" w:rsidRDefault="007152F7" w:rsidP="007152F7">
            <w:pPr>
              <w:pStyle w:val="TabletextBold"/>
              <w:ind w:left="0"/>
              <w:rPr>
                <w:rFonts w:ascii="Calibri" w:hAnsi="Calibri" w:cs="Calibri"/>
                <w:color w:val="002B45"/>
                <w:sz w:val="19"/>
                <w:szCs w:val="24"/>
                <w:lang w:val="en-US" w:eastAsia="en-US"/>
              </w:rPr>
            </w:pPr>
            <w:r w:rsidRPr="001C78E8">
              <w:rPr>
                <w:rFonts w:ascii="Calibri" w:hAnsi="Calibri" w:cs="Calibri"/>
                <w:color w:val="002B45"/>
                <w:sz w:val="19"/>
                <w:szCs w:val="24"/>
                <w:lang w:val="en-US" w:eastAsia="en-US"/>
              </w:rPr>
              <w:t>Operating profit</w:t>
            </w:r>
          </w:p>
        </w:tc>
        <w:tc>
          <w:tcPr>
            <w:tcW w:w="1134" w:type="dxa"/>
            <w:gridSpan w:val="2"/>
            <w:tcBorders>
              <w:top w:val="single" w:sz="4" w:space="0" w:color="999999"/>
              <w:bottom w:val="nil"/>
            </w:tcBorders>
            <w:tcMar>
              <w:top w:w="0" w:type="nil"/>
              <w:left w:w="0" w:type="nil"/>
              <w:bottom w:w="0" w:type="nil"/>
              <w:right w:w="0" w:type="nil"/>
            </w:tcMar>
          </w:tcPr>
          <w:p w:rsidR="007152F7" w:rsidRPr="00787286" w:rsidRDefault="007152F7" w:rsidP="007152F7">
            <w:pPr>
              <w:pStyle w:val="TableFigures"/>
              <w:ind w:left="113"/>
              <w:rPr>
                <w:rFonts w:asciiTheme="minorHAnsi" w:hAnsiTheme="minorHAnsi"/>
                <w:color w:val="00305C"/>
                <w:sz w:val="19"/>
                <w:szCs w:val="19"/>
              </w:rPr>
            </w:pPr>
          </w:p>
        </w:tc>
        <w:tc>
          <w:tcPr>
            <w:tcW w:w="1104" w:type="dxa"/>
            <w:gridSpan w:val="2"/>
            <w:tcBorders>
              <w:top w:val="single" w:sz="4" w:space="0" w:color="999999"/>
              <w:bottom w:val="nil"/>
            </w:tcBorders>
            <w:shd w:val="clear" w:color="auto" w:fill="E6E6E6"/>
            <w:tcMar>
              <w:top w:w="0" w:type="nil"/>
              <w:left w:w="0" w:type="nil"/>
              <w:bottom w:w="0" w:type="nil"/>
              <w:right w:w="0" w:type="nil"/>
            </w:tcMar>
          </w:tcPr>
          <w:p w:rsidR="007152F7" w:rsidRPr="00745A36" w:rsidRDefault="007152F7" w:rsidP="007152F7">
            <w:pPr>
              <w:pStyle w:val="Tabletext"/>
              <w:tabs>
                <w:tab w:val="decimal" w:pos="907"/>
              </w:tabs>
              <w:ind w:left="113"/>
              <w:jc w:val="right"/>
              <w:rPr>
                <w:rFonts w:ascii="Calibri" w:hAnsi="Calibri" w:cs="Calibri"/>
                <w:color w:val="002B45"/>
              </w:rPr>
            </w:pPr>
            <w:r w:rsidRPr="00745A36">
              <w:rPr>
                <w:rFonts w:ascii="Calibri" w:hAnsi="Calibri" w:cs="Calibri"/>
                <w:color w:val="002B45"/>
              </w:rPr>
              <w:t xml:space="preserve"> 3</w:t>
            </w:r>
            <w:r>
              <w:rPr>
                <w:rFonts w:ascii="Calibri" w:hAnsi="Calibri" w:cs="Calibri"/>
                <w:color w:val="002B45"/>
              </w:rPr>
              <w:t>8</w:t>
            </w:r>
            <w:r w:rsidRPr="00745A36">
              <w:rPr>
                <w:rFonts w:ascii="Calibri" w:hAnsi="Calibri" w:cs="Calibri"/>
                <w:color w:val="002B45"/>
              </w:rPr>
              <w:t xml:space="preserve">0.8 </w:t>
            </w:r>
          </w:p>
        </w:tc>
        <w:tc>
          <w:tcPr>
            <w:tcW w:w="1164" w:type="dxa"/>
            <w:tcBorders>
              <w:top w:val="single" w:sz="4" w:space="0" w:color="999999"/>
              <w:bottom w:val="nil"/>
            </w:tcBorders>
            <w:tcMar>
              <w:top w:w="0" w:type="nil"/>
              <w:left w:w="0" w:type="nil"/>
              <w:bottom w:w="0" w:type="nil"/>
              <w:right w:w="0" w:type="nil"/>
            </w:tcMar>
          </w:tcPr>
          <w:p w:rsidR="007152F7" w:rsidRPr="00745A36" w:rsidRDefault="007152F7" w:rsidP="007152F7">
            <w:pPr>
              <w:pStyle w:val="Tabletext"/>
              <w:tabs>
                <w:tab w:val="decimal" w:pos="907"/>
              </w:tabs>
              <w:ind w:left="113"/>
              <w:jc w:val="right"/>
              <w:rPr>
                <w:rFonts w:ascii="Calibri" w:hAnsi="Calibri" w:cs="Calibri"/>
                <w:color w:val="002B45"/>
              </w:rPr>
            </w:pPr>
            <w:r w:rsidRPr="00745A36">
              <w:rPr>
                <w:rFonts w:ascii="Calibri" w:hAnsi="Calibri" w:cs="Calibri"/>
                <w:color w:val="002B45"/>
              </w:rPr>
              <w:t xml:space="preserve"> 1,185.2 </w:t>
            </w:r>
          </w:p>
        </w:tc>
      </w:tr>
      <w:tr w:rsidR="007152F7" w:rsidTr="007152F7">
        <w:trPr>
          <w:trHeight w:val="283"/>
        </w:trPr>
        <w:tc>
          <w:tcPr>
            <w:tcW w:w="6096" w:type="dxa"/>
            <w:tcBorders>
              <w:top w:val="nil"/>
              <w:bottom w:val="nil"/>
            </w:tcBorders>
            <w:tcMar>
              <w:top w:w="0" w:type="nil"/>
              <w:left w:w="0" w:type="nil"/>
              <w:bottom w:w="0" w:type="nil"/>
              <w:right w:w="0" w:type="nil"/>
            </w:tcMar>
          </w:tcPr>
          <w:p w:rsidR="007152F7" w:rsidRPr="001C78E8" w:rsidRDefault="007152F7" w:rsidP="007152F7">
            <w:pPr>
              <w:pStyle w:val="Tabletext0"/>
              <w:ind w:left="0"/>
              <w:rPr>
                <w:rFonts w:ascii="Calibri" w:hAnsi="Calibri" w:cs="Calibri"/>
                <w:color w:val="002B45"/>
              </w:rPr>
            </w:pPr>
            <w:r>
              <w:rPr>
                <w:rFonts w:ascii="Calibri" w:hAnsi="Calibri" w:cs="Calibri"/>
                <w:color w:val="002B45"/>
              </w:rPr>
              <w:t xml:space="preserve">Loss </w:t>
            </w:r>
            <w:r w:rsidRPr="001C78E8">
              <w:rPr>
                <w:rFonts w:ascii="Calibri" w:hAnsi="Calibri" w:cs="Calibri"/>
                <w:color w:val="002B45"/>
              </w:rPr>
              <w:t>on hedging instruments</w:t>
            </w:r>
          </w:p>
        </w:tc>
        <w:tc>
          <w:tcPr>
            <w:tcW w:w="1134" w:type="dxa"/>
            <w:gridSpan w:val="2"/>
            <w:tcBorders>
              <w:top w:val="nil"/>
              <w:bottom w:val="nil"/>
            </w:tcBorders>
            <w:tcMar>
              <w:top w:w="0" w:type="nil"/>
              <w:left w:w="0" w:type="nil"/>
              <w:bottom w:w="0" w:type="nil"/>
              <w:right w:w="0" w:type="nil"/>
            </w:tcMar>
          </w:tcPr>
          <w:p w:rsidR="007152F7" w:rsidRPr="00787286" w:rsidRDefault="007152F7" w:rsidP="007152F7">
            <w:pPr>
              <w:pStyle w:val="TableFigures"/>
              <w:ind w:left="113"/>
              <w:rPr>
                <w:rFonts w:asciiTheme="minorHAnsi" w:hAnsiTheme="minorHAnsi"/>
                <w:color w:val="00305C"/>
                <w:sz w:val="19"/>
                <w:szCs w:val="19"/>
              </w:rPr>
            </w:pPr>
          </w:p>
        </w:tc>
        <w:tc>
          <w:tcPr>
            <w:tcW w:w="1104" w:type="dxa"/>
            <w:gridSpan w:val="2"/>
            <w:tcBorders>
              <w:top w:val="nil"/>
              <w:bottom w:val="nil"/>
            </w:tcBorders>
            <w:shd w:val="clear" w:color="auto" w:fill="E6E6E6"/>
            <w:tcMar>
              <w:top w:w="0" w:type="nil"/>
              <w:left w:w="0" w:type="nil"/>
              <w:bottom w:w="0" w:type="nil"/>
              <w:right w:w="0" w:type="nil"/>
            </w:tcMar>
          </w:tcPr>
          <w:p w:rsidR="007152F7" w:rsidRPr="00745A36" w:rsidRDefault="007152F7" w:rsidP="007152F7">
            <w:pPr>
              <w:pStyle w:val="Tabletext"/>
              <w:tabs>
                <w:tab w:val="decimal" w:pos="907"/>
              </w:tabs>
              <w:ind w:left="113"/>
              <w:jc w:val="right"/>
              <w:rPr>
                <w:rFonts w:ascii="Calibri" w:hAnsi="Calibri" w:cs="Calibri"/>
                <w:color w:val="002B45"/>
              </w:rPr>
            </w:pPr>
            <w:r w:rsidRPr="00745A36">
              <w:rPr>
                <w:rFonts w:ascii="Calibri" w:hAnsi="Calibri" w:cs="Calibri"/>
                <w:color w:val="002B45"/>
              </w:rPr>
              <w:t>(19.7)</w:t>
            </w:r>
          </w:p>
        </w:tc>
        <w:tc>
          <w:tcPr>
            <w:tcW w:w="1164" w:type="dxa"/>
            <w:tcBorders>
              <w:top w:val="nil"/>
              <w:bottom w:val="nil"/>
            </w:tcBorders>
            <w:tcMar>
              <w:top w:w="0" w:type="nil"/>
              <w:left w:w="0" w:type="nil"/>
              <w:bottom w:w="0" w:type="nil"/>
              <w:right w:w="0" w:type="nil"/>
            </w:tcMar>
          </w:tcPr>
          <w:p w:rsidR="007152F7" w:rsidRPr="00745A36" w:rsidRDefault="007152F7" w:rsidP="007152F7">
            <w:pPr>
              <w:pStyle w:val="Tabletext"/>
              <w:tabs>
                <w:tab w:val="decimal" w:pos="907"/>
              </w:tabs>
              <w:ind w:left="113"/>
              <w:jc w:val="right"/>
              <w:rPr>
                <w:rFonts w:ascii="Calibri" w:hAnsi="Calibri" w:cs="Calibri"/>
                <w:color w:val="002B45"/>
              </w:rPr>
            </w:pPr>
            <w:r w:rsidRPr="00745A36">
              <w:rPr>
                <w:rFonts w:ascii="Calibri" w:hAnsi="Calibri" w:cs="Calibri"/>
                <w:color w:val="002B45"/>
              </w:rPr>
              <w:t>(19.9)</w:t>
            </w:r>
          </w:p>
        </w:tc>
      </w:tr>
      <w:tr w:rsidR="007152F7" w:rsidTr="007152F7">
        <w:trPr>
          <w:trHeight w:val="283"/>
        </w:trPr>
        <w:tc>
          <w:tcPr>
            <w:tcW w:w="6096" w:type="dxa"/>
            <w:tcBorders>
              <w:top w:val="nil"/>
              <w:bottom w:val="nil"/>
            </w:tcBorders>
            <w:tcMar>
              <w:top w:w="0" w:type="nil"/>
              <w:left w:w="0" w:type="nil"/>
              <w:bottom w:w="0" w:type="nil"/>
              <w:right w:w="0" w:type="nil"/>
            </w:tcMar>
          </w:tcPr>
          <w:p w:rsidR="007152F7" w:rsidRPr="001C78E8" w:rsidRDefault="007152F7" w:rsidP="007152F7">
            <w:pPr>
              <w:pStyle w:val="Tabletext0"/>
              <w:ind w:left="0"/>
              <w:rPr>
                <w:rFonts w:ascii="Calibri" w:hAnsi="Calibri" w:cs="Calibri"/>
                <w:color w:val="002B45"/>
              </w:rPr>
            </w:pPr>
            <w:r w:rsidRPr="001C78E8">
              <w:rPr>
                <w:rFonts w:ascii="Calibri" w:hAnsi="Calibri" w:cs="Calibri"/>
                <w:color w:val="002B45"/>
              </w:rPr>
              <w:t>Finance revenue</w:t>
            </w:r>
          </w:p>
        </w:tc>
        <w:tc>
          <w:tcPr>
            <w:tcW w:w="1134" w:type="dxa"/>
            <w:gridSpan w:val="2"/>
            <w:tcBorders>
              <w:top w:val="nil"/>
              <w:bottom w:val="nil"/>
            </w:tcBorders>
            <w:tcMar>
              <w:top w:w="0" w:type="nil"/>
              <w:left w:w="0" w:type="nil"/>
              <w:bottom w:w="0" w:type="nil"/>
              <w:right w:w="0" w:type="nil"/>
            </w:tcMar>
          </w:tcPr>
          <w:p w:rsidR="007152F7" w:rsidRPr="00787286" w:rsidRDefault="007152F7" w:rsidP="007152F7">
            <w:pPr>
              <w:pStyle w:val="TableFigures"/>
              <w:ind w:left="113"/>
              <w:rPr>
                <w:rFonts w:asciiTheme="minorHAnsi" w:hAnsiTheme="minorHAnsi"/>
                <w:color w:val="00305C"/>
                <w:sz w:val="19"/>
                <w:szCs w:val="19"/>
              </w:rPr>
            </w:pPr>
          </w:p>
        </w:tc>
        <w:tc>
          <w:tcPr>
            <w:tcW w:w="1104" w:type="dxa"/>
            <w:gridSpan w:val="2"/>
            <w:tcBorders>
              <w:top w:val="nil"/>
              <w:bottom w:val="nil"/>
            </w:tcBorders>
            <w:shd w:val="clear" w:color="auto" w:fill="E6E6E6"/>
            <w:tcMar>
              <w:top w:w="0" w:type="nil"/>
              <w:left w:w="0" w:type="nil"/>
              <w:bottom w:w="0" w:type="nil"/>
              <w:right w:w="0" w:type="nil"/>
            </w:tcMar>
          </w:tcPr>
          <w:p w:rsidR="007152F7" w:rsidRPr="00745A36" w:rsidRDefault="007152F7" w:rsidP="007152F7">
            <w:pPr>
              <w:pStyle w:val="Tabletext"/>
              <w:tabs>
                <w:tab w:val="decimal" w:pos="907"/>
              </w:tabs>
              <w:ind w:left="113"/>
              <w:jc w:val="right"/>
              <w:rPr>
                <w:rFonts w:ascii="Calibri" w:hAnsi="Calibri" w:cs="Calibri"/>
                <w:color w:val="002B45"/>
              </w:rPr>
            </w:pPr>
            <w:r w:rsidRPr="00745A36">
              <w:rPr>
                <w:rFonts w:ascii="Calibri" w:hAnsi="Calibri" w:cs="Calibri"/>
                <w:color w:val="002B45"/>
              </w:rPr>
              <w:t xml:space="preserve"> 43.7 </w:t>
            </w:r>
          </w:p>
        </w:tc>
        <w:tc>
          <w:tcPr>
            <w:tcW w:w="1164" w:type="dxa"/>
            <w:tcBorders>
              <w:top w:val="nil"/>
              <w:bottom w:val="nil"/>
            </w:tcBorders>
            <w:tcMar>
              <w:top w:w="0" w:type="nil"/>
              <w:left w:w="0" w:type="nil"/>
              <w:bottom w:w="0" w:type="nil"/>
              <w:right w:w="0" w:type="nil"/>
            </w:tcMar>
          </w:tcPr>
          <w:p w:rsidR="007152F7" w:rsidRPr="00745A36" w:rsidRDefault="007152F7" w:rsidP="007152F7">
            <w:pPr>
              <w:pStyle w:val="Tabletext"/>
              <w:tabs>
                <w:tab w:val="decimal" w:pos="907"/>
              </w:tabs>
              <w:ind w:left="113"/>
              <w:jc w:val="right"/>
              <w:rPr>
                <w:rFonts w:ascii="Calibri" w:hAnsi="Calibri" w:cs="Calibri"/>
                <w:color w:val="002B45"/>
              </w:rPr>
            </w:pPr>
            <w:r w:rsidRPr="00745A36">
              <w:rPr>
                <w:rFonts w:ascii="Calibri" w:hAnsi="Calibri" w:cs="Calibri"/>
                <w:color w:val="002B45"/>
              </w:rPr>
              <w:t xml:space="preserve"> 9.6 </w:t>
            </w:r>
          </w:p>
        </w:tc>
      </w:tr>
      <w:tr w:rsidR="007152F7" w:rsidTr="007152F7">
        <w:trPr>
          <w:trHeight w:val="283"/>
        </w:trPr>
        <w:tc>
          <w:tcPr>
            <w:tcW w:w="6096" w:type="dxa"/>
            <w:tcBorders>
              <w:top w:val="nil"/>
              <w:bottom w:val="nil"/>
            </w:tcBorders>
            <w:tcMar>
              <w:top w:w="0" w:type="nil"/>
              <w:left w:w="0" w:type="nil"/>
              <w:bottom w:w="0" w:type="nil"/>
              <w:right w:w="0" w:type="nil"/>
            </w:tcMar>
          </w:tcPr>
          <w:p w:rsidR="007152F7" w:rsidRPr="001C78E8" w:rsidRDefault="007152F7" w:rsidP="007152F7">
            <w:pPr>
              <w:pStyle w:val="Tabletext0"/>
              <w:ind w:left="0"/>
              <w:rPr>
                <w:rFonts w:ascii="Calibri" w:hAnsi="Calibri" w:cs="Calibri"/>
                <w:color w:val="002B45"/>
              </w:rPr>
            </w:pPr>
            <w:r w:rsidRPr="001C78E8">
              <w:rPr>
                <w:rFonts w:ascii="Calibri" w:hAnsi="Calibri" w:cs="Calibri"/>
                <w:color w:val="002B45"/>
              </w:rPr>
              <w:t xml:space="preserve">Finance costs </w:t>
            </w:r>
            <w:r w:rsidRPr="001C78E8">
              <w:rPr>
                <w:rFonts w:ascii="Calibri" w:hAnsi="Calibri" w:cs="Calibri"/>
                <w:color w:val="002B45"/>
              </w:rPr>
              <w:tab/>
            </w:r>
          </w:p>
        </w:tc>
        <w:tc>
          <w:tcPr>
            <w:tcW w:w="1134" w:type="dxa"/>
            <w:gridSpan w:val="2"/>
            <w:tcBorders>
              <w:top w:val="nil"/>
              <w:bottom w:val="nil"/>
            </w:tcBorders>
            <w:tcMar>
              <w:top w:w="0" w:type="nil"/>
              <w:left w:w="0" w:type="nil"/>
              <w:bottom w:w="0" w:type="nil"/>
              <w:right w:w="0" w:type="nil"/>
            </w:tcMar>
          </w:tcPr>
          <w:p w:rsidR="007152F7" w:rsidRPr="00787286" w:rsidRDefault="007152F7" w:rsidP="007152F7">
            <w:pPr>
              <w:pStyle w:val="TableFigures"/>
              <w:ind w:left="113"/>
              <w:rPr>
                <w:rFonts w:asciiTheme="minorHAnsi" w:hAnsiTheme="minorHAnsi"/>
                <w:color w:val="00305C"/>
                <w:sz w:val="19"/>
                <w:szCs w:val="19"/>
              </w:rPr>
            </w:pPr>
          </w:p>
        </w:tc>
        <w:tc>
          <w:tcPr>
            <w:tcW w:w="1104" w:type="dxa"/>
            <w:gridSpan w:val="2"/>
            <w:tcBorders>
              <w:top w:val="nil"/>
              <w:bottom w:val="nil"/>
            </w:tcBorders>
            <w:shd w:val="clear" w:color="auto" w:fill="E6E6E6"/>
            <w:tcMar>
              <w:top w:w="0" w:type="nil"/>
              <w:left w:w="0" w:type="nil"/>
              <w:bottom w:w="0" w:type="nil"/>
              <w:right w:w="0" w:type="nil"/>
            </w:tcMar>
          </w:tcPr>
          <w:p w:rsidR="007152F7" w:rsidRPr="00745A36" w:rsidRDefault="007152F7" w:rsidP="007152F7">
            <w:pPr>
              <w:pStyle w:val="Tabletext"/>
              <w:tabs>
                <w:tab w:val="decimal" w:pos="907"/>
              </w:tabs>
              <w:ind w:left="113"/>
              <w:jc w:val="right"/>
              <w:rPr>
                <w:rFonts w:ascii="Calibri" w:hAnsi="Calibri" w:cs="Calibri"/>
                <w:color w:val="002B45"/>
              </w:rPr>
            </w:pPr>
            <w:r w:rsidRPr="00745A36">
              <w:rPr>
                <w:rFonts w:ascii="Calibri" w:hAnsi="Calibri" w:cs="Calibri"/>
                <w:color w:val="002B45"/>
              </w:rPr>
              <w:t>(91.6)</w:t>
            </w:r>
          </w:p>
        </w:tc>
        <w:tc>
          <w:tcPr>
            <w:tcW w:w="1164" w:type="dxa"/>
            <w:tcBorders>
              <w:top w:val="nil"/>
              <w:bottom w:val="nil"/>
            </w:tcBorders>
            <w:tcMar>
              <w:top w:w="0" w:type="nil"/>
              <w:left w:w="0" w:type="nil"/>
              <w:bottom w:w="0" w:type="nil"/>
              <w:right w:w="0" w:type="nil"/>
            </w:tcMar>
          </w:tcPr>
          <w:p w:rsidR="007152F7" w:rsidRPr="00745A36" w:rsidRDefault="007152F7" w:rsidP="007152F7">
            <w:pPr>
              <w:pStyle w:val="Tabletext"/>
              <w:tabs>
                <w:tab w:val="decimal" w:pos="907"/>
              </w:tabs>
              <w:ind w:left="113"/>
              <w:jc w:val="right"/>
              <w:rPr>
                <w:rFonts w:ascii="Calibri" w:hAnsi="Calibri" w:cs="Calibri"/>
                <w:color w:val="002B45"/>
              </w:rPr>
            </w:pPr>
            <w:r w:rsidRPr="00745A36">
              <w:rPr>
                <w:rFonts w:ascii="Calibri" w:hAnsi="Calibri" w:cs="Calibri"/>
                <w:color w:val="002B45"/>
              </w:rPr>
              <w:t>(59.0)</w:t>
            </w:r>
          </w:p>
        </w:tc>
      </w:tr>
      <w:tr w:rsidR="007152F7" w:rsidTr="007152F7">
        <w:trPr>
          <w:trHeight w:val="283"/>
        </w:trPr>
        <w:tc>
          <w:tcPr>
            <w:tcW w:w="6096" w:type="dxa"/>
            <w:tcBorders>
              <w:top w:val="single" w:sz="4" w:space="0" w:color="999999"/>
              <w:bottom w:val="nil"/>
            </w:tcBorders>
            <w:tcMar>
              <w:top w:w="0" w:type="nil"/>
              <w:left w:w="0" w:type="nil"/>
              <w:bottom w:w="0" w:type="nil"/>
              <w:right w:w="0" w:type="nil"/>
            </w:tcMar>
          </w:tcPr>
          <w:p w:rsidR="007152F7" w:rsidRPr="001C78E8" w:rsidRDefault="007152F7" w:rsidP="007152F7">
            <w:pPr>
              <w:pStyle w:val="TabletextBold"/>
              <w:ind w:left="0"/>
              <w:rPr>
                <w:rFonts w:ascii="Calibri" w:hAnsi="Calibri" w:cs="Calibri"/>
                <w:color w:val="002B45"/>
                <w:sz w:val="19"/>
                <w:szCs w:val="24"/>
                <w:lang w:val="en-US" w:eastAsia="en-US"/>
              </w:rPr>
            </w:pPr>
            <w:r w:rsidRPr="001C78E8">
              <w:rPr>
                <w:rFonts w:ascii="Calibri" w:hAnsi="Calibri" w:cs="Calibri"/>
                <w:color w:val="002B45"/>
                <w:sz w:val="19"/>
                <w:szCs w:val="24"/>
                <w:lang w:val="en-US" w:eastAsia="en-US"/>
              </w:rPr>
              <w:t xml:space="preserve">Profit from continuing activities before tax </w:t>
            </w:r>
          </w:p>
        </w:tc>
        <w:tc>
          <w:tcPr>
            <w:tcW w:w="1134" w:type="dxa"/>
            <w:gridSpan w:val="2"/>
            <w:tcBorders>
              <w:top w:val="single" w:sz="4" w:space="0" w:color="999999"/>
              <w:bottom w:val="nil"/>
            </w:tcBorders>
            <w:tcMar>
              <w:top w:w="0" w:type="nil"/>
              <w:left w:w="0" w:type="nil"/>
              <w:bottom w:w="0" w:type="nil"/>
              <w:right w:w="0" w:type="nil"/>
            </w:tcMar>
          </w:tcPr>
          <w:p w:rsidR="007152F7" w:rsidRPr="00787286" w:rsidRDefault="007152F7" w:rsidP="007152F7">
            <w:pPr>
              <w:pStyle w:val="TableFigures"/>
              <w:ind w:left="113"/>
              <w:rPr>
                <w:rFonts w:asciiTheme="minorHAnsi" w:hAnsiTheme="minorHAnsi"/>
                <w:color w:val="00305C"/>
                <w:sz w:val="19"/>
                <w:szCs w:val="19"/>
              </w:rPr>
            </w:pPr>
          </w:p>
        </w:tc>
        <w:tc>
          <w:tcPr>
            <w:tcW w:w="1104" w:type="dxa"/>
            <w:gridSpan w:val="2"/>
            <w:tcBorders>
              <w:top w:val="single" w:sz="4" w:space="0" w:color="999999"/>
              <w:bottom w:val="nil"/>
            </w:tcBorders>
            <w:shd w:val="clear" w:color="auto" w:fill="E6E6E6"/>
            <w:tcMar>
              <w:top w:w="0" w:type="nil"/>
              <w:left w:w="0" w:type="nil"/>
              <w:bottom w:w="0" w:type="nil"/>
              <w:right w:w="0" w:type="nil"/>
            </w:tcMar>
          </w:tcPr>
          <w:p w:rsidR="007152F7" w:rsidRPr="00745A36" w:rsidRDefault="007152F7" w:rsidP="007152F7">
            <w:pPr>
              <w:pStyle w:val="Tabletext"/>
              <w:tabs>
                <w:tab w:val="decimal" w:pos="907"/>
              </w:tabs>
              <w:ind w:left="113"/>
              <w:jc w:val="right"/>
              <w:rPr>
                <w:rFonts w:ascii="Calibri" w:hAnsi="Calibri" w:cs="Calibri"/>
                <w:color w:val="002B45"/>
              </w:rPr>
            </w:pPr>
            <w:r w:rsidRPr="00745A36">
              <w:rPr>
                <w:rFonts w:ascii="Calibri" w:hAnsi="Calibri" w:cs="Calibri"/>
                <w:color w:val="002B45"/>
              </w:rPr>
              <w:t xml:space="preserve"> 313.2 </w:t>
            </w:r>
          </w:p>
        </w:tc>
        <w:tc>
          <w:tcPr>
            <w:tcW w:w="1164" w:type="dxa"/>
            <w:tcBorders>
              <w:top w:val="single" w:sz="4" w:space="0" w:color="999999"/>
              <w:bottom w:val="nil"/>
            </w:tcBorders>
            <w:tcMar>
              <w:top w:w="0" w:type="nil"/>
              <w:left w:w="0" w:type="nil"/>
              <w:bottom w:w="0" w:type="nil"/>
              <w:right w:w="0" w:type="nil"/>
            </w:tcMar>
          </w:tcPr>
          <w:p w:rsidR="007152F7" w:rsidRPr="00745A36" w:rsidRDefault="007152F7" w:rsidP="007152F7">
            <w:pPr>
              <w:pStyle w:val="Tabletext"/>
              <w:tabs>
                <w:tab w:val="decimal" w:pos="907"/>
              </w:tabs>
              <w:ind w:left="113"/>
              <w:jc w:val="right"/>
              <w:rPr>
                <w:rFonts w:ascii="Calibri" w:hAnsi="Calibri" w:cs="Calibri"/>
                <w:color w:val="002B45"/>
              </w:rPr>
            </w:pPr>
            <w:r w:rsidRPr="00745A36">
              <w:rPr>
                <w:rFonts w:ascii="Calibri" w:hAnsi="Calibri" w:cs="Calibri"/>
                <w:color w:val="002B45"/>
              </w:rPr>
              <w:t xml:space="preserve"> 1,115.9 </w:t>
            </w:r>
          </w:p>
        </w:tc>
      </w:tr>
      <w:tr w:rsidR="007152F7" w:rsidTr="007152F7">
        <w:trPr>
          <w:trHeight w:val="283"/>
        </w:trPr>
        <w:tc>
          <w:tcPr>
            <w:tcW w:w="6096" w:type="dxa"/>
            <w:tcBorders>
              <w:top w:val="nil"/>
              <w:bottom w:val="single" w:sz="4" w:space="0" w:color="999999"/>
            </w:tcBorders>
            <w:tcMar>
              <w:top w:w="0" w:type="nil"/>
              <w:left w:w="0" w:type="nil"/>
              <w:bottom w:w="0" w:type="nil"/>
              <w:right w:w="0" w:type="nil"/>
            </w:tcMar>
          </w:tcPr>
          <w:p w:rsidR="007152F7" w:rsidRPr="001C78E8" w:rsidRDefault="007152F7" w:rsidP="007152F7">
            <w:pPr>
              <w:pStyle w:val="Tabletext0"/>
              <w:ind w:left="0"/>
              <w:rPr>
                <w:rFonts w:ascii="Calibri" w:hAnsi="Calibri" w:cs="Calibri"/>
                <w:color w:val="002B45"/>
              </w:rPr>
            </w:pPr>
            <w:r w:rsidRPr="001C78E8">
              <w:rPr>
                <w:rFonts w:ascii="Calibri" w:hAnsi="Calibri" w:cs="Calibri"/>
                <w:color w:val="002B45"/>
              </w:rPr>
              <w:t xml:space="preserve">Income tax expense </w:t>
            </w:r>
          </w:p>
        </w:tc>
        <w:tc>
          <w:tcPr>
            <w:tcW w:w="1134" w:type="dxa"/>
            <w:gridSpan w:val="2"/>
            <w:tcBorders>
              <w:top w:val="nil"/>
              <w:bottom w:val="single" w:sz="4" w:space="0" w:color="999999"/>
            </w:tcBorders>
            <w:tcMar>
              <w:top w:w="0" w:type="nil"/>
              <w:left w:w="0" w:type="nil"/>
              <w:bottom w:w="0" w:type="nil"/>
              <w:right w:w="0" w:type="nil"/>
            </w:tcMar>
          </w:tcPr>
          <w:p w:rsidR="007152F7" w:rsidRPr="00787286" w:rsidRDefault="007152F7" w:rsidP="007152F7">
            <w:pPr>
              <w:pStyle w:val="Tabletext"/>
              <w:tabs>
                <w:tab w:val="decimal" w:pos="907"/>
              </w:tabs>
              <w:ind w:left="113"/>
              <w:jc w:val="right"/>
              <w:rPr>
                <w:rFonts w:ascii="Calibri" w:hAnsi="Calibri" w:cs="Calibri"/>
                <w:color w:val="00305C"/>
              </w:rPr>
            </w:pPr>
            <w:r w:rsidRPr="00787286">
              <w:rPr>
                <w:rFonts w:ascii="Calibri" w:hAnsi="Calibri" w:cs="Calibri"/>
                <w:color w:val="00305C"/>
              </w:rPr>
              <w:t>7</w:t>
            </w:r>
          </w:p>
        </w:tc>
        <w:tc>
          <w:tcPr>
            <w:tcW w:w="1104" w:type="dxa"/>
            <w:gridSpan w:val="2"/>
            <w:tcBorders>
              <w:top w:val="nil"/>
              <w:bottom w:val="single" w:sz="4" w:space="0" w:color="999999"/>
            </w:tcBorders>
            <w:shd w:val="clear" w:color="auto" w:fill="E6E6E6"/>
            <w:tcMar>
              <w:top w:w="0" w:type="nil"/>
              <w:left w:w="0" w:type="nil"/>
              <w:bottom w:w="0" w:type="nil"/>
              <w:right w:w="0" w:type="nil"/>
            </w:tcMar>
          </w:tcPr>
          <w:p w:rsidR="007152F7" w:rsidRPr="00745A36" w:rsidRDefault="007152F7" w:rsidP="007152F7">
            <w:pPr>
              <w:pStyle w:val="Tabletext"/>
              <w:tabs>
                <w:tab w:val="decimal" w:pos="907"/>
              </w:tabs>
              <w:ind w:left="113"/>
              <w:jc w:val="right"/>
              <w:rPr>
                <w:rFonts w:ascii="Calibri" w:hAnsi="Calibri" w:cs="Calibri"/>
                <w:color w:val="002B45"/>
              </w:rPr>
            </w:pPr>
            <w:r w:rsidRPr="00745A36">
              <w:rPr>
                <w:rFonts w:ascii="Calibri" w:hAnsi="Calibri" w:cs="Calibri"/>
                <w:color w:val="002B45"/>
              </w:rPr>
              <w:t>(97.1)</w:t>
            </w:r>
          </w:p>
        </w:tc>
        <w:tc>
          <w:tcPr>
            <w:tcW w:w="1164" w:type="dxa"/>
            <w:tcBorders>
              <w:top w:val="nil"/>
              <w:bottom w:val="single" w:sz="4" w:space="0" w:color="999999"/>
            </w:tcBorders>
            <w:tcMar>
              <w:top w:w="0" w:type="nil"/>
              <w:left w:w="0" w:type="nil"/>
              <w:bottom w:w="0" w:type="nil"/>
              <w:right w:w="0" w:type="nil"/>
            </w:tcMar>
          </w:tcPr>
          <w:p w:rsidR="007152F7" w:rsidRPr="00745A36" w:rsidRDefault="007152F7" w:rsidP="007152F7">
            <w:pPr>
              <w:pStyle w:val="Tabletext"/>
              <w:tabs>
                <w:tab w:val="decimal" w:pos="907"/>
              </w:tabs>
              <w:ind w:left="113"/>
              <w:jc w:val="right"/>
              <w:rPr>
                <w:rFonts w:ascii="Calibri" w:hAnsi="Calibri" w:cs="Calibri"/>
                <w:color w:val="002B45"/>
              </w:rPr>
            </w:pPr>
            <w:r w:rsidRPr="00745A36">
              <w:rPr>
                <w:rFonts w:ascii="Calibri" w:hAnsi="Calibri" w:cs="Calibri"/>
                <w:color w:val="002B45"/>
              </w:rPr>
              <w:t>(449.7)</w:t>
            </w:r>
          </w:p>
        </w:tc>
      </w:tr>
      <w:tr w:rsidR="007152F7" w:rsidTr="007152F7">
        <w:trPr>
          <w:trHeight w:val="283"/>
        </w:trPr>
        <w:tc>
          <w:tcPr>
            <w:tcW w:w="6096" w:type="dxa"/>
            <w:tcBorders>
              <w:top w:val="single" w:sz="4" w:space="0" w:color="999999"/>
              <w:bottom w:val="single" w:sz="12" w:space="0" w:color="999999"/>
            </w:tcBorders>
            <w:tcMar>
              <w:top w:w="0" w:type="nil"/>
              <w:left w:w="0" w:type="nil"/>
              <w:bottom w:w="0" w:type="nil"/>
              <w:right w:w="0" w:type="nil"/>
            </w:tcMar>
          </w:tcPr>
          <w:p w:rsidR="007152F7" w:rsidRPr="001C78E8" w:rsidRDefault="007152F7" w:rsidP="007152F7">
            <w:pPr>
              <w:pStyle w:val="TabletextBold"/>
              <w:ind w:left="0"/>
              <w:rPr>
                <w:rFonts w:ascii="Calibri" w:hAnsi="Calibri" w:cs="Calibri"/>
                <w:color w:val="002B45"/>
                <w:sz w:val="19"/>
                <w:szCs w:val="24"/>
                <w:lang w:val="en-US" w:eastAsia="en-US"/>
              </w:rPr>
            </w:pPr>
            <w:r w:rsidRPr="001C78E8">
              <w:rPr>
                <w:rFonts w:ascii="Calibri" w:hAnsi="Calibri" w:cs="Calibri"/>
                <w:color w:val="002B45"/>
                <w:sz w:val="19"/>
                <w:szCs w:val="24"/>
                <w:lang w:val="en-US" w:eastAsia="en-US"/>
              </w:rPr>
              <w:t xml:space="preserve">Profit for the year from continuing activities </w:t>
            </w:r>
          </w:p>
        </w:tc>
        <w:tc>
          <w:tcPr>
            <w:tcW w:w="1134" w:type="dxa"/>
            <w:gridSpan w:val="2"/>
            <w:tcBorders>
              <w:top w:val="single" w:sz="4" w:space="0" w:color="999999"/>
              <w:bottom w:val="single" w:sz="12" w:space="0" w:color="999999"/>
            </w:tcBorders>
            <w:tcMar>
              <w:top w:w="0" w:type="nil"/>
              <w:left w:w="0" w:type="nil"/>
              <w:bottom w:w="0" w:type="nil"/>
              <w:right w:w="0" w:type="nil"/>
            </w:tcMar>
          </w:tcPr>
          <w:p w:rsidR="007152F7" w:rsidRPr="00787286" w:rsidRDefault="007152F7" w:rsidP="007152F7">
            <w:pPr>
              <w:pStyle w:val="Tabletext"/>
              <w:tabs>
                <w:tab w:val="decimal" w:pos="907"/>
              </w:tabs>
              <w:ind w:left="113"/>
              <w:jc w:val="right"/>
              <w:rPr>
                <w:rFonts w:ascii="Calibri" w:hAnsi="Calibri" w:cs="Calibri"/>
                <w:color w:val="00305C"/>
              </w:rPr>
            </w:pPr>
          </w:p>
        </w:tc>
        <w:tc>
          <w:tcPr>
            <w:tcW w:w="1104" w:type="dxa"/>
            <w:gridSpan w:val="2"/>
            <w:tcBorders>
              <w:top w:val="single" w:sz="4" w:space="0" w:color="999999"/>
              <w:bottom w:val="single" w:sz="12" w:space="0" w:color="999999"/>
            </w:tcBorders>
            <w:shd w:val="clear" w:color="auto" w:fill="E6E6E6"/>
            <w:tcMar>
              <w:top w:w="0" w:type="nil"/>
              <w:left w:w="0" w:type="nil"/>
              <w:bottom w:w="0" w:type="nil"/>
              <w:right w:w="0" w:type="nil"/>
            </w:tcMar>
          </w:tcPr>
          <w:p w:rsidR="007152F7" w:rsidRPr="00745A36" w:rsidRDefault="007152F7" w:rsidP="007152F7">
            <w:pPr>
              <w:pStyle w:val="Tabletext"/>
              <w:tabs>
                <w:tab w:val="decimal" w:pos="907"/>
              </w:tabs>
              <w:ind w:left="113"/>
              <w:jc w:val="right"/>
              <w:rPr>
                <w:rFonts w:ascii="Calibri" w:hAnsi="Calibri" w:cs="Calibri"/>
                <w:color w:val="002B45"/>
              </w:rPr>
            </w:pPr>
            <w:r w:rsidRPr="00745A36">
              <w:rPr>
                <w:rFonts w:ascii="Calibri" w:hAnsi="Calibri" w:cs="Calibri"/>
                <w:color w:val="002B45"/>
              </w:rPr>
              <w:t xml:space="preserve"> 216.1 </w:t>
            </w:r>
          </w:p>
        </w:tc>
        <w:tc>
          <w:tcPr>
            <w:tcW w:w="1164" w:type="dxa"/>
            <w:tcBorders>
              <w:top w:val="single" w:sz="4" w:space="0" w:color="999999"/>
              <w:bottom w:val="single" w:sz="12" w:space="0" w:color="999999"/>
            </w:tcBorders>
            <w:tcMar>
              <w:top w:w="0" w:type="nil"/>
              <w:left w:w="0" w:type="nil"/>
              <w:bottom w:w="0" w:type="nil"/>
              <w:right w:w="0" w:type="nil"/>
            </w:tcMar>
          </w:tcPr>
          <w:p w:rsidR="007152F7" w:rsidRPr="00745A36" w:rsidRDefault="007152F7" w:rsidP="007152F7">
            <w:pPr>
              <w:pStyle w:val="Tabletext"/>
              <w:tabs>
                <w:tab w:val="decimal" w:pos="907"/>
              </w:tabs>
              <w:ind w:left="113"/>
              <w:jc w:val="right"/>
              <w:rPr>
                <w:rFonts w:ascii="Calibri" w:hAnsi="Calibri" w:cs="Calibri"/>
                <w:color w:val="002B45"/>
              </w:rPr>
            </w:pPr>
            <w:r w:rsidRPr="00745A36">
              <w:rPr>
                <w:rFonts w:ascii="Calibri" w:hAnsi="Calibri" w:cs="Calibri"/>
                <w:color w:val="002B45"/>
              </w:rPr>
              <w:t xml:space="preserve"> 666.2 </w:t>
            </w:r>
          </w:p>
        </w:tc>
      </w:tr>
      <w:tr w:rsidR="007152F7" w:rsidTr="007152F7">
        <w:trPr>
          <w:trHeight w:val="283"/>
        </w:trPr>
        <w:tc>
          <w:tcPr>
            <w:tcW w:w="6096" w:type="dxa"/>
            <w:tcBorders>
              <w:top w:val="single" w:sz="12" w:space="0" w:color="999999"/>
              <w:bottom w:val="nil"/>
            </w:tcBorders>
            <w:tcMar>
              <w:top w:w="0" w:type="nil"/>
              <w:left w:w="0" w:type="nil"/>
              <w:bottom w:w="0" w:type="nil"/>
              <w:right w:w="0" w:type="nil"/>
            </w:tcMar>
          </w:tcPr>
          <w:p w:rsidR="007152F7" w:rsidRPr="001C78E8" w:rsidRDefault="007152F7" w:rsidP="007152F7">
            <w:pPr>
              <w:pStyle w:val="Tabletext0"/>
              <w:ind w:left="0"/>
              <w:rPr>
                <w:rFonts w:ascii="Calibri" w:hAnsi="Calibri" w:cs="Calibri"/>
                <w:color w:val="002B45"/>
              </w:rPr>
            </w:pPr>
            <w:r w:rsidRPr="001C78E8">
              <w:rPr>
                <w:rFonts w:ascii="Calibri" w:hAnsi="Calibri" w:cs="Calibri"/>
                <w:color w:val="002B45"/>
              </w:rPr>
              <w:t>Attributable to:</w:t>
            </w:r>
          </w:p>
        </w:tc>
        <w:tc>
          <w:tcPr>
            <w:tcW w:w="1134" w:type="dxa"/>
            <w:gridSpan w:val="2"/>
            <w:tcBorders>
              <w:top w:val="single" w:sz="12" w:space="0" w:color="999999"/>
              <w:bottom w:val="nil"/>
            </w:tcBorders>
            <w:tcMar>
              <w:top w:w="0" w:type="nil"/>
              <w:left w:w="0" w:type="nil"/>
              <w:bottom w:w="0" w:type="nil"/>
              <w:right w:w="0" w:type="nil"/>
            </w:tcMar>
          </w:tcPr>
          <w:p w:rsidR="007152F7" w:rsidRPr="00787286" w:rsidRDefault="007152F7" w:rsidP="007152F7">
            <w:pPr>
              <w:pStyle w:val="Tabletext"/>
              <w:tabs>
                <w:tab w:val="decimal" w:pos="907"/>
              </w:tabs>
              <w:ind w:left="113"/>
              <w:jc w:val="right"/>
              <w:rPr>
                <w:rFonts w:ascii="Calibri" w:hAnsi="Calibri" w:cs="Calibri"/>
                <w:color w:val="00305C"/>
              </w:rPr>
            </w:pPr>
          </w:p>
        </w:tc>
        <w:tc>
          <w:tcPr>
            <w:tcW w:w="1104" w:type="dxa"/>
            <w:gridSpan w:val="2"/>
            <w:tcBorders>
              <w:top w:val="single" w:sz="12" w:space="0" w:color="999999"/>
              <w:bottom w:val="nil"/>
            </w:tcBorders>
            <w:shd w:val="clear" w:color="auto" w:fill="E6E6E6"/>
            <w:tcMar>
              <w:top w:w="0" w:type="nil"/>
              <w:left w:w="0" w:type="nil"/>
              <w:bottom w:w="0" w:type="nil"/>
              <w:right w:w="0" w:type="nil"/>
            </w:tcMar>
          </w:tcPr>
          <w:p w:rsidR="007152F7" w:rsidRPr="00745A36" w:rsidRDefault="007152F7" w:rsidP="007152F7">
            <w:pPr>
              <w:pStyle w:val="Tabletext"/>
              <w:tabs>
                <w:tab w:val="decimal" w:pos="907"/>
              </w:tabs>
              <w:ind w:left="113"/>
              <w:jc w:val="right"/>
              <w:rPr>
                <w:rFonts w:ascii="Calibri" w:hAnsi="Calibri" w:cs="Calibri"/>
                <w:color w:val="002B45"/>
              </w:rPr>
            </w:pPr>
          </w:p>
        </w:tc>
        <w:tc>
          <w:tcPr>
            <w:tcW w:w="1164" w:type="dxa"/>
            <w:tcBorders>
              <w:top w:val="single" w:sz="12" w:space="0" w:color="999999"/>
              <w:bottom w:val="nil"/>
            </w:tcBorders>
            <w:tcMar>
              <w:top w:w="0" w:type="nil"/>
              <w:left w:w="0" w:type="nil"/>
              <w:bottom w:w="0" w:type="nil"/>
              <w:right w:w="0" w:type="nil"/>
            </w:tcMar>
          </w:tcPr>
          <w:p w:rsidR="007152F7" w:rsidRPr="00745A36" w:rsidRDefault="007152F7" w:rsidP="007152F7">
            <w:pPr>
              <w:pStyle w:val="Tabletext"/>
              <w:tabs>
                <w:tab w:val="decimal" w:pos="907"/>
              </w:tabs>
              <w:ind w:left="113"/>
              <w:jc w:val="right"/>
              <w:rPr>
                <w:rFonts w:ascii="Calibri" w:hAnsi="Calibri" w:cs="Calibri"/>
                <w:color w:val="002B45"/>
              </w:rPr>
            </w:pPr>
          </w:p>
        </w:tc>
      </w:tr>
      <w:tr w:rsidR="007152F7" w:rsidTr="007152F7">
        <w:trPr>
          <w:trHeight w:val="283"/>
        </w:trPr>
        <w:tc>
          <w:tcPr>
            <w:tcW w:w="6096" w:type="dxa"/>
            <w:tcBorders>
              <w:top w:val="nil"/>
              <w:bottom w:val="nil"/>
            </w:tcBorders>
            <w:tcMar>
              <w:top w:w="0" w:type="nil"/>
              <w:left w:w="0" w:type="nil"/>
              <w:bottom w:w="0" w:type="nil"/>
              <w:right w:w="0" w:type="nil"/>
            </w:tcMar>
          </w:tcPr>
          <w:p w:rsidR="007152F7" w:rsidRPr="001C78E8" w:rsidRDefault="007152F7" w:rsidP="007152F7">
            <w:pPr>
              <w:pStyle w:val="Tabletext0"/>
              <w:ind w:left="0"/>
              <w:rPr>
                <w:rFonts w:ascii="Calibri" w:hAnsi="Calibri" w:cs="Calibri"/>
                <w:color w:val="002B45"/>
              </w:rPr>
            </w:pPr>
            <w:r w:rsidRPr="001C78E8">
              <w:rPr>
                <w:rFonts w:ascii="Calibri" w:hAnsi="Calibri" w:cs="Calibri"/>
                <w:color w:val="002B45"/>
              </w:rPr>
              <w:t xml:space="preserve">Owners of the </w:t>
            </w:r>
            <w:r>
              <w:rPr>
                <w:rFonts w:ascii="Calibri" w:hAnsi="Calibri" w:cs="Calibri"/>
                <w:color w:val="002B45"/>
              </w:rPr>
              <w:t>Company</w:t>
            </w:r>
          </w:p>
        </w:tc>
        <w:tc>
          <w:tcPr>
            <w:tcW w:w="1134" w:type="dxa"/>
            <w:gridSpan w:val="2"/>
            <w:tcBorders>
              <w:top w:val="nil"/>
              <w:bottom w:val="nil"/>
            </w:tcBorders>
            <w:tcMar>
              <w:top w:w="0" w:type="nil"/>
              <w:left w:w="0" w:type="nil"/>
              <w:bottom w:w="0" w:type="nil"/>
              <w:right w:w="0" w:type="nil"/>
            </w:tcMar>
          </w:tcPr>
          <w:p w:rsidR="007152F7" w:rsidRPr="00787286" w:rsidRDefault="007152F7" w:rsidP="007152F7">
            <w:pPr>
              <w:pStyle w:val="Tabletext"/>
              <w:tabs>
                <w:tab w:val="decimal" w:pos="907"/>
              </w:tabs>
              <w:ind w:left="113"/>
              <w:jc w:val="right"/>
              <w:rPr>
                <w:rFonts w:ascii="Calibri" w:hAnsi="Calibri" w:cs="Calibri"/>
                <w:color w:val="00305C"/>
              </w:rPr>
            </w:pPr>
          </w:p>
        </w:tc>
        <w:tc>
          <w:tcPr>
            <w:tcW w:w="1104" w:type="dxa"/>
            <w:gridSpan w:val="2"/>
            <w:tcBorders>
              <w:top w:val="nil"/>
              <w:bottom w:val="nil"/>
            </w:tcBorders>
            <w:shd w:val="clear" w:color="auto" w:fill="E6E6E6"/>
            <w:tcMar>
              <w:top w:w="0" w:type="nil"/>
              <w:left w:w="0" w:type="nil"/>
              <w:bottom w:w="0" w:type="nil"/>
              <w:right w:w="0" w:type="nil"/>
            </w:tcMar>
          </w:tcPr>
          <w:p w:rsidR="007152F7" w:rsidRPr="00745A36" w:rsidRDefault="007152F7" w:rsidP="007152F7">
            <w:pPr>
              <w:pStyle w:val="Tabletext"/>
              <w:tabs>
                <w:tab w:val="decimal" w:pos="907"/>
              </w:tabs>
              <w:ind w:left="113"/>
              <w:jc w:val="right"/>
              <w:rPr>
                <w:rFonts w:ascii="Calibri" w:hAnsi="Calibri" w:cs="Calibri"/>
                <w:color w:val="002B45"/>
              </w:rPr>
            </w:pPr>
            <w:r w:rsidRPr="00745A36">
              <w:rPr>
                <w:rFonts w:ascii="Calibri" w:hAnsi="Calibri" w:cs="Calibri"/>
                <w:color w:val="002B45"/>
              </w:rPr>
              <w:t xml:space="preserve"> 169.0 </w:t>
            </w:r>
          </w:p>
        </w:tc>
        <w:tc>
          <w:tcPr>
            <w:tcW w:w="1164" w:type="dxa"/>
            <w:tcBorders>
              <w:top w:val="nil"/>
              <w:bottom w:val="nil"/>
            </w:tcBorders>
            <w:tcMar>
              <w:top w:w="0" w:type="nil"/>
              <w:left w:w="0" w:type="nil"/>
              <w:bottom w:w="0" w:type="nil"/>
              <w:right w:w="0" w:type="nil"/>
            </w:tcMar>
          </w:tcPr>
          <w:p w:rsidR="007152F7" w:rsidRPr="00745A36" w:rsidRDefault="007152F7" w:rsidP="007152F7">
            <w:pPr>
              <w:pStyle w:val="Tabletext"/>
              <w:tabs>
                <w:tab w:val="decimal" w:pos="907"/>
              </w:tabs>
              <w:ind w:left="113"/>
              <w:jc w:val="right"/>
              <w:rPr>
                <w:rFonts w:ascii="Calibri" w:hAnsi="Calibri" w:cs="Calibri"/>
                <w:color w:val="002B45"/>
              </w:rPr>
            </w:pPr>
            <w:r w:rsidRPr="00745A36">
              <w:rPr>
                <w:rFonts w:ascii="Calibri" w:hAnsi="Calibri" w:cs="Calibri"/>
                <w:color w:val="002B45"/>
              </w:rPr>
              <w:t xml:space="preserve"> 624.3 </w:t>
            </w:r>
          </w:p>
        </w:tc>
      </w:tr>
      <w:tr w:rsidR="007152F7" w:rsidTr="007152F7">
        <w:trPr>
          <w:trHeight w:val="283"/>
        </w:trPr>
        <w:tc>
          <w:tcPr>
            <w:tcW w:w="6096" w:type="dxa"/>
            <w:tcBorders>
              <w:top w:val="nil"/>
              <w:bottom w:val="single" w:sz="4" w:space="0" w:color="999999"/>
            </w:tcBorders>
            <w:tcMar>
              <w:top w:w="0" w:type="nil"/>
              <w:left w:w="0" w:type="nil"/>
              <w:bottom w:w="0" w:type="nil"/>
              <w:right w:w="0" w:type="nil"/>
            </w:tcMar>
          </w:tcPr>
          <w:p w:rsidR="007152F7" w:rsidRPr="001C78E8" w:rsidRDefault="007152F7" w:rsidP="007152F7">
            <w:pPr>
              <w:pStyle w:val="Tabletext0"/>
              <w:ind w:left="0"/>
              <w:rPr>
                <w:rFonts w:ascii="Calibri" w:hAnsi="Calibri" w:cs="Calibri"/>
                <w:color w:val="002B45"/>
              </w:rPr>
            </w:pPr>
            <w:r w:rsidRPr="001C78E8">
              <w:rPr>
                <w:rFonts w:ascii="Calibri" w:hAnsi="Calibri" w:cs="Calibri"/>
                <w:color w:val="002B45"/>
              </w:rPr>
              <w:t>Non-controlling interest</w:t>
            </w:r>
          </w:p>
        </w:tc>
        <w:tc>
          <w:tcPr>
            <w:tcW w:w="1134" w:type="dxa"/>
            <w:gridSpan w:val="2"/>
            <w:tcBorders>
              <w:top w:val="nil"/>
              <w:bottom w:val="single" w:sz="4" w:space="0" w:color="999999"/>
            </w:tcBorders>
            <w:tcMar>
              <w:top w:w="0" w:type="nil"/>
              <w:left w:w="0" w:type="nil"/>
              <w:bottom w:w="0" w:type="nil"/>
              <w:right w:w="0" w:type="nil"/>
            </w:tcMar>
          </w:tcPr>
          <w:p w:rsidR="007152F7" w:rsidRPr="00787286" w:rsidRDefault="007152F7" w:rsidP="007152F7">
            <w:pPr>
              <w:pStyle w:val="Tabletext"/>
              <w:tabs>
                <w:tab w:val="decimal" w:pos="907"/>
              </w:tabs>
              <w:ind w:left="113"/>
              <w:jc w:val="right"/>
              <w:rPr>
                <w:rFonts w:ascii="Calibri" w:hAnsi="Calibri" w:cs="Calibri"/>
                <w:color w:val="00305C"/>
              </w:rPr>
            </w:pPr>
          </w:p>
        </w:tc>
        <w:tc>
          <w:tcPr>
            <w:tcW w:w="1104" w:type="dxa"/>
            <w:gridSpan w:val="2"/>
            <w:tcBorders>
              <w:top w:val="nil"/>
              <w:bottom w:val="single" w:sz="4" w:space="0" w:color="999999"/>
            </w:tcBorders>
            <w:shd w:val="clear" w:color="auto" w:fill="E6E6E6"/>
            <w:tcMar>
              <w:top w:w="0" w:type="nil"/>
              <w:left w:w="0" w:type="nil"/>
              <w:bottom w:w="0" w:type="nil"/>
              <w:right w:w="0" w:type="nil"/>
            </w:tcMar>
          </w:tcPr>
          <w:p w:rsidR="007152F7" w:rsidRPr="00745A36" w:rsidRDefault="007152F7" w:rsidP="007152F7">
            <w:pPr>
              <w:pStyle w:val="Tabletext"/>
              <w:tabs>
                <w:tab w:val="decimal" w:pos="907"/>
              </w:tabs>
              <w:ind w:left="113"/>
              <w:jc w:val="right"/>
              <w:rPr>
                <w:rFonts w:ascii="Calibri" w:hAnsi="Calibri" w:cs="Calibri"/>
                <w:color w:val="002B45"/>
              </w:rPr>
            </w:pPr>
            <w:r w:rsidRPr="00745A36">
              <w:rPr>
                <w:rFonts w:ascii="Calibri" w:hAnsi="Calibri" w:cs="Calibri"/>
                <w:color w:val="002B45"/>
              </w:rPr>
              <w:t xml:space="preserve"> 47.1 </w:t>
            </w:r>
          </w:p>
        </w:tc>
        <w:tc>
          <w:tcPr>
            <w:tcW w:w="1164" w:type="dxa"/>
            <w:tcBorders>
              <w:top w:val="nil"/>
              <w:bottom w:val="single" w:sz="4" w:space="0" w:color="999999"/>
            </w:tcBorders>
            <w:tcMar>
              <w:top w:w="0" w:type="nil"/>
              <w:left w:w="0" w:type="nil"/>
              <w:bottom w:w="0" w:type="nil"/>
              <w:right w:w="0" w:type="nil"/>
            </w:tcMar>
          </w:tcPr>
          <w:p w:rsidR="007152F7" w:rsidRPr="00745A36" w:rsidRDefault="007152F7" w:rsidP="007152F7">
            <w:pPr>
              <w:pStyle w:val="Tabletext"/>
              <w:tabs>
                <w:tab w:val="decimal" w:pos="907"/>
              </w:tabs>
              <w:ind w:left="113"/>
              <w:jc w:val="right"/>
              <w:rPr>
                <w:rFonts w:ascii="Calibri" w:hAnsi="Calibri" w:cs="Calibri"/>
                <w:color w:val="002B45"/>
              </w:rPr>
            </w:pPr>
            <w:r w:rsidRPr="00745A36">
              <w:rPr>
                <w:rFonts w:ascii="Calibri" w:hAnsi="Calibri" w:cs="Calibri"/>
                <w:color w:val="002B45"/>
              </w:rPr>
              <w:t xml:space="preserve"> 41.9 </w:t>
            </w:r>
          </w:p>
        </w:tc>
      </w:tr>
      <w:tr w:rsidR="007152F7" w:rsidTr="007152F7">
        <w:trPr>
          <w:trHeight w:val="283"/>
        </w:trPr>
        <w:tc>
          <w:tcPr>
            <w:tcW w:w="6096" w:type="dxa"/>
            <w:tcBorders>
              <w:top w:val="single" w:sz="4" w:space="0" w:color="999999"/>
              <w:bottom w:val="single" w:sz="12" w:space="0" w:color="999999"/>
            </w:tcBorders>
            <w:tcMar>
              <w:top w:w="0" w:type="nil"/>
              <w:left w:w="0" w:type="nil"/>
              <w:bottom w:w="0" w:type="nil"/>
              <w:right w:w="0" w:type="nil"/>
            </w:tcMar>
          </w:tcPr>
          <w:p w:rsidR="007152F7" w:rsidRPr="001C78E8" w:rsidRDefault="007152F7" w:rsidP="007152F7">
            <w:pPr>
              <w:pStyle w:val="Tabletext0"/>
              <w:ind w:left="0"/>
              <w:rPr>
                <w:rFonts w:ascii="Calibri" w:hAnsi="Calibri" w:cs="Calibri"/>
                <w:color w:val="002B45"/>
              </w:rPr>
            </w:pPr>
          </w:p>
        </w:tc>
        <w:tc>
          <w:tcPr>
            <w:tcW w:w="1134" w:type="dxa"/>
            <w:gridSpan w:val="2"/>
            <w:tcBorders>
              <w:top w:val="single" w:sz="4" w:space="0" w:color="999999"/>
              <w:bottom w:val="single" w:sz="12" w:space="0" w:color="999999"/>
            </w:tcBorders>
            <w:tcMar>
              <w:top w:w="0" w:type="nil"/>
              <w:left w:w="0" w:type="nil"/>
              <w:bottom w:w="0" w:type="nil"/>
              <w:right w:w="0" w:type="nil"/>
            </w:tcMar>
          </w:tcPr>
          <w:p w:rsidR="007152F7" w:rsidRPr="00787286" w:rsidRDefault="007152F7" w:rsidP="007152F7">
            <w:pPr>
              <w:pStyle w:val="Tabletext"/>
              <w:tabs>
                <w:tab w:val="decimal" w:pos="907"/>
              </w:tabs>
              <w:ind w:left="113"/>
              <w:jc w:val="right"/>
              <w:rPr>
                <w:rFonts w:ascii="Calibri" w:hAnsi="Calibri" w:cs="Calibri"/>
                <w:color w:val="00305C"/>
              </w:rPr>
            </w:pPr>
          </w:p>
        </w:tc>
        <w:tc>
          <w:tcPr>
            <w:tcW w:w="1104" w:type="dxa"/>
            <w:gridSpan w:val="2"/>
            <w:tcBorders>
              <w:top w:val="single" w:sz="4" w:space="0" w:color="999999"/>
              <w:bottom w:val="single" w:sz="12" w:space="0" w:color="999999"/>
            </w:tcBorders>
            <w:shd w:val="clear" w:color="auto" w:fill="E6E6E6"/>
            <w:tcMar>
              <w:top w:w="0" w:type="nil"/>
              <w:left w:w="0" w:type="nil"/>
              <w:bottom w:w="0" w:type="nil"/>
              <w:right w:w="0" w:type="nil"/>
            </w:tcMar>
          </w:tcPr>
          <w:p w:rsidR="007152F7" w:rsidRPr="00745A36" w:rsidRDefault="007152F7" w:rsidP="007152F7">
            <w:pPr>
              <w:pStyle w:val="Tabletext"/>
              <w:tabs>
                <w:tab w:val="decimal" w:pos="907"/>
              </w:tabs>
              <w:ind w:left="113"/>
              <w:jc w:val="right"/>
              <w:rPr>
                <w:rFonts w:ascii="Calibri" w:hAnsi="Calibri" w:cs="Calibri"/>
                <w:color w:val="002B45"/>
              </w:rPr>
            </w:pPr>
            <w:r w:rsidRPr="00745A36">
              <w:rPr>
                <w:rFonts w:ascii="Calibri" w:hAnsi="Calibri" w:cs="Calibri"/>
                <w:color w:val="002B45"/>
              </w:rPr>
              <w:t xml:space="preserve"> 216.1 </w:t>
            </w:r>
          </w:p>
        </w:tc>
        <w:tc>
          <w:tcPr>
            <w:tcW w:w="1164" w:type="dxa"/>
            <w:tcBorders>
              <w:top w:val="single" w:sz="4" w:space="0" w:color="999999"/>
              <w:bottom w:val="single" w:sz="12" w:space="0" w:color="999999"/>
            </w:tcBorders>
            <w:tcMar>
              <w:top w:w="0" w:type="nil"/>
              <w:left w:w="0" w:type="nil"/>
              <w:bottom w:w="0" w:type="nil"/>
              <w:right w:w="0" w:type="nil"/>
            </w:tcMar>
          </w:tcPr>
          <w:p w:rsidR="007152F7" w:rsidRPr="00745A36" w:rsidRDefault="007152F7" w:rsidP="007152F7">
            <w:pPr>
              <w:pStyle w:val="Tabletext"/>
              <w:tabs>
                <w:tab w:val="decimal" w:pos="907"/>
              </w:tabs>
              <w:ind w:left="113"/>
              <w:jc w:val="right"/>
              <w:rPr>
                <w:rFonts w:ascii="Calibri" w:hAnsi="Calibri" w:cs="Calibri"/>
                <w:color w:val="002B45"/>
              </w:rPr>
            </w:pPr>
            <w:r w:rsidRPr="00745A36">
              <w:rPr>
                <w:rFonts w:ascii="Calibri" w:hAnsi="Calibri" w:cs="Calibri"/>
                <w:color w:val="002B45"/>
              </w:rPr>
              <w:t xml:space="preserve"> 666.2 </w:t>
            </w:r>
          </w:p>
        </w:tc>
      </w:tr>
      <w:tr w:rsidR="007152F7" w:rsidTr="007152F7">
        <w:trPr>
          <w:trHeight w:val="283"/>
        </w:trPr>
        <w:tc>
          <w:tcPr>
            <w:tcW w:w="6096" w:type="dxa"/>
            <w:tcBorders>
              <w:top w:val="single" w:sz="12" w:space="0" w:color="999999"/>
              <w:bottom w:val="nil"/>
            </w:tcBorders>
            <w:tcMar>
              <w:top w:w="0" w:type="nil"/>
              <w:left w:w="0" w:type="nil"/>
              <w:bottom w:w="0" w:type="nil"/>
              <w:right w:w="0" w:type="nil"/>
            </w:tcMar>
          </w:tcPr>
          <w:p w:rsidR="007152F7" w:rsidRPr="001C78E8" w:rsidRDefault="007152F7" w:rsidP="007152F7">
            <w:pPr>
              <w:pStyle w:val="TabletextBold"/>
              <w:ind w:left="0"/>
              <w:rPr>
                <w:rFonts w:ascii="Calibri" w:hAnsi="Calibri" w:cs="Calibri"/>
                <w:color w:val="002B45"/>
                <w:sz w:val="19"/>
                <w:szCs w:val="24"/>
                <w:lang w:val="en-US" w:eastAsia="en-US"/>
              </w:rPr>
            </w:pPr>
            <w:r w:rsidRPr="001C78E8">
              <w:rPr>
                <w:rFonts w:ascii="Calibri" w:hAnsi="Calibri" w:cs="Calibri"/>
                <w:color w:val="002B45"/>
                <w:sz w:val="19"/>
                <w:szCs w:val="24"/>
                <w:lang w:val="en-US" w:eastAsia="en-US"/>
              </w:rPr>
              <w:t>Earnings per ordinary share from continuing activities</w:t>
            </w:r>
          </w:p>
        </w:tc>
        <w:tc>
          <w:tcPr>
            <w:tcW w:w="1134" w:type="dxa"/>
            <w:gridSpan w:val="2"/>
            <w:tcBorders>
              <w:top w:val="single" w:sz="12" w:space="0" w:color="999999"/>
              <w:bottom w:val="nil"/>
            </w:tcBorders>
            <w:tcMar>
              <w:top w:w="0" w:type="nil"/>
              <w:left w:w="0" w:type="nil"/>
              <w:bottom w:w="0" w:type="nil"/>
              <w:right w:w="0" w:type="nil"/>
            </w:tcMar>
          </w:tcPr>
          <w:p w:rsidR="007152F7" w:rsidRPr="00787286" w:rsidRDefault="007152F7" w:rsidP="007152F7">
            <w:pPr>
              <w:pStyle w:val="Tabletext"/>
              <w:tabs>
                <w:tab w:val="decimal" w:pos="907"/>
              </w:tabs>
              <w:ind w:left="113"/>
              <w:jc w:val="right"/>
              <w:rPr>
                <w:rFonts w:ascii="Calibri" w:hAnsi="Calibri" w:cs="Calibri"/>
                <w:color w:val="00305C"/>
              </w:rPr>
            </w:pPr>
          </w:p>
        </w:tc>
        <w:tc>
          <w:tcPr>
            <w:tcW w:w="1104" w:type="dxa"/>
            <w:gridSpan w:val="2"/>
            <w:tcBorders>
              <w:top w:val="single" w:sz="12" w:space="0" w:color="999999"/>
              <w:bottom w:val="nil"/>
            </w:tcBorders>
            <w:shd w:val="clear" w:color="auto" w:fill="E6E6E6"/>
            <w:tcMar>
              <w:top w:w="0" w:type="nil"/>
              <w:left w:w="0" w:type="nil"/>
              <w:bottom w:w="0" w:type="nil"/>
              <w:right w:w="0" w:type="nil"/>
            </w:tcMar>
          </w:tcPr>
          <w:p w:rsidR="007152F7" w:rsidRPr="00745A36" w:rsidRDefault="007152F7" w:rsidP="007152F7">
            <w:pPr>
              <w:pStyle w:val="Tabletext"/>
              <w:tabs>
                <w:tab w:val="decimal" w:pos="907"/>
              </w:tabs>
              <w:ind w:left="113"/>
              <w:jc w:val="right"/>
              <w:rPr>
                <w:rFonts w:ascii="Calibri" w:hAnsi="Calibri" w:cs="Calibri"/>
                <w:color w:val="002B45"/>
              </w:rPr>
            </w:pPr>
            <w:r w:rsidRPr="00745A36">
              <w:rPr>
                <w:rFonts w:ascii="Calibri" w:hAnsi="Calibri" w:cs="Calibri"/>
                <w:color w:val="002B45"/>
              </w:rPr>
              <w:t>¢</w:t>
            </w:r>
          </w:p>
        </w:tc>
        <w:tc>
          <w:tcPr>
            <w:tcW w:w="1164" w:type="dxa"/>
            <w:tcBorders>
              <w:top w:val="single" w:sz="12" w:space="0" w:color="999999"/>
              <w:bottom w:val="nil"/>
            </w:tcBorders>
            <w:tcMar>
              <w:top w:w="0" w:type="nil"/>
              <w:left w:w="0" w:type="nil"/>
              <w:bottom w:w="0" w:type="nil"/>
              <w:right w:w="0" w:type="nil"/>
            </w:tcMar>
          </w:tcPr>
          <w:p w:rsidR="007152F7" w:rsidRPr="00745A36" w:rsidRDefault="007152F7" w:rsidP="007152F7">
            <w:pPr>
              <w:pStyle w:val="Tabletext"/>
              <w:tabs>
                <w:tab w:val="decimal" w:pos="907"/>
              </w:tabs>
              <w:ind w:left="113"/>
              <w:jc w:val="right"/>
              <w:rPr>
                <w:rFonts w:ascii="Calibri" w:hAnsi="Calibri" w:cs="Calibri"/>
                <w:color w:val="002B45"/>
              </w:rPr>
            </w:pPr>
            <w:r w:rsidRPr="00745A36">
              <w:rPr>
                <w:rFonts w:ascii="Calibri" w:hAnsi="Calibri" w:cs="Calibri"/>
                <w:color w:val="002B45"/>
              </w:rPr>
              <w:t>¢</w:t>
            </w:r>
          </w:p>
        </w:tc>
      </w:tr>
      <w:tr w:rsidR="007152F7" w:rsidTr="007152F7">
        <w:trPr>
          <w:trHeight w:val="283"/>
        </w:trPr>
        <w:tc>
          <w:tcPr>
            <w:tcW w:w="6096" w:type="dxa"/>
            <w:tcBorders>
              <w:top w:val="nil"/>
              <w:bottom w:val="nil"/>
            </w:tcBorders>
            <w:tcMar>
              <w:top w:w="0" w:type="nil"/>
              <w:left w:w="0" w:type="nil"/>
              <w:bottom w:w="0" w:type="nil"/>
              <w:right w:w="0" w:type="nil"/>
            </w:tcMar>
          </w:tcPr>
          <w:p w:rsidR="007152F7" w:rsidRPr="001C78E8" w:rsidRDefault="007152F7" w:rsidP="007152F7">
            <w:pPr>
              <w:pStyle w:val="Tabletext0"/>
              <w:ind w:left="0"/>
              <w:rPr>
                <w:rFonts w:ascii="Calibri" w:hAnsi="Calibri" w:cs="Calibri"/>
                <w:color w:val="002B45"/>
              </w:rPr>
            </w:pPr>
            <w:r w:rsidRPr="001C78E8">
              <w:rPr>
                <w:rFonts w:ascii="Calibri" w:hAnsi="Calibri" w:cs="Calibri"/>
                <w:color w:val="002B45"/>
              </w:rPr>
              <w:t>Basic</w:t>
            </w:r>
          </w:p>
        </w:tc>
        <w:tc>
          <w:tcPr>
            <w:tcW w:w="1134" w:type="dxa"/>
            <w:gridSpan w:val="2"/>
            <w:tcBorders>
              <w:top w:val="nil"/>
              <w:bottom w:val="nil"/>
            </w:tcBorders>
            <w:tcMar>
              <w:top w:w="0" w:type="nil"/>
              <w:left w:w="0" w:type="nil"/>
              <w:bottom w:w="0" w:type="nil"/>
              <w:right w:w="0" w:type="nil"/>
            </w:tcMar>
          </w:tcPr>
          <w:p w:rsidR="007152F7" w:rsidRPr="00787286" w:rsidRDefault="007152F7" w:rsidP="007152F7">
            <w:pPr>
              <w:pStyle w:val="Tabletext"/>
              <w:tabs>
                <w:tab w:val="decimal" w:pos="907"/>
              </w:tabs>
              <w:ind w:left="113"/>
              <w:jc w:val="right"/>
              <w:rPr>
                <w:rFonts w:ascii="Calibri" w:hAnsi="Calibri" w:cs="Calibri"/>
                <w:color w:val="00305C"/>
              </w:rPr>
            </w:pPr>
            <w:r w:rsidRPr="00787286">
              <w:rPr>
                <w:rFonts w:ascii="Calibri" w:hAnsi="Calibri" w:cs="Calibri"/>
                <w:color w:val="00305C"/>
              </w:rPr>
              <w:t>2</w:t>
            </w:r>
          </w:p>
        </w:tc>
        <w:tc>
          <w:tcPr>
            <w:tcW w:w="1104" w:type="dxa"/>
            <w:gridSpan w:val="2"/>
            <w:tcBorders>
              <w:top w:val="nil"/>
              <w:bottom w:val="nil"/>
            </w:tcBorders>
            <w:shd w:val="clear" w:color="auto" w:fill="E6E6E6"/>
            <w:tcMar>
              <w:top w:w="0" w:type="nil"/>
              <w:left w:w="0" w:type="nil"/>
              <w:bottom w:w="0" w:type="nil"/>
              <w:right w:w="0" w:type="nil"/>
            </w:tcMar>
          </w:tcPr>
          <w:p w:rsidR="007152F7" w:rsidRPr="00745A36" w:rsidRDefault="007152F7" w:rsidP="007152F7">
            <w:pPr>
              <w:pStyle w:val="Tabletext"/>
              <w:tabs>
                <w:tab w:val="decimal" w:pos="907"/>
              </w:tabs>
              <w:ind w:left="113"/>
              <w:jc w:val="right"/>
              <w:rPr>
                <w:rFonts w:ascii="Calibri" w:hAnsi="Calibri" w:cs="Calibri"/>
                <w:color w:val="002B45"/>
              </w:rPr>
            </w:pPr>
            <w:r w:rsidRPr="00745A36">
              <w:rPr>
                <w:rFonts w:ascii="Calibri" w:hAnsi="Calibri" w:cs="Calibri"/>
                <w:color w:val="002B45"/>
              </w:rPr>
              <w:t>18.6</w:t>
            </w:r>
          </w:p>
        </w:tc>
        <w:tc>
          <w:tcPr>
            <w:tcW w:w="1164" w:type="dxa"/>
            <w:tcBorders>
              <w:top w:val="nil"/>
              <w:bottom w:val="nil"/>
            </w:tcBorders>
            <w:tcMar>
              <w:top w:w="0" w:type="nil"/>
              <w:left w:w="0" w:type="nil"/>
              <w:bottom w:w="0" w:type="nil"/>
              <w:right w:w="0" w:type="nil"/>
            </w:tcMar>
          </w:tcPr>
          <w:p w:rsidR="007152F7" w:rsidRPr="00745A36" w:rsidRDefault="007152F7" w:rsidP="007152F7">
            <w:pPr>
              <w:pStyle w:val="Tabletext"/>
              <w:tabs>
                <w:tab w:val="decimal" w:pos="907"/>
              </w:tabs>
              <w:ind w:left="113"/>
              <w:jc w:val="right"/>
              <w:rPr>
                <w:rFonts w:ascii="Calibri" w:hAnsi="Calibri" w:cs="Calibri"/>
                <w:color w:val="002B45"/>
              </w:rPr>
            </w:pPr>
            <w:r w:rsidRPr="00745A36">
              <w:rPr>
                <w:rFonts w:ascii="Calibri" w:hAnsi="Calibri" w:cs="Calibri"/>
                <w:color w:val="002B45"/>
              </w:rPr>
              <w:t>68.8</w:t>
            </w:r>
          </w:p>
        </w:tc>
      </w:tr>
      <w:tr w:rsidR="007152F7" w:rsidTr="007152F7">
        <w:trPr>
          <w:trHeight w:val="283"/>
        </w:trPr>
        <w:tc>
          <w:tcPr>
            <w:tcW w:w="6096" w:type="dxa"/>
            <w:tcBorders>
              <w:top w:val="nil"/>
              <w:bottom w:val="single" w:sz="12" w:space="0" w:color="999999"/>
            </w:tcBorders>
            <w:tcMar>
              <w:top w:w="0" w:type="nil"/>
              <w:left w:w="0" w:type="nil"/>
              <w:bottom w:w="0" w:type="nil"/>
              <w:right w:w="0" w:type="nil"/>
            </w:tcMar>
          </w:tcPr>
          <w:p w:rsidR="007152F7" w:rsidRPr="001C78E8" w:rsidRDefault="007152F7" w:rsidP="007152F7">
            <w:pPr>
              <w:pStyle w:val="Tabletext0"/>
              <w:ind w:left="0"/>
              <w:rPr>
                <w:rFonts w:ascii="Calibri" w:hAnsi="Calibri" w:cs="Calibri"/>
                <w:color w:val="002B45"/>
              </w:rPr>
            </w:pPr>
            <w:r w:rsidRPr="001C78E8">
              <w:rPr>
                <w:rFonts w:ascii="Calibri" w:hAnsi="Calibri" w:cs="Calibri"/>
                <w:color w:val="002B45"/>
              </w:rPr>
              <w:t xml:space="preserve">Diluted </w:t>
            </w:r>
          </w:p>
        </w:tc>
        <w:tc>
          <w:tcPr>
            <w:tcW w:w="1134" w:type="dxa"/>
            <w:gridSpan w:val="2"/>
            <w:tcBorders>
              <w:top w:val="nil"/>
              <w:bottom w:val="single" w:sz="12" w:space="0" w:color="999999"/>
            </w:tcBorders>
            <w:tcMar>
              <w:top w:w="0" w:type="nil"/>
              <w:left w:w="0" w:type="nil"/>
              <w:bottom w:w="0" w:type="nil"/>
              <w:right w:w="0" w:type="nil"/>
            </w:tcMar>
          </w:tcPr>
          <w:p w:rsidR="007152F7" w:rsidRPr="00787286" w:rsidRDefault="007152F7" w:rsidP="007152F7">
            <w:pPr>
              <w:pStyle w:val="Tabletext"/>
              <w:tabs>
                <w:tab w:val="decimal" w:pos="907"/>
              </w:tabs>
              <w:ind w:left="113"/>
              <w:jc w:val="right"/>
              <w:rPr>
                <w:rFonts w:ascii="Calibri" w:hAnsi="Calibri" w:cs="Calibri"/>
                <w:color w:val="00305C"/>
              </w:rPr>
            </w:pPr>
            <w:r w:rsidRPr="00787286">
              <w:rPr>
                <w:rFonts w:ascii="Calibri" w:hAnsi="Calibri" w:cs="Calibri"/>
                <w:color w:val="00305C"/>
              </w:rPr>
              <w:t>2</w:t>
            </w:r>
          </w:p>
        </w:tc>
        <w:tc>
          <w:tcPr>
            <w:tcW w:w="1104" w:type="dxa"/>
            <w:gridSpan w:val="2"/>
            <w:tcBorders>
              <w:top w:val="nil"/>
              <w:bottom w:val="single" w:sz="12" w:space="0" w:color="999999"/>
            </w:tcBorders>
            <w:shd w:val="clear" w:color="auto" w:fill="E6E6E6"/>
            <w:tcMar>
              <w:top w:w="0" w:type="nil"/>
              <w:left w:w="0" w:type="nil"/>
              <w:bottom w:w="0" w:type="nil"/>
              <w:right w:w="0" w:type="nil"/>
            </w:tcMar>
          </w:tcPr>
          <w:p w:rsidR="007152F7" w:rsidRPr="00745A36" w:rsidRDefault="007152F7" w:rsidP="007152F7">
            <w:pPr>
              <w:pStyle w:val="Tabletext"/>
              <w:tabs>
                <w:tab w:val="decimal" w:pos="907"/>
              </w:tabs>
              <w:ind w:left="113"/>
              <w:jc w:val="right"/>
              <w:rPr>
                <w:rFonts w:ascii="Calibri" w:hAnsi="Calibri" w:cs="Calibri"/>
                <w:color w:val="002B45"/>
              </w:rPr>
            </w:pPr>
            <w:r w:rsidRPr="00745A36">
              <w:rPr>
                <w:rFonts w:ascii="Calibri" w:hAnsi="Calibri" w:cs="Calibri"/>
                <w:color w:val="002B45"/>
              </w:rPr>
              <w:t>18.5</w:t>
            </w:r>
          </w:p>
        </w:tc>
        <w:tc>
          <w:tcPr>
            <w:tcW w:w="1164" w:type="dxa"/>
            <w:tcBorders>
              <w:top w:val="nil"/>
              <w:bottom w:val="single" w:sz="12" w:space="0" w:color="999999"/>
            </w:tcBorders>
            <w:tcMar>
              <w:top w:w="0" w:type="nil"/>
              <w:left w:w="0" w:type="nil"/>
              <w:bottom w:w="0" w:type="nil"/>
              <w:right w:w="0" w:type="nil"/>
            </w:tcMar>
          </w:tcPr>
          <w:p w:rsidR="007152F7" w:rsidRPr="00745A36" w:rsidRDefault="007152F7" w:rsidP="007152F7">
            <w:pPr>
              <w:pStyle w:val="Tabletext"/>
              <w:tabs>
                <w:tab w:val="decimal" w:pos="907"/>
              </w:tabs>
              <w:ind w:left="113"/>
              <w:jc w:val="right"/>
              <w:rPr>
                <w:rFonts w:ascii="Calibri" w:hAnsi="Calibri" w:cs="Calibri"/>
                <w:color w:val="002B45"/>
              </w:rPr>
            </w:pPr>
            <w:r w:rsidRPr="00745A36">
              <w:rPr>
                <w:rFonts w:ascii="Calibri" w:hAnsi="Calibri" w:cs="Calibri"/>
                <w:color w:val="002B45"/>
              </w:rPr>
              <w:t>68.4</w:t>
            </w:r>
          </w:p>
        </w:tc>
      </w:tr>
    </w:tbl>
    <w:p w:rsidR="00871692" w:rsidRPr="009318F0" w:rsidRDefault="00871692" w:rsidP="00871692">
      <w:pPr>
        <w:pStyle w:val="Tablesub-haeding"/>
        <w:rPr>
          <w:rFonts w:ascii="Calibri" w:hAnsi="Calibri" w:cs="Calibri"/>
          <w:color w:val="5F5F5F"/>
        </w:rPr>
      </w:pPr>
    </w:p>
    <w:p w:rsidR="00FC27EC" w:rsidRDefault="00FC27EC" w:rsidP="00871692">
      <w:pPr>
        <w:pStyle w:val="StyleTableheadingCustomColorRGB1533154"/>
        <w:rPr>
          <w:rFonts w:ascii="Calibri" w:hAnsi="Calibri" w:cs="Calibri"/>
          <w:highlight w:val="yellow"/>
        </w:rPr>
      </w:pPr>
    </w:p>
    <w:tbl>
      <w:tblPr>
        <w:tblW w:w="9498" w:type="dxa"/>
        <w:tblLayout w:type="fixed"/>
        <w:tblCellMar>
          <w:left w:w="0" w:type="dxa"/>
          <w:right w:w="0" w:type="dxa"/>
        </w:tblCellMar>
        <w:tblLook w:val="00A0" w:firstRow="1" w:lastRow="0" w:firstColumn="1" w:lastColumn="0" w:noHBand="0" w:noVBand="0"/>
      </w:tblPr>
      <w:tblGrid>
        <w:gridCol w:w="6521"/>
        <w:gridCol w:w="709"/>
        <w:gridCol w:w="1105"/>
        <w:gridCol w:w="1163"/>
      </w:tblGrid>
      <w:tr w:rsidR="00FC27EC" w:rsidRPr="00E76D01" w:rsidTr="00790A8E">
        <w:tc>
          <w:tcPr>
            <w:tcW w:w="6521" w:type="dxa"/>
            <w:shd w:val="clear" w:color="auto" w:fill="auto"/>
            <w:vAlign w:val="bottom"/>
          </w:tcPr>
          <w:p w:rsidR="00FC27EC" w:rsidRPr="00772C45" w:rsidRDefault="00FC27EC" w:rsidP="00FC27EC">
            <w:pPr>
              <w:pStyle w:val="StyleSection-heading12ptCustomColorRGB04369Centered"/>
              <w:spacing w:line="280" w:lineRule="exact"/>
              <w:rPr>
                <w:rFonts w:ascii="Calibri" w:hAnsi="Calibri" w:cs="Calibri"/>
                <w:b/>
                <w:color w:val="00305C"/>
                <w:sz w:val="28"/>
              </w:rPr>
            </w:pPr>
            <w:r w:rsidRPr="00772C45">
              <w:rPr>
                <w:rFonts w:ascii="Calibri" w:hAnsi="Calibri" w:cs="Calibri"/>
                <w:b/>
                <w:color w:val="00305C"/>
                <w:sz w:val="28"/>
              </w:rPr>
              <w:t>Condensed consolidated statement</w:t>
            </w:r>
            <w:r w:rsidR="009E3D53" w:rsidRPr="00772C45">
              <w:rPr>
                <w:rFonts w:ascii="Calibri" w:hAnsi="Calibri" w:cs="Calibri"/>
                <w:b/>
                <w:color w:val="00305C"/>
                <w:sz w:val="28"/>
              </w:rPr>
              <w:t xml:space="preserve"> of comprehensive income and expense</w:t>
            </w:r>
          </w:p>
          <w:p w:rsidR="00FC27EC" w:rsidRPr="00FC27EC" w:rsidRDefault="00FC27EC" w:rsidP="00FC27EC">
            <w:pPr>
              <w:pStyle w:val="Tablesub-haeding"/>
              <w:rPr>
                <w:rFonts w:ascii="Calibri" w:hAnsi="Calibri" w:cs="Calibri"/>
                <w:color w:val="5F5F5F"/>
              </w:rPr>
            </w:pPr>
            <w:r>
              <w:rPr>
                <w:rFonts w:ascii="Calibri" w:hAnsi="Calibri" w:cs="Calibri"/>
                <w:color w:val="5F5F5F"/>
              </w:rPr>
              <w:t>Year ended 31 December 2013</w:t>
            </w:r>
          </w:p>
        </w:tc>
        <w:tc>
          <w:tcPr>
            <w:tcW w:w="709" w:type="dxa"/>
            <w:shd w:val="clear" w:color="auto" w:fill="auto"/>
            <w:vAlign w:val="bottom"/>
          </w:tcPr>
          <w:p w:rsidR="00FC27EC" w:rsidRPr="00E76D01" w:rsidRDefault="00FC27EC" w:rsidP="002106F9">
            <w:pPr>
              <w:pStyle w:val="TableColHeads"/>
            </w:pPr>
          </w:p>
        </w:tc>
        <w:tc>
          <w:tcPr>
            <w:tcW w:w="1105" w:type="dxa"/>
            <w:shd w:val="clear" w:color="auto" w:fill="auto"/>
            <w:vAlign w:val="bottom"/>
          </w:tcPr>
          <w:p w:rsidR="00FC27EC" w:rsidRPr="009318F0" w:rsidRDefault="00FC27EC" w:rsidP="002106F9">
            <w:pPr>
              <w:spacing w:line="180" w:lineRule="exact"/>
              <w:jc w:val="right"/>
              <w:rPr>
                <w:rStyle w:val="Bold"/>
                <w:rFonts w:ascii="Calibri" w:hAnsi="Calibri" w:cs="Calibri"/>
                <w:b/>
                <w:color w:val="002B45"/>
                <w:sz w:val="15"/>
                <w:szCs w:val="15"/>
              </w:rPr>
            </w:pPr>
          </w:p>
        </w:tc>
        <w:tc>
          <w:tcPr>
            <w:tcW w:w="1163" w:type="dxa"/>
            <w:shd w:val="clear" w:color="auto" w:fill="auto"/>
            <w:vAlign w:val="bottom"/>
          </w:tcPr>
          <w:p w:rsidR="00FC27EC" w:rsidRPr="009318F0" w:rsidRDefault="00FC27EC" w:rsidP="002106F9">
            <w:pPr>
              <w:spacing w:line="180" w:lineRule="exact"/>
              <w:jc w:val="right"/>
              <w:rPr>
                <w:rFonts w:ascii="Calibri" w:hAnsi="Calibri" w:cs="Calibri"/>
                <w:b/>
                <w:color w:val="002B45"/>
                <w:sz w:val="15"/>
                <w:szCs w:val="15"/>
                <w:lang w:val="en-US"/>
              </w:rPr>
            </w:pPr>
          </w:p>
        </w:tc>
      </w:tr>
      <w:tr w:rsidR="00FC27EC" w:rsidRPr="00E76D01" w:rsidTr="00790A8E">
        <w:tc>
          <w:tcPr>
            <w:tcW w:w="6521" w:type="dxa"/>
            <w:tcBorders>
              <w:bottom w:val="single" w:sz="12" w:space="0" w:color="999999"/>
            </w:tcBorders>
            <w:shd w:val="clear" w:color="auto" w:fill="auto"/>
            <w:vAlign w:val="center"/>
          </w:tcPr>
          <w:p w:rsidR="00FC27EC" w:rsidRPr="00FC27EC" w:rsidRDefault="00FC27EC" w:rsidP="00790A8E">
            <w:pPr>
              <w:pStyle w:val="Tabletext0"/>
              <w:rPr>
                <w:sz w:val="20"/>
                <w:szCs w:val="20"/>
              </w:rPr>
            </w:pPr>
          </w:p>
        </w:tc>
        <w:tc>
          <w:tcPr>
            <w:tcW w:w="709" w:type="dxa"/>
            <w:tcBorders>
              <w:bottom w:val="single" w:sz="12" w:space="0" w:color="999999"/>
            </w:tcBorders>
            <w:shd w:val="clear" w:color="auto" w:fill="auto"/>
            <w:vAlign w:val="center"/>
          </w:tcPr>
          <w:p w:rsidR="00FC27EC" w:rsidRPr="00FC27EC" w:rsidRDefault="00FC27EC" w:rsidP="00790A8E">
            <w:pPr>
              <w:pStyle w:val="TableColHeads"/>
              <w:rPr>
                <w:sz w:val="20"/>
              </w:rPr>
            </w:pPr>
          </w:p>
        </w:tc>
        <w:tc>
          <w:tcPr>
            <w:tcW w:w="1105" w:type="dxa"/>
            <w:tcBorders>
              <w:bottom w:val="single" w:sz="12" w:space="0" w:color="999999"/>
            </w:tcBorders>
            <w:shd w:val="clear" w:color="auto" w:fill="auto"/>
            <w:vAlign w:val="center"/>
          </w:tcPr>
          <w:p w:rsidR="00FC27EC" w:rsidRPr="00787286" w:rsidRDefault="00FC27EC" w:rsidP="00790A8E">
            <w:pPr>
              <w:spacing w:line="180" w:lineRule="exact"/>
              <w:ind w:right="113"/>
              <w:jc w:val="right"/>
              <w:rPr>
                <w:rStyle w:val="Bold"/>
                <w:rFonts w:ascii="Calibri" w:hAnsi="Calibri" w:cs="Calibri"/>
                <w:b/>
                <w:color w:val="00305C"/>
                <w:sz w:val="20"/>
                <w:szCs w:val="20"/>
              </w:rPr>
            </w:pPr>
            <w:r w:rsidRPr="00787286">
              <w:rPr>
                <w:rStyle w:val="Bold"/>
                <w:rFonts w:ascii="Calibri" w:hAnsi="Calibri" w:cs="Calibri"/>
                <w:b/>
                <w:color w:val="00305C"/>
                <w:sz w:val="20"/>
                <w:szCs w:val="20"/>
              </w:rPr>
              <w:t>2013</w:t>
            </w:r>
          </w:p>
          <w:p w:rsidR="00FC27EC" w:rsidRPr="00787286" w:rsidRDefault="00FC27EC" w:rsidP="00790A8E">
            <w:pPr>
              <w:spacing w:line="180" w:lineRule="exact"/>
              <w:ind w:right="113"/>
              <w:jc w:val="right"/>
              <w:rPr>
                <w:rFonts w:ascii="Calibri" w:hAnsi="Calibri" w:cs="Calibri"/>
                <w:b/>
                <w:color w:val="00305C"/>
                <w:sz w:val="20"/>
                <w:szCs w:val="20"/>
                <w:lang w:val="en-US"/>
              </w:rPr>
            </w:pPr>
            <w:r w:rsidRPr="00787286">
              <w:rPr>
                <w:rStyle w:val="Bold"/>
                <w:rFonts w:ascii="Calibri" w:hAnsi="Calibri" w:cs="Calibri"/>
                <w:b/>
                <w:color w:val="00305C"/>
                <w:sz w:val="20"/>
                <w:szCs w:val="20"/>
              </w:rPr>
              <w:t>$m</w:t>
            </w:r>
          </w:p>
        </w:tc>
        <w:tc>
          <w:tcPr>
            <w:tcW w:w="1163" w:type="dxa"/>
            <w:tcBorders>
              <w:bottom w:val="single" w:sz="12" w:space="0" w:color="999999"/>
            </w:tcBorders>
            <w:shd w:val="clear" w:color="auto" w:fill="auto"/>
            <w:vAlign w:val="center"/>
          </w:tcPr>
          <w:p w:rsidR="00FC27EC" w:rsidRPr="00787286" w:rsidRDefault="00FC27EC" w:rsidP="00790A8E">
            <w:pPr>
              <w:spacing w:line="180" w:lineRule="exact"/>
              <w:ind w:right="113"/>
              <w:jc w:val="right"/>
              <w:rPr>
                <w:rFonts w:ascii="Calibri" w:hAnsi="Calibri" w:cs="Calibri"/>
                <w:b/>
                <w:color w:val="00305C"/>
                <w:sz w:val="20"/>
                <w:szCs w:val="20"/>
                <w:lang w:val="en-US"/>
              </w:rPr>
            </w:pPr>
            <w:r w:rsidRPr="00787286">
              <w:rPr>
                <w:rFonts w:ascii="Calibri" w:hAnsi="Calibri" w:cs="Calibri"/>
                <w:b/>
                <w:color w:val="00305C"/>
                <w:sz w:val="20"/>
                <w:szCs w:val="20"/>
                <w:lang w:val="en-US"/>
              </w:rPr>
              <w:t>2012</w:t>
            </w:r>
          </w:p>
          <w:p w:rsidR="00FC27EC" w:rsidRPr="00787286" w:rsidRDefault="00FC27EC" w:rsidP="00790A8E">
            <w:pPr>
              <w:spacing w:line="180" w:lineRule="exact"/>
              <w:ind w:right="113"/>
              <w:jc w:val="right"/>
              <w:rPr>
                <w:rFonts w:ascii="Calibri" w:hAnsi="Calibri" w:cs="Calibri"/>
                <w:b/>
                <w:color w:val="00305C"/>
                <w:sz w:val="20"/>
                <w:szCs w:val="20"/>
                <w:lang w:val="en-US"/>
              </w:rPr>
            </w:pPr>
            <w:r w:rsidRPr="00787286">
              <w:rPr>
                <w:rFonts w:ascii="Calibri" w:hAnsi="Calibri" w:cs="Calibri"/>
                <w:b/>
                <w:color w:val="00305C"/>
                <w:sz w:val="20"/>
                <w:szCs w:val="20"/>
                <w:lang w:val="en-US"/>
              </w:rPr>
              <w:t xml:space="preserve">$m </w:t>
            </w:r>
          </w:p>
        </w:tc>
      </w:tr>
      <w:tr w:rsidR="00FC27EC" w:rsidRPr="0012593C" w:rsidTr="00790A8E">
        <w:trPr>
          <w:trHeight w:val="283"/>
        </w:trPr>
        <w:tc>
          <w:tcPr>
            <w:tcW w:w="6521" w:type="dxa"/>
            <w:tcBorders>
              <w:top w:val="single" w:sz="12" w:space="0" w:color="999999"/>
            </w:tcBorders>
            <w:vAlign w:val="center"/>
          </w:tcPr>
          <w:p w:rsidR="00FC27EC" w:rsidRPr="00402154" w:rsidRDefault="00FC27EC" w:rsidP="00790A8E">
            <w:pPr>
              <w:pStyle w:val="Tabletext0"/>
              <w:ind w:right="85"/>
              <w:rPr>
                <w:rFonts w:ascii="Calibri" w:hAnsi="Calibri" w:cs="Calibri"/>
                <w:color w:val="002B45"/>
              </w:rPr>
            </w:pPr>
            <w:r w:rsidRPr="00402154">
              <w:rPr>
                <w:rFonts w:ascii="Calibri" w:hAnsi="Calibri" w:cs="Calibri"/>
                <w:color w:val="002B45"/>
              </w:rPr>
              <w:t>Profit for the year</w:t>
            </w:r>
          </w:p>
        </w:tc>
        <w:tc>
          <w:tcPr>
            <w:tcW w:w="709" w:type="dxa"/>
            <w:tcBorders>
              <w:top w:val="single" w:sz="12" w:space="0" w:color="999999"/>
            </w:tcBorders>
            <w:vAlign w:val="center"/>
          </w:tcPr>
          <w:p w:rsidR="00FC27EC" w:rsidRPr="00C44CA2" w:rsidRDefault="00FC27EC" w:rsidP="00790A8E">
            <w:pPr>
              <w:pStyle w:val="TableFigures"/>
            </w:pPr>
          </w:p>
        </w:tc>
        <w:tc>
          <w:tcPr>
            <w:tcW w:w="1105" w:type="dxa"/>
            <w:tcBorders>
              <w:top w:val="single" w:sz="12" w:space="0" w:color="999999"/>
            </w:tcBorders>
            <w:shd w:val="clear" w:color="auto" w:fill="E6E6E6"/>
            <w:vAlign w:val="center"/>
          </w:tcPr>
          <w:p w:rsidR="00FC27EC" w:rsidRPr="00787286" w:rsidRDefault="00FC27EC" w:rsidP="00790A8E">
            <w:pPr>
              <w:pStyle w:val="Tabletext"/>
              <w:tabs>
                <w:tab w:val="decimal" w:pos="907"/>
              </w:tabs>
              <w:ind w:left="85" w:right="113"/>
              <w:jc w:val="right"/>
              <w:rPr>
                <w:rFonts w:ascii="Calibri" w:hAnsi="Calibri" w:cs="Calibri"/>
                <w:color w:val="00305C"/>
              </w:rPr>
            </w:pPr>
            <w:r w:rsidRPr="00787286">
              <w:rPr>
                <w:rFonts w:ascii="Calibri" w:hAnsi="Calibri" w:cs="Calibri"/>
                <w:color w:val="00305C"/>
              </w:rPr>
              <w:t>216.1</w:t>
            </w:r>
          </w:p>
        </w:tc>
        <w:tc>
          <w:tcPr>
            <w:tcW w:w="1163" w:type="dxa"/>
            <w:tcBorders>
              <w:top w:val="single" w:sz="12" w:space="0" w:color="999999"/>
            </w:tcBorders>
            <w:vAlign w:val="center"/>
          </w:tcPr>
          <w:p w:rsidR="00FC27EC" w:rsidRPr="00787286" w:rsidRDefault="00FC27EC" w:rsidP="00790A8E">
            <w:pPr>
              <w:pStyle w:val="Tabletext"/>
              <w:tabs>
                <w:tab w:val="decimal" w:pos="907"/>
              </w:tabs>
              <w:ind w:left="85" w:right="113"/>
              <w:jc w:val="right"/>
              <w:rPr>
                <w:rFonts w:ascii="Calibri" w:hAnsi="Calibri" w:cs="Calibri"/>
                <w:color w:val="00305C"/>
              </w:rPr>
            </w:pPr>
            <w:r w:rsidRPr="00787286">
              <w:rPr>
                <w:rFonts w:ascii="Calibri" w:hAnsi="Calibri" w:cs="Calibri"/>
                <w:color w:val="00305C"/>
              </w:rPr>
              <w:t>666.2</w:t>
            </w:r>
          </w:p>
        </w:tc>
      </w:tr>
      <w:tr w:rsidR="00FC27EC" w:rsidRPr="0012593C" w:rsidTr="00790A8E">
        <w:trPr>
          <w:trHeight w:val="283"/>
        </w:trPr>
        <w:tc>
          <w:tcPr>
            <w:tcW w:w="6521" w:type="dxa"/>
            <w:vAlign w:val="center"/>
          </w:tcPr>
          <w:p w:rsidR="00FC27EC" w:rsidRPr="00402154" w:rsidRDefault="00FC27EC" w:rsidP="00790A8E">
            <w:pPr>
              <w:pStyle w:val="Tabletext0"/>
              <w:ind w:right="85"/>
              <w:rPr>
                <w:rFonts w:ascii="Calibri" w:hAnsi="Calibri" w:cs="Calibri"/>
                <w:color w:val="002B45"/>
              </w:rPr>
            </w:pPr>
            <w:r>
              <w:rPr>
                <w:rFonts w:ascii="Calibri" w:hAnsi="Calibri" w:cs="Calibri"/>
                <w:color w:val="002B45"/>
              </w:rPr>
              <w:t>Items that may be reclassified to the income statement in subsequent periods</w:t>
            </w:r>
          </w:p>
        </w:tc>
        <w:tc>
          <w:tcPr>
            <w:tcW w:w="709" w:type="dxa"/>
            <w:vAlign w:val="center"/>
          </w:tcPr>
          <w:p w:rsidR="00FC27EC" w:rsidRPr="00C44CA2" w:rsidRDefault="00FC27EC" w:rsidP="00790A8E">
            <w:pPr>
              <w:pStyle w:val="TableFigures"/>
            </w:pPr>
          </w:p>
        </w:tc>
        <w:tc>
          <w:tcPr>
            <w:tcW w:w="1105" w:type="dxa"/>
            <w:shd w:val="clear" w:color="auto" w:fill="E6E6E6"/>
            <w:vAlign w:val="center"/>
          </w:tcPr>
          <w:p w:rsidR="00FC27EC" w:rsidRPr="00787286" w:rsidRDefault="00FC27EC" w:rsidP="00790A8E">
            <w:pPr>
              <w:pStyle w:val="Tabletext"/>
              <w:tabs>
                <w:tab w:val="decimal" w:pos="907"/>
              </w:tabs>
              <w:ind w:left="85" w:right="113"/>
              <w:jc w:val="right"/>
              <w:rPr>
                <w:rFonts w:ascii="Calibri" w:hAnsi="Calibri" w:cs="Calibri"/>
                <w:color w:val="00305C"/>
              </w:rPr>
            </w:pPr>
          </w:p>
        </w:tc>
        <w:tc>
          <w:tcPr>
            <w:tcW w:w="1163" w:type="dxa"/>
            <w:vAlign w:val="center"/>
          </w:tcPr>
          <w:p w:rsidR="00FC27EC" w:rsidRPr="00787286" w:rsidRDefault="00FC27EC" w:rsidP="00790A8E">
            <w:pPr>
              <w:pStyle w:val="Tabletext"/>
              <w:tabs>
                <w:tab w:val="decimal" w:pos="907"/>
              </w:tabs>
              <w:ind w:left="85" w:right="113"/>
              <w:jc w:val="right"/>
              <w:rPr>
                <w:rFonts w:ascii="Calibri" w:hAnsi="Calibri" w:cs="Calibri"/>
                <w:color w:val="00305C"/>
              </w:rPr>
            </w:pPr>
          </w:p>
        </w:tc>
      </w:tr>
      <w:tr w:rsidR="00FC27EC" w:rsidRPr="0012593C" w:rsidTr="00790A8E">
        <w:trPr>
          <w:trHeight w:val="283"/>
        </w:trPr>
        <w:tc>
          <w:tcPr>
            <w:tcW w:w="6521" w:type="dxa"/>
            <w:vAlign w:val="center"/>
          </w:tcPr>
          <w:p w:rsidR="00FC27EC" w:rsidRPr="00402154" w:rsidRDefault="00FC27EC" w:rsidP="00790A8E">
            <w:pPr>
              <w:pStyle w:val="Tabletext0"/>
              <w:ind w:right="85"/>
              <w:rPr>
                <w:rFonts w:ascii="Calibri" w:hAnsi="Calibri" w:cs="Calibri"/>
                <w:color w:val="002B45"/>
              </w:rPr>
            </w:pPr>
            <w:r w:rsidRPr="00402154">
              <w:rPr>
                <w:rFonts w:ascii="Calibri" w:hAnsi="Calibri" w:cs="Calibri"/>
                <w:color w:val="002B45"/>
              </w:rPr>
              <w:t>Cash flow hedges</w:t>
            </w:r>
          </w:p>
        </w:tc>
        <w:tc>
          <w:tcPr>
            <w:tcW w:w="709" w:type="dxa"/>
            <w:vAlign w:val="center"/>
          </w:tcPr>
          <w:p w:rsidR="00FC27EC" w:rsidRPr="00C44CA2" w:rsidRDefault="00FC27EC" w:rsidP="00790A8E">
            <w:pPr>
              <w:pStyle w:val="TableFigures"/>
            </w:pPr>
          </w:p>
        </w:tc>
        <w:tc>
          <w:tcPr>
            <w:tcW w:w="1105" w:type="dxa"/>
            <w:shd w:val="clear" w:color="auto" w:fill="E6E6E6"/>
            <w:vAlign w:val="center"/>
          </w:tcPr>
          <w:p w:rsidR="00FC27EC" w:rsidRPr="00787286" w:rsidRDefault="00FC27EC" w:rsidP="00790A8E">
            <w:pPr>
              <w:pStyle w:val="Tabletext"/>
              <w:tabs>
                <w:tab w:val="decimal" w:pos="907"/>
              </w:tabs>
              <w:ind w:left="85" w:right="113"/>
              <w:jc w:val="right"/>
              <w:rPr>
                <w:rFonts w:ascii="Calibri" w:hAnsi="Calibri" w:cs="Calibri"/>
                <w:color w:val="00305C"/>
              </w:rPr>
            </w:pPr>
          </w:p>
        </w:tc>
        <w:tc>
          <w:tcPr>
            <w:tcW w:w="1163" w:type="dxa"/>
            <w:vAlign w:val="center"/>
          </w:tcPr>
          <w:p w:rsidR="00FC27EC" w:rsidRPr="00787286" w:rsidRDefault="00FC27EC" w:rsidP="00790A8E">
            <w:pPr>
              <w:pStyle w:val="Tabletext"/>
              <w:tabs>
                <w:tab w:val="decimal" w:pos="907"/>
              </w:tabs>
              <w:ind w:left="85" w:right="113"/>
              <w:jc w:val="right"/>
              <w:rPr>
                <w:rFonts w:ascii="Calibri" w:hAnsi="Calibri" w:cs="Calibri"/>
                <w:color w:val="00305C"/>
              </w:rPr>
            </w:pPr>
          </w:p>
        </w:tc>
      </w:tr>
      <w:tr w:rsidR="00FC27EC" w:rsidRPr="0012593C" w:rsidTr="00790A8E">
        <w:trPr>
          <w:trHeight w:val="283"/>
        </w:trPr>
        <w:tc>
          <w:tcPr>
            <w:tcW w:w="6521" w:type="dxa"/>
            <w:vAlign w:val="center"/>
          </w:tcPr>
          <w:p w:rsidR="00FC27EC" w:rsidRPr="00402154" w:rsidRDefault="00FC27EC" w:rsidP="00790A8E">
            <w:pPr>
              <w:pStyle w:val="Tabletext0"/>
              <w:ind w:right="85"/>
              <w:rPr>
                <w:rFonts w:ascii="Calibri" w:hAnsi="Calibri" w:cs="Calibri"/>
                <w:color w:val="002B45"/>
              </w:rPr>
            </w:pPr>
            <w:r>
              <w:rPr>
                <w:rFonts w:ascii="Calibri" w:hAnsi="Calibri" w:cs="Calibri"/>
                <w:color w:val="002B45"/>
              </w:rPr>
              <w:t>Gains/(l</w:t>
            </w:r>
            <w:r w:rsidRPr="00402154">
              <w:rPr>
                <w:rFonts w:ascii="Calibri" w:hAnsi="Calibri" w:cs="Calibri"/>
                <w:color w:val="002B45"/>
              </w:rPr>
              <w:t>osses</w:t>
            </w:r>
            <w:r>
              <w:rPr>
                <w:rFonts w:ascii="Calibri" w:hAnsi="Calibri" w:cs="Calibri"/>
                <w:color w:val="002B45"/>
              </w:rPr>
              <w:t>)</w:t>
            </w:r>
            <w:r w:rsidRPr="00402154">
              <w:rPr>
                <w:rFonts w:ascii="Calibri" w:hAnsi="Calibri" w:cs="Calibri"/>
                <w:color w:val="002B45"/>
              </w:rPr>
              <w:t xml:space="preserve"> arising in the year</w:t>
            </w:r>
          </w:p>
        </w:tc>
        <w:tc>
          <w:tcPr>
            <w:tcW w:w="709" w:type="dxa"/>
            <w:vAlign w:val="center"/>
          </w:tcPr>
          <w:p w:rsidR="00FC27EC" w:rsidRPr="00C44CA2" w:rsidRDefault="00FC27EC" w:rsidP="00790A8E">
            <w:pPr>
              <w:pStyle w:val="TableFigures"/>
            </w:pPr>
          </w:p>
        </w:tc>
        <w:tc>
          <w:tcPr>
            <w:tcW w:w="1105" w:type="dxa"/>
            <w:shd w:val="clear" w:color="auto" w:fill="E6E6E6"/>
            <w:vAlign w:val="center"/>
          </w:tcPr>
          <w:p w:rsidR="00FC27EC" w:rsidRPr="00787286" w:rsidRDefault="00FC27EC" w:rsidP="00790A8E">
            <w:pPr>
              <w:pStyle w:val="Tabletext"/>
              <w:tabs>
                <w:tab w:val="decimal" w:pos="907"/>
              </w:tabs>
              <w:ind w:left="85" w:right="113"/>
              <w:jc w:val="right"/>
              <w:rPr>
                <w:rFonts w:ascii="Calibri" w:hAnsi="Calibri" w:cs="Calibri"/>
                <w:color w:val="00305C"/>
              </w:rPr>
            </w:pPr>
            <w:r w:rsidRPr="00787286">
              <w:rPr>
                <w:rFonts w:ascii="Calibri" w:hAnsi="Calibri" w:cs="Calibri"/>
                <w:color w:val="00305C"/>
              </w:rPr>
              <w:t>3.4</w:t>
            </w:r>
          </w:p>
        </w:tc>
        <w:tc>
          <w:tcPr>
            <w:tcW w:w="1163" w:type="dxa"/>
            <w:vAlign w:val="center"/>
          </w:tcPr>
          <w:p w:rsidR="00FC27EC" w:rsidRPr="00787286" w:rsidRDefault="00FC27EC" w:rsidP="00790A8E">
            <w:pPr>
              <w:pStyle w:val="Tabletext"/>
              <w:tabs>
                <w:tab w:val="decimal" w:pos="907"/>
              </w:tabs>
              <w:ind w:left="85" w:right="113"/>
              <w:jc w:val="right"/>
              <w:rPr>
                <w:rFonts w:ascii="Calibri" w:hAnsi="Calibri" w:cs="Calibri"/>
                <w:color w:val="00305C"/>
              </w:rPr>
            </w:pPr>
            <w:r w:rsidRPr="00787286">
              <w:rPr>
                <w:rFonts w:ascii="Calibri" w:hAnsi="Calibri" w:cs="Calibri"/>
                <w:color w:val="00305C"/>
              </w:rPr>
              <w:t>(3.3)</w:t>
            </w:r>
          </w:p>
        </w:tc>
      </w:tr>
      <w:tr w:rsidR="00FC27EC" w:rsidRPr="0012593C" w:rsidTr="00790A8E">
        <w:trPr>
          <w:trHeight w:val="283"/>
        </w:trPr>
        <w:tc>
          <w:tcPr>
            <w:tcW w:w="6521" w:type="dxa"/>
            <w:vAlign w:val="center"/>
          </w:tcPr>
          <w:p w:rsidR="00FC27EC" w:rsidRPr="00402154" w:rsidRDefault="00FC27EC" w:rsidP="00790A8E">
            <w:pPr>
              <w:pStyle w:val="Tabletext0"/>
              <w:ind w:right="85"/>
              <w:rPr>
                <w:rFonts w:ascii="Calibri" w:hAnsi="Calibri" w:cs="Calibri"/>
                <w:color w:val="002B45"/>
              </w:rPr>
            </w:pPr>
            <w:r w:rsidRPr="00402154">
              <w:rPr>
                <w:rFonts w:ascii="Calibri" w:hAnsi="Calibri" w:cs="Calibri"/>
                <w:color w:val="002B45"/>
              </w:rPr>
              <w:t xml:space="preserve">Reclassification adjustments for </w:t>
            </w:r>
            <w:r>
              <w:rPr>
                <w:rFonts w:ascii="Calibri" w:hAnsi="Calibri" w:cs="Calibri"/>
                <w:color w:val="002B45"/>
              </w:rPr>
              <w:t>items</w:t>
            </w:r>
            <w:r w:rsidRPr="00402154">
              <w:rPr>
                <w:rFonts w:ascii="Calibri" w:hAnsi="Calibri" w:cs="Calibri"/>
                <w:color w:val="002B45"/>
              </w:rPr>
              <w:t xml:space="preserve"> included in profit on realisation</w:t>
            </w:r>
          </w:p>
        </w:tc>
        <w:tc>
          <w:tcPr>
            <w:tcW w:w="709" w:type="dxa"/>
            <w:vAlign w:val="center"/>
          </w:tcPr>
          <w:p w:rsidR="00FC27EC" w:rsidRPr="00C44CA2" w:rsidRDefault="00FC27EC" w:rsidP="00790A8E">
            <w:pPr>
              <w:pStyle w:val="TableFigures"/>
            </w:pPr>
          </w:p>
        </w:tc>
        <w:tc>
          <w:tcPr>
            <w:tcW w:w="1105" w:type="dxa"/>
            <w:shd w:val="clear" w:color="auto" w:fill="E6E6E6"/>
            <w:vAlign w:val="center"/>
          </w:tcPr>
          <w:p w:rsidR="00FC27EC" w:rsidRPr="00787286" w:rsidRDefault="00FC27EC" w:rsidP="00790A8E">
            <w:pPr>
              <w:pStyle w:val="Tabletext"/>
              <w:tabs>
                <w:tab w:val="decimal" w:pos="907"/>
              </w:tabs>
              <w:ind w:left="85" w:right="113"/>
              <w:jc w:val="right"/>
              <w:rPr>
                <w:rFonts w:ascii="Calibri" w:hAnsi="Calibri" w:cs="Calibri"/>
                <w:color w:val="00305C"/>
              </w:rPr>
            </w:pPr>
            <w:r w:rsidRPr="00787286">
              <w:rPr>
                <w:rFonts w:ascii="Calibri" w:hAnsi="Calibri" w:cs="Calibri"/>
                <w:color w:val="00305C"/>
              </w:rPr>
              <w:t>5.3</w:t>
            </w:r>
          </w:p>
        </w:tc>
        <w:tc>
          <w:tcPr>
            <w:tcW w:w="1163" w:type="dxa"/>
            <w:vAlign w:val="center"/>
          </w:tcPr>
          <w:p w:rsidR="00FC27EC" w:rsidRPr="00787286" w:rsidRDefault="00FC27EC" w:rsidP="00790A8E">
            <w:pPr>
              <w:pStyle w:val="Tabletext"/>
              <w:tabs>
                <w:tab w:val="decimal" w:pos="907"/>
              </w:tabs>
              <w:ind w:left="85" w:right="113"/>
              <w:jc w:val="right"/>
              <w:rPr>
                <w:rFonts w:ascii="Calibri" w:hAnsi="Calibri" w:cs="Calibri"/>
                <w:color w:val="00305C"/>
              </w:rPr>
            </w:pPr>
            <w:r w:rsidRPr="00787286">
              <w:rPr>
                <w:rFonts w:ascii="Calibri" w:hAnsi="Calibri" w:cs="Calibri"/>
                <w:color w:val="00305C"/>
              </w:rPr>
              <w:t>11.0</w:t>
            </w:r>
          </w:p>
        </w:tc>
      </w:tr>
      <w:tr w:rsidR="00FC27EC" w:rsidRPr="0012593C" w:rsidTr="00790A8E">
        <w:trPr>
          <w:trHeight w:val="283"/>
        </w:trPr>
        <w:tc>
          <w:tcPr>
            <w:tcW w:w="6521" w:type="dxa"/>
            <w:tcBorders>
              <w:top w:val="single" w:sz="4" w:space="0" w:color="999999"/>
            </w:tcBorders>
            <w:vAlign w:val="center"/>
          </w:tcPr>
          <w:p w:rsidR="00FC27EC" w:rsidRPr="00402154" w:rsidRDefault="00FC27EC" w:rsidP="00790A8E">
            <w:pPr>
              <w:pStyle w:val="Tabletext0"/>
              <w:ind w:right="85"/>
              <w:rPr>
                <w:rFonts w:ascii="Calibri" w:hAnsi="Calibri" w:cs="Calibri"/>
                <w:color w:val="002B45"/>
              </w:rPr>
            </w:pPr>
          </w:p>
        </w:tc>
        <w:tc>
          <w:tcPr>
            <w:tcW w:w="709" w:type="dxa"/>
            <w:tcBorders>
              <w:top w:val="single" w:sz="4" w:space="0" w:color="999999"/>
            </w:tcBorders>
            <w:vAlign w:val="center"/>
          </w:tcPr>
          <w:p w:rsidR="00FC27EC" w:rsidRPr="00C44CA2" w:rsidRDefault="00FC27EC" w:rsidP="00790A8E">
            <w:pPr>
              <w:pStyle w:val="TableFigures"/>
            </w:pPr>
          </w:p>
        </w:tc>
        <w:tc>
          <w:tcPr>
            <w:tcW w:w="1105" w:type="dxa"/>
            <w:tcBorders>
              <w:top w:val="single" w:sz="4" w:space="0" w:color="999999"/>
            </w:tcBorders>
            <w:shd w:val="clear" w:color="auto" w:fill="E6E6E6"/>
            <w:vAlign w:val="center"/>
          </w:tcPr>
          <w:p w:rsidR="00FC27EC" w:rsidRPr="00787286" w:rsidRDefault="00FC27EC" w:rsidP="00790A8E">
            <w:pPr>
              <w:pStyle w:val="Tabletext"/>
              <w:tabs>
                <w:tab w:val="decimal" w:pos="907"/>
              </w:tabs>
              <w:ind w:left="85" w:right="113"/>
              <w:jc w:val="right"/>
              <w:rPr>
                <w:rFonts w:ascii="Calibri" w:hAnsi="Calibri" w:cs="Calibri"/>
                <w:color w:val="00305C"/>
              </w:rPr>
            </w:pPr>
            <w:r w:rsidRPr="00787286">
              <w:rPr>
                <w:rFonts w:ascii="Calibri" w:hAnsi="Calibri" w:cs="Calibri"/>
                <w:color w:val="00305C"/>
              </w:rPr>
              <w:t>8.7</w:t>
            </w:r>
          </w:p>
        </w:tc>
        <w:tc>
          <w:tcPr>
            <w:tcW w:w="1163" w:type="dxa"/>
            <w:tcBorders>
              <w:top w:val="single" w:sz="4" w:space="0" w:color="999999"/>
            </w:tcBorders>
            <w:vAlign w:val="center"/>
          </w:tcPr>
          <w:p w:rsidR="00FC27EC" w:rsidRPr="00787286" w:rsidRDefault="00FC27EC" w:rsidP="00790A8E">
            <w:pPr>
              <w:pStyle w:val="Tabletext"/>
              <w:tabs>
                <w:tab w:val="decimal" w:pos="907"/>
              </w:tabs>
              <w:ind w:left="85" w:right="113"/>
              <w:jc w:val="right"/>
              <w:rPr>
                <w:rFonts w:ascii="Calibri" w:hAnsi="Calibri" w:cs="Calibri"/>
                <w:color w:val="00305C"/>
              </w:rPr>
            </w:pPr>
            <w:r w:rsidRPr="00787286">
              <w:rPr>
                <w:rFonts w:ascii="Calibri" w:hAnsi="Calibri" w:cs="Calibri"/>
                <w:color w:val="00305C"/>
              </w:rPr>
              <w:t>7.7</w:t>
            </w:r>
          </w:p>
        </w:tc>
      </w:tr>
      <w:tr w:rsidR="00FC27EC" w:rsidRPr="0012593C" w:rsidTr="00790A8E">
        <w:trPr>
          <w:trHeight w:val="283"/>
        </w:trPr>
        <w:tc>
          <w:tcPr>
            <w:tcW w:w="6521" w:type="dxa"/>
            <w:tcBorders>
              <w:bottom w:val="single" w:sz="4" w:space="0" w:color="999999"/>
            </w:tcBorders>
            <w:shd w:val="clear" w:color="auto" w:fill="auto"/>
            <w:vAlign w:val="center"/>
          </w:tcPr>
          <w:p w:rsidR="00FC27EC" w:rsidRPr="00402154" w:rsidRDefault="00FC27EC" w:rsidP="00790A8E">
            <w:pPr>
              <w:pStyle w:val="Tabletext0"/>
              <w:ind w:right="85"/>
              <w:rPr>
                <w:rFonts w:ascii="Calibri" w:hAnsi="Calibri" w:cs="Calibri"/>
                <w:color w:val="002B45"/>
              </w:rPr>
            </w:pPr>
            <w:r w:rsidRPr="00402154">
              <w:rPr>
                <w:rFonts w:ascii="Calibri" w:hAnsi="Calibri" w:cs="Calibri"/>
                <w:color w:val="002B45"/>
              </w:rPr>
              <w:t>Exchange differences on translation of foreign operations</w:t>
            </w:r>
          </w:p>
        </w:tc>
        <w:tc>
          <w:tcPr>
            <w:tcW w:w="709" w:type="dxa"/>
            <w:tcBorders>
              <w:bottom w:val="single" w:sz="4" w:space="0" w:color="999999"/>
            </w:tcBorders>
            <w:shd w:val="clear" w:color="auto" w:fill="auto"/>
            <w:vAlign w:val="center"/>
          </w:tcPr>
          <w:p w:rsidR="00FC27EC" w:rsidRPr="00C44CA2" w:rsidRDefault="00FC27EC" w:rsidP="00790A8E">
            <w:pPr>
              <w:pStyle w:val="TableFigures"/>
            </w:pPr>
          </w:p>
        </w:tc>
        <w:tc>
          <w:tcPr>
            <w:tcW w:w="1105" w:type="dxa"/>
            <w:tcBorders>
              <w:bottom w:val="single" w:sz="4" w:space="0" w:color="999999"/>
            </w:tcBorders>
            <w:shd w:val="clear" w:color="auto" w:fill="E6E6E6"/>
            <w:vAlign w:val="center"/>
          </w:tcPr>
          <w:p w:rsidR="00FC27EC" w:rsidRPr="00787286" w:rsidRDefault="00FC27EC" w:rsidP="00790A8E">
            <w:pPr>
              <w:pStyle w:val="Tabletext"/>
              <w:tabs>
                <w:tab w:val="decimal" w:pos="907"/>
              </w:tabs>
              <w:ind w:left="85" w:right="113"/>
              <w:jc w:val="right"/>
              <w:rPr>
                <w:rFonts w:ascii="Calibri" w:hAnsi="Calibri" w:cs="Calibri"/>
                <w:color w:val="00305C"/>
              </w:rPr>
            </w:pPr>
            <w:r w:rsidRPr="00787286">
              <w:rPr>
                <w:rFonts w:ascii="Calibri" w:hAnsi="Calibri" w:cs="Calibri"/>
                <w:color w:val="00305C"/>
              </w:rPr>
              <w:t>12.7</w:t>
            </w:r>
          </w:p>
        </w:tc>
        <w:tc>
          <w:tcPr>
            <w:tcW w:w="1163" w:type="dxa"/>
            <w:tcBorders>
              <w:bottom w:val="single" w:sz="4" w:space="0" w:color="999999"/>
            </w:tcBorders>
            <w:shd w:val="clear" w:color="auto" w:fill="auto"/>
            <w:vAlign w:val="center"/>
          </w:tcPr>
          <w:p w:rsidR="00FC27EC" w:rsidRPr="00787286" w:rsidRDefault="00FC27EC" w:rsidP="00790A8E">
            <w:pPr>
              <w:pStyle w:val="Tabletext"/>
              <w:tabs>
                <w:tab w:val="decimal" w:pos="907"/>
              </w:tabs>
              <w:ind w:left="85" w:right="113"/>
              <w:jc w:val="right"/>
              <w:rPr>
                <w:rFonts w:ascii="Calibri" w:hAnsi="Calibri" w:cs="Calibri"/>
                <w:color w:val="00305C"/>
              </w:rPr>
            </w:pPr>
            <w:r w:rsidRPr="00787286">
              <w:rPr>
                <w:rFonts w:ascii="Calibri" w:hAnsi="Calibri" w:cs="Calibri"/>
                <w:color w:val="00305C"/>
              </w:rPr>
              <w:t>7.7</w:t>
            </w:r>
          </w:p>
        </w:tc>
      </w:tr>
      <w:tr w:rsidR="00FC27EC" w:rsidRPr="0012593C" w:rsidTr="00700B58">
        <w:trPr>
          <w:trHeight w:val="576"/>
        </w:trPr>
        <w:tc>
          <w:tcPr>
            <w:tcW w:w="6521" w:type="dxa"/>
            <w:tcBorders>
              <w:top w:val="single" w:sz="4" w:space="0" w:color="999999"/>
              <w:bottom w:val="single" w:sz="4" w:space="0" w:color="999999"/>
            </w:tcBorders>
            <w:shd w:val="clear" w:color="auto" w:fill="auto"/>
            <w:vAlign w:val="center"/>
          </w:tcPr>
          <w:p w:rsidR="00700B58" w:rsidRPr="00402154" w:rsidRDefault="00FC27EC" w:rsidP="00790A8E">
            <w:pPr>
              <w:pStyle w:val="Tabletext0"/>
              <w:ind w:right="85"/>
              <w:rPr>
                <w:rFonts w:ascii="Calibri" w:hAnsi="Calibri" w:cs="Calibri"/>
                <w:color w:val="002B45"/>
              </w:rPr>
            </w:pPr>
            <w:r w:rsidRPr="00402154">
              <w:rPr>
                <w:rFonts w:ascii="Calibri" w:hAnsi="Calibri" w:cs="Calibri"/>
                <w:color w:val="002B45"/>
              </w:rPr>
              <w:t>Other comprehensive income</w:t>
            </w:r>
          </w:p>
          <w:p w:rsidR="00FC27EC" w:rsidRPr="00402154" w:rsidRDefault="00700B58" w:rsidP="00790A8E">
            <w:pPr>
              <w:pStyle w:val="Tabletext0"/>
              <w:ind w:right="85"/>
              <w:rPr>
                <w:rFonts w:ascii="Calibri" w:hAnsi="Calibri" w:cs="Calibri"/>
                <w:color w:val="002B45"/>
              </w:rPr>
            </w:pPr>
            <w:r w:rsidRPr="00402154">
              <w:rPr>
                <w:rFonts w:ascii="Calibri" w:hAnsi="Calibri" w:cs="Calibri"/>
                <w:color w:val="002B45"/>
              </w:rPr>
              <w:t>Tax relating to components of other comprehensive income</w:t>
            </w:r>
          </w:p>
        </w:tc>
        <w:tc>
          <w:tcPr>
            <w:tcW w:w="709" w:type="dxa"/>
            <w:tcBorders>
              <w:top w:val="single" w:sz="4" w:space="0" w:color="999999"/>
              <w:bottom w:val="single" w:sz="4" w:space="0" w:color="999999"/>
            </w:tcBorders>
            <w:shd w:val="clear" w:color="auto" w:fill="auto"/>
            <w:vAlign w:val="center"/>
          </w:tcPr>
          <w:p w:rsidR="00FC27EC" w:rsidRPr="00C44CA2" w:rsidRDefault="00FC27EC" w:rsidP="00790A8E">
            <w:pPr>
              <w:pStyle w:val="TableFigures"/>
            </w:pPr>
          </w:p>
        </w:tc>
        <w:tc>
          <w:tcPr>
            <w:tcW w:w="1105" w:type="dxa"/>
            <w:tcBorders>
              <w:top w:val="single" w:sz="4" w:space="0" w:color="999999"/>
              <w:bottom w:val="single" w:sz="4" w:space="0" w:color="999999"/>
            </w:tcBorders>
            <w:shd w:val="clear" w:color="auto" w:fill="E6E6E6"/>
            <w:vAlign w:val="center"/>
          </w:tcPr>
          <w:p w:rsidR="00700B58" w:rsidRPr="00787286" w:rsidRDefault="00FC27EC" w:rsidP="00790A8E">
            <w:pPr>
              <w:pStyle w:val="Tabletext"/>
              <w:tabs>
                <w:tab w:val="decimal" w:pos="907"/>
              </w:tabs>
              <w:ind w:left="85" w:right="113"/>
              <w:jc w:val="right"/>
              <w:rPr>
                <w:rFonts w:ascii="Calibri" w:hAnsi="Calibri" w:cs="Calibri"/>
                <w:color w:val="00305C"/>
              </w:rPr>
            </w:pPr>
            <w:r w:rsidRPr="00787286">
              <w:rPr>
                <w:rFonts w:ascii="Calibri" w:hAnsi="Calibri" w:cs="Calibri"/>
                <w:color w:val="00305C"/>
              </w:rPr>
              <w:t>21.4</w:t>
            </w:r>
          </w:p>
          <w:p w:rsidR="00FC27EC" w:rsidRPr="00787286" w:rsidRDefault="00700B58" w:rsidP="00790A8E">
            <w:pPr>
              <w:pStyle w:val="Tabletext"/>
              <w:tabs>
                <w:tab w:val="decimal" w:pos="907"/>
              </w:tabs>
              <w:ind w:left="85" w:right="113"/>
              <w:jc w:val="right"/>
              <w:rPr>
                <w:rFonts w:ascii="Calibri" w:hAnsi="Calibri" w:cs="Calibri"/>
                <w:color w:val="00305C"/>
              </w:rPr>
            </w:pPr>
            <w:r w:rsidRPr="00787286">
              <w:rPr>
                <w:rFonts w:ascii="Calibri" w:hAnsi="Calibri" w:cs="Calibri"/>
                <w:color w:val="00305C"/>
              </w:rPr>
              <w:t>0.1</w:t>
            </w:r>
          </w:p>
        </w:tc>
        <w:tc>
          <w:tcPr>
            <w:tcW w:w="1163" w:type="dxa"/>
            <w:tcBorders>
              <w:top w:val="single" w:sz="4" w:space="0" w:color="999999"/>
              <w:bottom w:val="single" w:sz="4" w:space="0" w:color="999999"/>
            </w:tcBorders>
            <w:shd w:val="clear" w:color="auto" w:fill="auto"/>
            <w:vAlign w:val="center"/>
          </w:tcPr>
          <w:p w:rsidR="00700B58" w:rsidRPr="00787286" w:rsidRDefault="00FC27EC" w:rsidP="00790A8E">
            <w:pPr>
              <w:pStyle w:val="Tabletext"/>
              <w:tabs>
                <w:tab w:val="decimal" w:pos="907"/>
              </w:tabs>
              <w:ind w:left="85" w:right="113"/>
              <w:jc w:val="right"/>
              <w:rPr>
                <w:rFonts w:ascii="Calibri" w:hAnsi="Calibri" w:cs="Calibri"/>
                <w:color w:val="00305C"/>
              </w:rPr>
            </w:pPr>
            <w:r w:rsidRPr="00787286">
              <w:rPr>
                <w:rFonts w:ascii="Calibri" w:hAnsi="Calibri" w:cs="Calibri"/>
                <w:color w:val="00305C"/>
              </w:rPr>
              <w:t>15.4</w:t>
            </w:r>
          </w:p>
          <w:p w:rsidR="00FC27EC" w:rsidRPr="00787286" w:rsidRDefault="00700B58" w:rsidP="00790A8E">
            <w:pPr>
              <w:pStyle w:val="Tabletext"/>
              <w:tabs>
                <w:tab w:val="decimal" w:pos="907"/>
              </w:tabs>
              <w:ind w:left="85" w:right="113"/>
              <w:jc w:val="right"/>
              <w:rPr>
                <w:rFonts w:ascii="Calibri" w:hAnsi="Calibri" w:cs="Calibri"/>
                <w:color w:val="00305C"/>
              </w:rPr>
            </w:pPr>
            <w:r w:rsidRPr="00787286">
              <w:rPr>
                <w:rFonts w:ascii="Calibri" w:hAnsi="Calibri" w:cs="Calibri"/>
                <w:color w:val="00305C"/>
              </w:rPr>
              <w:t>0.1</w:t>
            </w:r>
          </w:p>
        </w:tc>
      </w:tr>
      <w:tr w:rsidR="00FC27EC" w:rsidRPr="0012593C" w:rsidTr="00700B58">
        <w:trPr>
          <w:trHeight w:val="283"/>
        </w:trPr>
        <w:tc>
          <w:tcPr>
            <w:tcW w:w="6521" w:type="dxa"/>
            <w:tcBorders>
              <w:top w:val="single" w:sz="4" w:space="0" w:color="999999"/>
              <w:bottom w:val="single" w:sz="8" w:space="0" w:color="A6A6A6" w:themeColor="background1" w:themeShade="A6"/>
            </w:tcBorders>
            <w:shd w:val="clear" w:color="auto" w:fill="auto"/>
            <w:vAlign w:val="center"/>
          </w:tcPr>
          <w:p w:rsidR="00FC27EC" w:rsidRPr="00402154" w:rsidRDefault="00FC27EC" w:rsidP="00790A8E">
            <w:pPr>
              <w:pStyle w:val="Tabletext0"/>
              <w:ind w:right="85"/>
              <w:rPr>
                <w:rFonts w:ascii="Calibri" w:hAnsi="Calibri" w:cs="Calibri"/>
                <w:color w:val="002B45"/>
              </w:rPr>
            </w:pPr>
            <w:r w:rsidRPr="00402154">
              <w:rPr>
                <w:rFonts w:ascii="Calibri" w:hAnsi="Calibri" w:cs="Calibri"/>
                <w:color w:val="002B45"/>
              </w:rPr>
              <w:t>Other comprehensive income for the year</w:t>
            </w:r>
          </w:p>
        </w:tc>
        <w:tc>
          <w:tcPr>
            <w:tcW w:w="709" w:type="dxa"/>
            <w:tcBorders>
              <w:top w:val="single" w:sz="4" w:space="0" w:color="999999"/>
              <w:bottom w:val="single" w:sz="8" w:space="0" w:color="A6A6A6" w:themeColor="background1" w:themeShade="A6"/>
            </w:tcBorders>
            <w:shd w:val="clear" w:color="auto" w:fill="auto"/>
            <w:vAlign w:val="center"/>
          </w:tcPr>
          <w:p w:rsidR="00FC27EC" w:rsidRPr="00C44CA2" w:rsidRDefault="00FC27EC" w:rsidP="00790A8E">
            <w:pPr>
              <w:pStyle w:val="TableFigures"/>
            </w:pPr>
          </w:p>
        </w:tc>
        <w:tc>
          <w:tcPr>
            <w:tcW w:w="1105" w:type="dxa"/>
            <w:tcBorders>
              <w:top w:val="single" w:sz="4" w:space="0" w:color="999999"/>
              <w:bottom w:val="single" w:sz="8" w:space="0" w:color="A6A6A6" w:themeColor="background1" w:themeShade="A6"/>
            </w:tcBorders>
            <w:shd w:val="clear" w:color="auto" w:fill="E6E6E6"/>
            <w:vAlign w:val="center"/>
          </w:tcPr>
          <w:p w:rsidR="00FC27EC" w:rsidRPr="00787286" w:rsidRDefault="00FC27EC" w:rsidP="00790A8E">
            <w:pPr>
              <w:pStyle w:val="Tabletext"/>
              <w:tabs>
                <w:tab w:val="decimal" w:pos="907"/>
              </w:tabs>
              <w:ind w:left="85" w:right="113"/>
              <w:jc w:val="right"/>
              <w:rPr>
                <w:rFonts w:ascii="Calibri" w:hAnsi="Calibri" w:cs="Calibri"/>
                <w:color w:val="00305C"/>
              </w:rPr>
            </w:pPr>
            <w:r w:rsidRPr="00787286">
              <w:rPr>
                <w:rFonts w:ascii="Calibri" w:hAnsi="Calibri" w:cs="Calibri"/>
                <w:color w:val="00305C"/>
              </w:rPr>
              <w:t>21.5</w:t>
            </w:r>
          </w:p>
        </w:tc>
        <w:tc>
          <w:tcPr>
            <w:tcW w:w="1163" w:type="dxa"/>
            <w:tcBorders>
              <w:top w:val="single" w:sz="4" w:space="0" w:color="999999"/>
              <w:bottom w:val="single" w:sz="8" w:space="0" w:color="A6A6A6" w:themeColor="background1" w:themeShade="A6"/>
            </w:tcBorders>
            <w:shd w:val="clear" w:color="auto" w:fill="auto"/>
            <w:vAlign w:val="center"/>
          </w:tcPr>
          <w:p w:rsidR="00FC27EC" w:rsidRPr="00787286" w:rsidRDefault="00FC27EC" w:rsidP="00790A8E">
            <w:pPr>
              <w:pStyle w:val="Tabletext"/>
              <w:tabs>
                <w:tab w:val="decimal" w:pos="907"/>
              </w:tabs>
              <w:ind w:left="85" w:right="113"/>
              <w:jc w:val="right"/>
              <w:rPr>
                <w:rFonts w:ascii="Calibri" w:hAnsi="Calibri" w:cs="Calibri"/>
                <w:color w:val="00305C"/>
              </w:rPr>
            </w:pPr>
            <w:r w:rsidRPr="00787286">
              <w:rPr>
                <w:rFonts w:ascii="Calibri" w:hAnsi="Calibri" w:cs="Calibri"/>
                <w:color w:val="00305C"/>
              </w:rPr>
              <w:t>15.5</w:t>
            </w:r>
          </w:p>
        </w:tc>
      </w:tr>
      <w:tr w:rsidR="00FC27EC" w:rsidTr="00700B58">
        <w:trPr>
          <w:trHeight w:val="283"/>
        </w:trPr>
        <w:tc>
          <w:tcPr>
            <w:tcW w:w="6521" w:type="dxa"/>
            <w:tcBorders>
              <w:top w:val="single" w:sz="8" w:space="0" w:color="A6A6A6" w:themeColor="background1" w:themeShade="A6"/>
              <w:bottom w:val="single" w:sz="12" w:space="0" w:color="A6A6A6" w:themeColor="background1" w:themeShade="A6"/>
            </w:tcBorders>
            <w:vAlign w:val="center"/>
          </w:tcPr>
          <w:p w:rsidR="00FC27EC" w:rsidRPr="00402154" w:rsidRDefault="00FC27EC" w:rsidP="00790A8E">
            <w:pPr>
              <w:pStyle w:val="Tabletext0"/>
              <w:ind w:right="85"/>
              <w:rPr>
                <w:rFonts w:ascii="Calibri" w:hAnsi="Calibri" w:cs="Calibri"/>
                <w:color w:val="002B45"/>
              </w:rPr>
            </w:pPr>
            <w:r w:rsidRPr="00402154">
              <w:rPr>
                <w:rFonts w:ascii="Calibri" w:hAnsi="Calibri" w:cs="Calibri"/>
                <w:color w:val="002B45"/>
              </w:rPr>
              <w:t>Total comprehensive income for the year</w:t>
            </w:r>
          </w:p>
        </w:tc>
        <w:tc>
          <w:tcPr>
            <w:tcW w:w="709" w:type="dxa"/>
            <w:tcBorders>
              <w:top w:val="single" w:sz="8" w:space="0" w:color="A6A6A6" w:themeColor="background1" w:themeShade="A6"/>
              <w:bottom w:val="single" w:sz="12" w:space="0" w:color="A6A6A6" w:themeColor="background1" w:themeShade="A6"/>
            </w:tcBorders>
            <w:vAlign w:val="center"/>
          </w:tcPr>
          <w:p w:rsidR="00FC27EC" w:rsidRPr="00C44CA2" w:rsidRDefault="00FC27EC" w:rsidP="00790A8E">
            <w:pPr>
              <w:pStyle w:val="TableFigures"/>
            </w:pPr>
          </w:p>
        </w:tc>
        <w:tc>
          <w:tcPr>
            <w:tcW w:w="1105" w:type="dxa"/>
            <w:tcBorders>
              <w:top w:val="single" w:sz="8" w:space="0" w:color="A6A6A6" w:themeColor="background1" w:themeShade="A6"/>
              <w:bottom w:val="single" w:sz="12" w:space="0" w:color="A6A6A6" w:themeColor="background1" w:themeShade="A6"/>
            </w:tcBorders>
            <w:shd w:val="clear" w:color="auto" w:fill="E6E6E6"/>
            <w:vAlign w:val="center"/>
          </w:tcPr>
          <w:p w:rsidR="00FC27EC" w:rsidRPr="00787286" w:rsidRDefault="00FC27EC" w:rsidP="00790A8E">
            <w:pPr>
              <w:pStyle w:val="Tabletext"/>
              <w:tabs>
                <w:tab w:val="decimal" w:pos="907"/>
              </w:tabs>
              <w:ind w:left="85" w:right="113"/>
              <w:jc w:val="right"/>
              <w:rPr>
                <w:rFonts w:ascii="Calibri" w:hAnsi="Calibri" w:cs="Calibri"/>
                <w:color w:val="00305C"/>
              </w:rPr>
            </w:pPr>
            <w:r w:rsidRPr="00787286">
              <w:rPr>
                <w:rFonts w:ascii="Calibri" w:hAnsi="Calibri" w:cs="Calibri"/>
                <w:color w:val="00305C"/>
              </w:rPr>
              <w:t>237.6</w:t>
            </w:r>
          </w:p>
        </w:tc>
        <w:tc>
          <w:tcPr>
            <w:tcW w:w="1163" w:type="dxa"/>
            <w:tcBorders>
              <w:top w:val="single" w:sz="8" w:space="0" w:color="A6A6A6" w:themeColor="background1" w:themeShade="A6"/>
              <w:bottom w:val="single" w:sz="12" w:space="0" w:color="A6A6A6" w:themeColor="background1" w:themeShade="A6"/>
            </w:tcBorders>
            <w:vAlign w:val="center"/>
          </w:tcPr>
          <w:p w:rsidR="00FC27EC" w:rsidRPr="00787286" w:rsidRDefault="00FC27EC" w:rsidP="00790A8E">
            <w:pPr>
              <w:pStyle w:val="Tabletext"/>
              <w:tabs>
                <w:tab w:val="decimal" w:pos="907"/>
              </w:tabs>
              <w:ind w:left="85" w:right="113"/>
              <w:jc w:val="right"/>
              <w:rPr>
                <w:rFonts w:ascii="Calibri" w:hAnsi="Calibri" w:cs="Calibri"/>
                <w:color w:val="00305C"/>
              </w:rPr>
            </w:pPr>
            <w:r w:rsidRPr="00787286">
              <w:rPr>
                <w:rFonts w:ascii="Calibri" w:hAnsi="Calibri" w:cs="Calibri"/>
                <w:color w:val="00305C"/>
              </w:rPr>
              <w:t>681.7</w:t>
            </w:r>
          </w:p>
        </w:tc>
      </w:tr>
      <w:tr w:rsidR="00FC27EC" w:rsidRPr="0012593C" w:rsidTr="00700B58">
        <w:trPr>
          <w:trHeight w:val="283"/>
        </w:trPr>
        <w:tc>
          <w:tcPr>
            <w:tcW w:w="6521" w:type="dxa"/>
            <w:tcBorders>
              <w:top w:val="single" w:sz="12" w:space="0" w:color="A6A6A6" w:themeColor="background1" w:themeShade="A6"/>
            </w:tcBorders>
            <w:vAlign w:val="center"/>
          </w:tcPr>
          <w:p w:rsidR="00FC27EC" w:rsidRPr="00402154" w:rsidRDefault="00FC27EC" w:rsidP="00790A8E">
            <w:pPr>
              <w:pStyle w:val="Tabletext0"/>
              <w:ind w:right="85"/>
              <w:rPr>
                <w:rFonts w:ascii="Calibri" w:hAnsi="Calibri" w:cs="Calibri"/>
                <w:color w:val="002B45"/>
              </w:rPr>
            </w:pPr>
            <w:r w:rsidRPr="00402154">
              <w:rPr>
                <w:rFonts w:ascii="Calibri" w:hAnsi="Calibri" w:cs="Calibri"/>
                <w:color w:val="002B45"/>
              </w:rPr>
              <w:br/>
              <w:t>Attributable to:</w:t>
            </w:r>
          </w:p>
        </w:tc>
        <w:tc>
          <w:tcPr>
            <w:tcW w:w="709" w:type="dxa"/>
            <w:tcBorders>
              <w:top w:val="single" w:sz="12" w:space="0" w:color="A6A6A6" w:themeColor="background1" w:themeShade="A6"/>
            </w:tcBorders>
            <w:vAlign w:val="center"/>
          </w:tcPr>
          <w:p w:rsidR="00FC27EC" w:rsidRPr="00C44CA2" w:rsidRDefault="00FC27EC" w:rsidP="00790A8E">
            <w:pPr>
              <w:pStyle w:val="TableFigures"/>
            </w:pPr>
          </w:p>
        </w:tc>
        <w:tc>
          <w:tcPr>
            <w:tcW w:w="1105" w:type="dxa"/>
            <w:tcBorders>
              <w:top w:val="single" w:sz="12" w:space="0" w:color="A6A6A6" w:themeColor="background1" w:themeShade="A6"/>
            </w:tcBorders>
            <w:shd w:val="clear" w:color="auto" w:fill="E6E6E6"/>
            <w:vAlign w:val="center"/>
          </w:tcPr>
          <w:p w:rsidR="00FC27EC" w:rsidRPr="00787286" w:rsidRDefault="00FC27EC" w:rsidP="00790A8E">
            <w:pPr>
              <w:pStyle w:val="Tabletext"/>
              <w:tabs>
                <w:tab w:val="decimal" w:pos="907"/>
              </w:tabs>
              <w:ind w:left="85" w:right="113"/>
              <w:jc w:val="right"/>
              <w:rPr>
                <w:rFonts w:ascii="Calibri" w:hAnsi="Calibri" w:cs="Calibri"/>
                <w:color w:val="00305C"/>
              </w:rPr>
            </w:pPr>
          </w:p>
        </w:tc>
        <w:tc>
          <w:tcPr>
            <w:tcW w:w="1163" w:type="dxa"/>
            <w:tcBorders>
              <w:top w:val="single" w:sz="12" w:space="0" w:color="A6A6A6" w:themeColor="background1" w:themeShade="A6"/>
            </w:tcBorders>
            <w:vAlign w:val="center"/>
          </w:tcPr>
          <w:p w:rsidR="00FC27EC" w:rsidRPr="00787286" w:rsidRDefault="00FC27EC" w:rsidP="00790A8E">
            <w:pPr>
              <w:pStyle w:val="Tabletext"/>
              <w:tabs>
                <w:tab w:val="decimal" w:pos="907"/>
              </w:tabs>
              <w:ind w:left="85" w:right="113"/>
              <w:jc w:val="right"/>
              <w:rPr>
                <w:rFonts w:ascii="Calibri" w:hAnsi="Calibri" w:cs="Calibri"/>
                <w:color w:val="00305C"/>
              </w:rPr>
            </w:pPr>
          </w:p>
        </w:tc>
      </w:tr>
      <w:tr w:rsidR="00FC27EC" w:rsidRPr="0012593C" w:rsidTr="00790A8E">
        <w:trPr>
          <w:trHeight w:val="283"/>
        </w:trPr>
        <w:tc>
          <w:tcPr>
            <w:tcW w:w="6521" w:type="dxa"/>
            <w:vAlign w:val="center"/>
          </w:tcPr>
          <w:p w:rsidR="00FC27EC" w:rsidRPr="00402154" w:rsidRDefault="00FC27EC" w:rsidP="00790A8E">
            <w:pPr>
              <w:pStyle w:val="Tabletext0"/>
              <w:ind w:right="85"/>
              <w:rPr>
                <w:rFonts w:ascii="Calibri" w:hAnsi="Calibri" w:cs="Calibri"/>
                <w:color w:val="002B45"/>
              </w:rPr>
            </w:pPr>
            <w:r w:rsidRPr="00402154">
              <w:rPr>
                <w:rFonts w:ascii="Calibri" w:hAnsi="Calibri" w:cs="Calibri"/>
                <w:color w:val="002B45"/>
              </w:rPr>
              <w:t xml:space="preserve">Owners of the </w:t>
            </w:r>
            <w:r>
              <w:rPr>
                <w:rFonts w:ascii="Calibri" w:hAnsi="Calibri" w:cs="Calibri"/>
                <w:color w:val="002B45"/>
              </w:rPr>
              <w:t>Company</w:t>
            </w:r>
          </w:p>
        </w:tc>
        <w:tc>
          <w:tcPr>
            <w:tcW w:w="709" w:type="dxa"/>
            <w:vAlign w:val="center"/>
          </w:tcPr>
          <w:p w:rsidR="00FC27EC" w:rsidRPr="00C44CA2" w:rsidRDefault="00FC27EC" w:rsidP="00790A8E">
            <w:pPr>
              <w:pStyle w:val="TableFigures"/>
            </w:pPr>
          </w:p>
        </w:tc>
        <w:tc>
          <w:tcPr>
            <w:tcW w:w="1105" w:type="dxa"/>
            <w:shd w:val="clear" w:color="auto" w:fill="E6E6E6"/>
            <w:vAlign w:val="center"/>
          </w:tcPr>
          <w:p w:rsidR="00FC27EC" w:rsidRPr="00787286" w:rsidRDefault="00FC27EC" w:rsidP="00790A8E">
            <w:pPr>
              <w:pStyle w:val="Tabletext"/>
              <w:tabs>
                <w:tab w:val="decimal" w:pos="907"/>
              </w:tabs>
              <w:ind w:left="85" w:right="113"/>
              <w:jc w:val="right"/>
              <w:rPr>
                <w:rFonts w:ascii="Calibri" w:hAnsi="Calibri" w:cs="Calibri"/>
                <w:color w:val="00305C"/>
              </w:rPr>
            </w:pPr>
            <w:r w:rsidRPr="00787286">
              <w:rPr>
                <w:rFonts w:ascii="Calibri" w:hAnsi="Calibri" w:cs="Calibri"/>
                <w:color w:val="00305C"/>
              </w:rPr>
              <w:t>190.5</w:t>
            </w:r>
          </w:p>
        </w:tc>
        <w:tc>
          <w:tcPr>
            <w:tcW w:w="1163" w:type="dxa"/>
            <w:vAlign w:val="center"/>
          </w:tcPr>
          <w:p w:rsidR="00FC27EC" w:rsidRPr="00787286" w:rsidRDefault="00FC27EC" w:rsidP="00790A8E">
            <w:pPr>
              <w:pStyle w:val="Tabletext"/>
              <w:tabs>
                <w:tab w:val="decimal" w:pos="907"/>
              </w:tabs>
              <w:ind w:left="85" w:right="113"/>
              <w:jc w:val="right"/>
              <w:rPr>
                <w:rFonts w:ascii="Calibri" w:hAnsi="Calibri" w:cs="Calibri"/>
                <w:color w:val="00305C"/>
              </w:rPr>
            </w:pPr>
            <w:r w:rsidRPr="00787286">
              <w:rPr>
                <w:rFonts w:ascii="Calibri" w:hAnsi="Calibri" w:cs="Calibri"/>
                <w:color w:val="00305C"/>
              </w:rPr>
              <w:t>639.8</w:t>
            </w:r>
          </w:p>
        </w:tc>
      </w:tr>
      <w:tr w:rsidR="00FC27EC" w:rsidRPr="0012593C" w:rsidTr="00790A8E">
        <w:trPr>
          <w:trHeight w:val="283"/>
        </w:trPr>
        <w:tc>
          <w:tcPr>
            <w:tcW w:w="6521" w:type="dxa"/>
            <w:tcBorders>
              <w:bottom w:val="single" w:sz="4" w:space="0" w:color="999999"/>
            </w:tcBorders>
            <w:shd w:val="clear" w:color="auto" w:fill="auto"/>
            <w:vAlign w:val="center"/>
          </w:tcPr>
          <w:p w:rsidR="00FC27EC" w:rsidRPr="00402154" w:rsidRDefault="00FC27EC" w:rsidP="00790A8E">
            <w:pPr>
              <w:pStyle w:val="Tabletext0"/>
              <w:ind w:right="85"/>
              <w:rPr>
                <w:rFonts w:ascii="Calibri" w:hAnsi="Calibri" w:cs="Calibri"/>
                <w:color w:val="002B45"/>
              </w:rPr>
            </w:pPr>
            <w:r w:rsidRPr="00402154">
              <w:rPr>
                <w:rFonts w:ascii="Calibri" w:hAnsi="Calibri" w:cs="Calibri"/>
                <w:color w:val="002B45"/>
              </w:rPr>
              <w:t>Non-controlling interest</w:t>
            </w:r>
          </w:p>
        </w:tc>
        <w:tc>
          <w:tcPr>
            <w:tcW w:w="709" w:type="dxa"/>
            <w:tcBorders>
              <w:bottom w:val="single" w:sz="4" w:space="0" w:color="999999"/>
            </w:tcBorders>
            <w:shd w:val="clear" w:color="auto" w:fill="auto"/>
            <w:vAlign w:val="center"/>
          </w:tcPr>
          <w:p w:rsidR="00FC27EC" w:rsidRPr="00C44CA2" w:rsidRDefault="00FC27EC" w:rsidP="00790A8E">
            <w:pPr>
              <w:pStyle w:val="TableFigures"/>
            </w:pPr>
          </w:p>
        </w:tc>
        <w:tc>
          <w:tcPr>
            <w:tcW w:w="1105" w:type="dxa"/>
            <w:tcBorders>
              <w:bottom w:val="single" w:sz="4" w:space="0" w:color="999999"/>
            </w:tcBorders>
            <w:shd w:val="clear" w:color="auto" w:fill="E6E6E6"/>
            <w:vAlign w:val="center"/>
          </w:tcPr>
          <w:p w:rsidR="00FC27EC" w:rsidRPr="00787286" w:rsidRDefault="00FC27EC" w:rsidP="00790A8E">
            <w:pPr>
              <w:pStyle w:val="Tabletext"/>
              <w:tabs>
                <w:tab w:val="decimal" w:pos="907"/>
              </w:tabs>
              <w:ind w:left="85" w:right="113"/>
              <w:jc w:val="right"/>
              <w:rPr>
                <w:rFonts w:ascii="Calibri" w:hAnsi="Calibri" w:cs="Calibri"/>
                <w:color w:val="00305C"/>
              </w:rPr>
            </w:pPr>
            <w:r w:rsidRPr="00787286">
              <w:rPr>
                <w:rFonts w:ascii="Calibri" w:hAnsi="Calibri" w:cs="Calibri"/>
                <w:color w:val="00305C"/>
              </w:rPr>
              <w:t>47.1</w:t>
            </w:r>
          </w:p>
        </w:tc>
        <w:tc>
          <w:tcPr>
            <w:tcW w:w="1163" w:type="dxa"/>
            <w:tcBorders>
              <w:bottom w:val="single" w:sz="4" w:space="0" w:color="999999"/>
            </w:tcBorders>
            <w:shd w:val="clear" w:color="auto" w:fill="auto"/>
            <w:vAlign w:val="center"/>
          </w:tcPr>
          <w:p w:rsidR="00FC27EC" w:rsidRPr="00787286" w:rsidRDefault="00FC27EC" w:rsidP="00790A8E">
            <w:pPr>
              <w:pStyle w:val="Tabletext"/>
              <w:tabs>
                <w:tab w:val="decimal" w:pos="907"/>
              </w:tabs>
              <w:ind w:left="85" w:right="113"/>
              <w:jc w:val="right"/>
              <w:rPr>
                <w:rFonts w:ascii="Calibri" w:hAnsi="Calibri" w:cs="Calibri"/>
                <w:color w:val="00305C"/>
              </w:rPr>
            </w:pPr>
            <w:r w:rsidRPr="00787286">
              <w:rPr>
                <w:rFonts w:ascii="Calibri" w:hAnsi="Calibri" w:cs="Calibri"/>
                <w:color w:val="00305C"/>
              </w:rPr>
              <w:t>41.9</w:t>
            </w:r>
          </w:p>
        </w:tc>
      </w:tr>
      <w:tr w:rsidR="00FC27EC" w:rsidTr="00790A8E">
        <w:trPr>
          <w:trHeight w:val="283"/>
        </w:trPr>
        <w:tc>
          <w:tcPr>
            <w:tcW w:w="6521" w:type="dxa"/>
            <w:tcBorders>
              <w:top w:val="single" w:sz="4" w:space="0" w:color="999999"/>
              <w:bottom w:val="single" w:sz="12" w:space="0" w:color="999999"/>
            </w:tcBorders>
            <w:shd w:val="clear" w:color="auto" w:fill="auto"/>
            <w:vAlign w:val="center"/>
          </w:tcPr>
          <w:p w:rsidR="00FC27EC" w:rsidRPr="00402154" w:rsidRDefault="00FC27EC" w:rsidP="00790A8E">
            <w:pPr>
              <w:pStyle w:val="Tabletext0"/>
              <w:ind w:right="85"/>
              <w:rPr>
                <w:rFonts w:ascii="Calibri" w:hAnsi="Calibri" w:cs="Calibri"/>
                <w:color w:val="002B45"/>
              </w:rPr>
            </w:pPr>
          </w:p>
        </w:tc>
        <w:tc>
          <w:tcPr>
            <w:tcW w:w="709" w:type="dxa"/>
            <w:tcBorders>
              <w:top w:val="single" w:sz="4" w:space="0" w:color="999999"/>
              <w:bottom w:val="single" w:sz="12" w:space="0" w:color="999999"/>
            </w:tcBorders>
            <w:shd w:val="clear" w:color="auto" w:fill="auto"/>
            <w:vAlign w:val="center"/>
          </w:tcPr>
          <w:p w:rsidR="00FC27EC" w:rsidRPr="00C44CA2" w:rsidRDefault="00FC27EC" w:rsidP="00790A8E">
            <w:pPr>
              <w:pStyle w:val="TableFigures"/>
            </w:pPr>
          </w:p>
        </w:tc>
        <w:tc>
          <w:tcPr>
            <w:tcW w:w="1105" w:type="dxa"/>
            <w:tcBorders>
              <w:top w:val="single" w:sz="4" w:space="0" w:color="999999"/>
              <w:bottom w:val="single" w:sz="12" w:space="0" w:color="999999"/>
            </w:tcBorders>
            <w:shd w:val="clear" w:color="auto" w:fill="E6E6E6"/>
            <w:vAlign w:val="center"/>
          </w:tcPr>
          <w:p w:rsidR="00FC27EC" w:rsidRPr="00787286" w:rsidRDefault="00FC27EC" w:rsidP="00790A8E">
            <w:pPr>
              <w:pStyle w:val="Tabletext"/>
              <w:tabs>
                <w:tab w:val="decimal" w:pos="907"/>
              </w:tabs>
              <w:ind w:left="85" w:right="113"/>
              <w:jc w:val="right"/>
              <w:rPr>
                <w:rFonts w:ascii="Calibri" w:hAnsi="Calibri" w:cs="Calibri"/>
                <w:color w:val="00305C"/>
              </w:rPr>
            </w:pPr>
            <w:r w:rsidRPr="00787286">
              <w:rPr>
                <w:rFonts w:ascii="Calibri" w:hAnsi="Calibri" w:cs="Calibri"/>
                <w:color w:val="00305C"/>
              </w:rPr>
              <w:t>237.6</w:t>
            </w:r>
          </w:p>
        </w:tc>
        <w:tc>
          <w:tcPr>
            <w:tcW w:w="1163" w:type="dxa"/>
            <w:tcBorders>
              <w:top w:val="single" w:sz="4" w:space="0" w:color="999999"/>
              <w:bottom w:val="single" w:sz="12" w:space="0" w:color="999999"/>
            </w:tcBorders>
            <w:shd w:val="clear" w:color="auto" w:fill="auto"/>
            <w:vAlign w:val="center"/>
          </w:tcPr>
          <w:p w:rsidR="00FC27EC" w:rsidRPr="00787286" w:rsidRDefault="00FC27EC" w:rsidP="00790A8E">
            <w:pPr>
              <w:pStyle w:val="Tabletext"/>
              <w:tabs>
                <w:tab w:val="decimal" w:pos="907"/>
              </w:tabs>
              <w:ind w:left="85" w:right="113"/>
              <w:jc w:val="right"/>
              <w:rPr>
                <w:rFonts w:ascii="Calibri" w:hAnsi="Calibri" w:cs="Calibri"/>
                <w:color w:val="00305C"/>
              </w:rPr>
            </w:pPr>
            <w:r w:rsidRPr="00787286">
              <w:rPr>
                <w:rFonts w:ascii="Calibri" w:hAnsi="Calibri" w:cs="Calibri"/>
                <w:color w:val="00305C"/>
              </w:rPr>
              <w:t>681.7</w:t>
            </w:r>
          </w:p>
        </w:tc>
      </w:tr>
    </w:tbl>
    <w:p w:rsidR="00871692" w:rsidRDefault="00871692" w:rsidP="00871692">
      <w:pPr>
        <w:pStyle w:val="Tablesub-haeding"/>
        <w:rPr>
          <w:rFonts w:ascii="Calibri" w:hAnsi="Calibri" w:cs="Calibri"/>
        </w:rPr>
      </w:pPr>
      <w:r w:rsidRPr="009318F0">
        <w:rPr>
          <w:rFonts w:ascii="Calibri" w:hAnsi="Calibri" w:cs="Calibri"/>
          <w:highlight w:val="yellow"/>
        </w:rPr>
        <w:br w:type="page"/>
      </w:r>
    </w:p>
    <w:tbl>
      <w:tblPr>
        <w:tblW w:w="9498" w:type="dxa"/>
        <w:tblLayout w:type="fixed"/>
        <w:tblCellMar>
          <w:left w:w="0" w:type="dxa"/>
          <w:right w:w="0" w:type="dxa"/>
        </w:tblCellMar>
        <w:tblLook w:val="00A0" w:firstRow="1" w:lastRow="0" w:firstColumn="1" w:lastColumn="0" w:noHBand="0" w:noVBand="0"/>
      </w:tblPr>
      <w:tblGrid>
        <w:gridCol w:w="6521"/>
        <w:gridCol w:w="709"/>
        <w:gridCol w:w="1105"/>
        <w:gridCol w:w="1163"/>
      </w:tblGrid>
      <w:tr w:rsidR="00FE7B3C" w:rsidRPr="00E76D01" w:rsidTr="00FE7B3C">
        <w:tc>
          <w:tcPr>
            <w:tcW w:w="6521" w:type="dxa"/>
            <w:shd w:val="clear" w:color="auto" w:fill="auto"/>
            <w:vAlign w:val="bottom"/>
          </w:tcPr>
          <w:p w:rsidR="00FE7B3C" w:rsidRPr="009318F0" w:rsidRDefault="00FE7B3C" w:rsidP="00FE7B3C">
            <w:pPr>
              <w:pStyle w:val="StyleTableheadingCustomColorRGB1533154"/>
              <w:rPr>
                <w:rFonts w:ascii="Calibri" w:hAnsi="Calibri" w:cs="Calibri"/>
                <w:b/>
              </w:rPr>
            </w:pPr>
            <w:r w:rsidRPr="009318F0">
              <w:rPr>
                <w:rFonts w:ascii="Calibri" w:hAnsi="Calibri" w:cs="Calibri"/>
                <w:b/>
              </w:rPr>
              <w:t xml:space="preserve">Condensed consolidated balance sheet </w:t>
            </w:r>
          </w:p>
          <w:p w:rsidR="00FE7B3C" w:rsidRPr="00FE7B3C" w:rsidRDefault="00FE7B3C" w:rsidP="00FE7B3C">
            <w:pPr>
              <w:pStyle w:val="Tablesub-haeding"/>
              <w:rPr>
                <w:rFonts w:ascii="Calibri" w:hAnsi="Calibri" w:cs="Calibri"/>
                <w:color w:val="5F5F5F"/>
              </w:rPr>
            </w:pPr>
            <w:r w:rsidRPr="009318F0">
              <w:rPr>
                <w:rFonts w:ascii="Calibri" w:hAnsi="Calibri" w:cs="Calibri"/>
                <w:color w:val="5F5F5F"/>
              </w:rPr>
              <w:t xml:space="preserve">As at </w:t>
            </w:r>
            <w:r>
              <w:rPr>
                <w:rFonts w:ascii="Calibri" w:hAnsi="Calibri" w:cs="Calibri"/>
                <w:color w:val="5F5F5F"/>
              </w:rPr>
              <w:t xml:space="preserve">31 </w:t>
            </w:r>
            <w:r w:rsidRPr="009318F0">
              <w:rPr>
                <w:rFonts w:ascii="Calibri" w:hAnsi="Calibri" w:cs="Calibri"/>
                <w:color w:val="5F5F5F"/>
              </w:rPr>
              <w:t>Decem</w:t>
            </w:r>
            <w:r>
              <w:rPr>
                <w:rFonts w:ascii="Calibri" w:hAnsi="Calibri" w:cs="Calibri"/>
                <w:color w:val="5F5F5F"/>
              </w:rPr>
              <w:t>ber 2013</w:t>
            </w:r>
          </w:p>
        </w:tc>
        <w:tc>
          <w:tcPr>
            <w:tcW w:w="709" w:type="dxa"/>
            <w:shd w:val="clear" w:color="auto" w:fill="auto"/>
            <w:vAlign w:val="bottom"/>
          </w:tcPr>
          <w:p w:rsidR="00FE7B3C" w:rsidRPr="00402154" w:rsidRDefault="00FE7B3C" w:rsidP="009B4FC7">
            <w:pPr>
              <w:pStyle w:val="TableColHeads"/>
              <w:rPr>
                <w:rStyle w:val="Bold"/>
                <w:rFonts w:ascii="Calibri" w:hAnsi="Calibri" w:cs="Calibri"/>
                <w:b/>
                <w:color w:val="002B45"/>
                <w:sz w:val="15"/>
                <w:szCs w:val="15"/>
              </w:rPr>
            </w:pPr>
          </w:p>
        </w:tc>
        <w:tc>
          <w:tcPr>
            <w:tcW w:w="1105" w:type="dxa"/>
            <w:shd w:val="clear" w:color="auto" w:fill="auto"/>
            <w:vAlign w:val="bottom"/>
          </w:tcPr>
          <w:p w:rsidR="00FE7B3C" w:rsidRPr="009318F0" w:rsidRDefault="00FE7B3C" w:rsidP="009B4FC7">
            <w:pPr>
              <w:spacing w:line="180" w:lineRule="exact"/>
              <w:jc w:val="right"/>
              <w:rPr>
                <w:rStyle w:val="Bold"/>
                <w:rFonts w:ascii="Calibri" w:hAnsi="Calibri" w:cs="Calibri"/>
                <w:b/>
                <w:color w:val="002B45"/>
                <w:sz w:val="15"/>
                <w:szCs w:val="15"/>
              </w:rPr>
            </w:pPr>
          </w:p>
        </w:tc>
        <w:tc>
          <w:tcPr>
            <w:tcW w:w="1163" w:type="dxa"/>
            <w:shd w:val="clear" w:color="auto" w:fill="auto"/>
            <w:vAlign w:val="bottom"/>
          </w:tcPr>
          <w:p w:rsidR="00FE7B3C" w:rsidRDefault="00FE7B3C" w:rsidP="009B4FC7">
            <w:pPr>
              <w:spacing w:line="180" w:lineRule="exact"/>
              <w:jc w:val="right"/>
              <w:rPr>
                <w:rFonts w:ascii="Calibri" w:hAnsi="Calibri" w:cs="Calibri"/>
                <w:b/>
                <w:color w:val="002B45"/>
                <w:sz w:val="15"/>
                <w:szCs w:val="15"/>
                <w:lang w:val="en-US"/>
              </w:rPr>
            </w:pPr>
          </w:p>
        </w:tc>
      </w:tr>
      <w:tr w:rsidR="00871692" w:rsidRPr="00E76D01" w:rsidTr="00FE7B3C">
        <w:tc>
          <w:tcPr>
            <w:tcW w:w="6521" w:type="dxa"/>
            <w:tcBorders>
              <w:bottom w:val="single" w:sz="12" w:space="0" w:color="999999"/>
            </w:tcBorders>
            <w:shd w:val="clear" w:color="auto" w:fill="auto"/>
            <w:vAlign w:val="bottom"/>
          </w:tcPr>
          <w:p w:rsidR="00871692" w:rsidRPr="00633853" w:rsidRDefault="00871692" w:rsidP="009B4FC7">
            <w:pPr>
              <w:pStyle w:val="Tabletext0"/>
            </w:pPr>
          </w:p>
        </w:tc>
        <w:tc>
          <w:tcPr>
            <w:tcW w:w="709" w:type="dxa"/>
            <w:tcBorders>
              <w:bottom w:val="single" w:sz="12" w:space="0" w:color="999999"/>
            </w:tcBorders>
            <w:shd w:val="clear" w:color="auto" w:fill="auto"/>
            <w:vAlign w:val="bottom"/>
          </w:tcPr>
          <w:p w:rsidR="00871692" w:rsidRPr="00787286" w:rsidRDefault="00871692" w:rsidP="00FE7B3C">
            <w:pPr>
              <w:pStyle w:val="TableColHeads"/>
              <w:ind w:right="113"/>
              <w:rPr>
                <w:color w:val="00305C"/>
                <w:sz w:val="20"/>
              </w:rPr>
            </w:pPr>
            <w:r w:rsidRPr="00787286">
              <w:rPr>
                <w:rStyle w:val="Bold"/>
                <w:rFonts w:ascii="Calibri" w:hAnsi="Calibri" w:cs="Calibri"/>
                <w:b/>
                <w:color w:val="00305C"/>
                <w:sz w:val="20"/>
              </w:rPr>
              <w:t>N</w:t>
            </w:r>
            <w:r w:rsidRPr="00787286">
              <w:rPr>
                <w:rStyle w:val="Bold"/>
                <w:rFonts w:ascii="Calibri" w:hAnsi="Calibri"/>
                <w:b/>
                <w:color w:val="00305C"/>
                <w:sz w:val="20"/>
              </w:rPr>
              <w:t>otes</w:t>
            </w:r>
          </w:p>
        </w:tc>
        <w:tc>
          <w:tcPr>
            <w:tcW w:w="1105" w:type="dxa"/>
            <w:tcBorders>
              <w:bottom w:val="single" w:sz="12" w:space="0" w:color="999999"/>
            </w:tcBorders>
            <w:shd w:val="clear" w:color="auto" w:fill="auto"/>
            <w:vAlign w:val="bottom"/>
          </w:tcPr>
          <w:p w:rsidR="00871692" w:rsidRPr="00FE7B3C" w:rsidRDefault="00871692" w:rsidP="00FE7B3C">
            <w:pPr>
              <w:spacing w:line="180" w:lineRule="exact"/>
              <w:ind w:right="113"/>
              <w:jc w:val="right"/>
              <w:rPr>
                <w:rStyle w:val="Bold"/>
                <w:rFonts w:ascii="Calibri" w:hAnsi="Calibri" w:cs="Calibri"/>
                <w:b/>
                <w:color w:val="002B45"/>
                <w:sz w:val="20"/>
                <w:szCs w:val="20"/>
              </w:rPr>
            </w:pPr>
            <w:r w:rsidRPr="00FE7B3C">
              <w:rPr>
                <w:rStyle w:val="Bold"/>
                <w:rFonts w:ascii="Calibri" w:hAnsi="Calibri" w:cs="Calibri"/>
                <w:b/>
                <w:color w:val="002B45"/>
                <w:sz w:val="20"/>
                <w:szCs w:val="20"/>
              </w:rPr>
              <w:t>2013</w:t>
            </w:r>
          </w:p>
          <w:p w:rsidR="00871692" w:rsidRPr="00FE7B3C" w:rsidRDefault="00871692" w:rsidP="00FE7B3C">
            <w:pPr>
              <w:spacing w:line="180" w:lineRule="exact"/>
              <w:ind w:right="113"/>
              <w:jc w:val="right"/>
              <w:rPr>
                <w:rFonts w:ascii="Calibri" w:hAnsi="Calibri" w:cs="Calibri"/>
                <w:b/>
                <w:color w:val="002B45"/>
                <w:sz w:val="20"/>
                <w:szCs w:val="20"/>
                <w:lang w:val="en-US"/>
              </w:rPr>
            </w:pPr>
            <w:r w:rsidRPr="00FE7B3C">
              <w:rPr>
                <w:rStyle w:val="Bold"/>
                <w:rFonts w:ascii="Calibri" w:hAnsi="Calibri" w:cs="Calibri"/>
                <w:b/>
                <w:color w:val="002B45"/>
                <w:sz w:val="20"/>
                <w:szCs w:val="20"/>
              </w:rPr>
              <w:t>$m</w:t>
            </w:r>
          </w:p>
        </w:tc>
        <w:tc>
          <w:tcPr>
            <w:tcW w:w="1163" w:type="dxa"/>
            <w:tcBorders>
              <w:bottom w:val="single" w:sz="12" w:space="0" w:color="999999"/>
            </w:tcBorders>
            <w:shd w:val="clear" w:color="auto" w:fill="auto"/>
            <w:vAlign w:val="bottom"/>
          </w:tcPr>
          <w:p w:rsidR="00871692" w:rsidRPr="00FE7B3C" w:rsidRDefault="00871692" w:rsidP="00FE7B3C">
            <w:pPr>
              <w:spacing w:line="180" w:lineRule="exact"/>
              <w:ind w:right="113"/>
              <w:jc w:val="right"/>
              <w:rPr>
                <w:rFonts w:ascii="Calibri" w:hAnsi="Calibri" w:cs="Calibri"/>
                <w:b/>
                <w:color w:val="002B45"/>
                <w:sz w:val="20"/>
                <w:szCs w:val="20"/>
                <w:lang w:val="en-US"/>
              </w:rPr>
            </w:pPr>
            <w:r w:rsidRPr="00FE7B3C">
              <w:rPr>
                <w:rFonts w:ascii="Calibri" w:hAnsi="Calibri" w:cs="Calibri"/>
                <w:b/>
                <w:color w:val="002B45"/>
                <w:sz w:val="20"/>
                <w:szCs w:val="20"/>
                <w:lang w:val="en-US"/>
              </w:rPr>
              <w:t>2012</w:t>
            </w:r>
          </w:p>
          <w:p w:rsidR="00871692" w:rsidRPr="00FE7B3C" w:rsidRDefault="00871692" w:rsidP="00FE7B3C">
            <w:pPr>
              <w:spacing w:line="180" w:lineRule="exact"/>
              <w:ind w:right="113"/>
              <w:jc w:val="right"/>
              <w:rPr>
                <w:rFonts w:ascii="Calibri" w:hAnsi="Calibri" w:cs="Calibri"/>
                <w:b/>
                <w:color w:val="002B45"/>
                <w:sz w:val="20"/>
                <w:szCs w:val="20"/>
                <w:lang w:val="en-US"/>
              </w:rPr>
            </w:pPr>
            <w:r w:rsidRPr="00FE7B3C">
              <w:rPr>
                <w:rFonts w:ascii="Calibri" w:hAnsi="Calibri" w:cs="Calibri"/>
                <w:b/>
                <w:color w:val="002B45"/>
                <w:sz w:val="20"/>
                <w:szCs w:val="20"/>
                <w:lang w:val="en-US"/>
              </w:rPr>
              <w:t xml:space="preserve">$m </w:t>
            </w:r>
          </w:p>
        </w:tc>
      </w:tr>
      <w:tr w:rsidR="00871692" w:rsidRPr="000711BB" w:rsidTr="00FE7B3C">
        <w:trPr>
          <w:trHeight w:val="283"/>
        </w:trPr>
        <w:tc>
          <w:tcPr>
            <w:tcW w:w="6521" w:type="dxa"/>
            <w:tcBorders>
              <w:top w:val="single" w:sz="12" w:space="0" w:color="999999"/>
            </w:tcBorders>
            <w:vAlign w:val="bottom"/>
          </w:tcPr>
          <w:p w:rsidR="00871692" w:rsidRPr="00402154" w:rsidRDefault="00871692" w:rsidP="009B4FC7">
            <w:pPr>
              <w:pStyle w:val="Tabletext0"/>
              <w:ind w:right="85"/>
              <w:rPr>
                <w:rFonts w:ascii="Calibri" w:hAnsi="Calibri" w:cs="Calibri"/>
                <w:color w:val="002B45"/>
              </w:rPr>
            </w:pPr>
            <w:r w:rsidRPr="00402154">
              <w:rPr>
                <w:rFonts w:ascii="Calibri" w:hAnsi="Calibri" w:cs="Calibri"/>
                <w:color w:val="002B45"/>
              </w:rPr>
              <w:t xml:space="preserve">ASSETS </w:t>
            </w:r>
          </w:p>
        </w:tc>
        <w:tc>
          <w:tcPr>
            <w:tcW w:w="709" w:type="dxa"/>
            <w:tcBorders>
              <w:top w:val="single" w:sz="12" w:space="0" w:color="999999"/>
            </w:tcBorders>
            <w:vAlign w:val="bottom"/>
          </w:tcPr>
          <w:p w:rsidR="00871692" w:rsidRPr="00787286" w:rsidRDefault="00871692" w:rsidP="00FE7B3C">
            <w:pPr>
              <w:pStyle w:val="TableColHeads"/>
              <w:ind w:right="113"/>
              <w:rPr>
                <w:color w:val="00305C"/>
              </w:rPr>
            </w:pPr>
          </w:p>
        </w:tc>
        <w:tc>
          <w:tcPr>
            <w:tcW w:w="1105" w:type="dxa"/>
            <w:tcBorders>
              <w:top w:val="single" w:sz="12" w:space="0" w:color="999999"/>
            </w:tcBorders>
            <w:shd w:val="clear" w:color="auto" w:fill="E6E6E6"/>
            <w:vAlign w:val="bottom"/>
          </w:tcPr>
          <w:p w:rsidR="00871692" w:rsidRPr="00C44CA2" w:rsidRDefault="00871692" w:rsidP="00FE7B3C">
            <w:pPr>
              <w:pStyle w:val="TableFigures"/>
              <w:ind w:right="113"/>
            </w:pPr>
          </w:p>
        </w:tc>
        <w:tc>
          <w:tcPr>
            <w:tcW w:w="1163" w:type="dxa"/>
            <w:tcBorders>
              <w:top w:val="single" w:sz="12" w:space="0" w:color="999999"/>
            </w:tcBorders>
            <w:vAlign w:val="bottom"/>
          </w:tcPr>
          <w:p w:rsidR="00871692" w:rsidRPr="000711BB" w:rsidRDefault="00871692" w:rsidP="00FE7B3C">
            <w:pPr>
              <w:pStyle w:val="TableColHeads"/>
              <w:ind w:right="113"/>
            </w:pPr>
          </w:p>
        </w:tc>
      </w:tr>
      <w:tr w:rsidR="00871692" w:rsidRPr="00C44CA2" w:rsidTr="00772C45">
        <w:trPr>
          <w:trHeight w:val="255"/>
        </w:trPr>
        <w:tc>
          <w:tcPr>
            <w:tcW w:w="6521" w:type="dxa"/>
            <w:vAlign w:val="bottom"/>
          </w:tcPr>
          <w:p w:rsidR="00871692" w:rsidRPr="00402154" w:rsidRDefault="00871692" w:rsidP="009B4FC7">
            <w:pPr>
              <w:pStyle w:val="Tabletext0"/>
              <w:ind w:right="85"/>
              <w:rPr>
                <w:rFonts w:ascii="Calibri" w:hAnsi="Calibri" w:cs="Calibri"/>
                <w:color w:val="002B45"/>
              </w:rPr>
            </w:pPr>
            <w:r w:rsidRPr="00402154">
              <w:rPr>
                <w:rFonts w:ascii="Calibri" w:hAnsi="Calibri" w:cs="Calibri"/>
                <w:color w:val="002B45"/>
              </w:rPr>
              <w:t xml:space="preserve">Non-current assets </w:t>
            </w:r>
          </w:p>
        </w:tc>
        <w:tc>
          <w:tcPr>
            <w:tcW w:w="709" w:type="dxa"/>
            <w:vAlign w:val="bottom"/>
          </w:tcPr>
          <w:p w:rsidR="00871692" w:rsidRPr="00787286" w:rsidRDefault="00871692" w:rsidP="00FE7B3C">
            <w:pPr>
              <w:pStyle w:val="TableFigures"/>
              <w:ind w:right="113"/>
              <w:rPr>
                <w:color w:val="00305C"/>
              </w:rPr>
            </w:pPr>
          </w:p>
        </w:tc>
        <w:tc>
          <w:tcPr>
            <w:tcW w:w="1105" w:type="dxa"/>
            <w:shd w:val="clear" w:color="auto" w:fill="E6E6E6"/>
            <w:vAlign w:val="bottom"/>
          </w:tcPr>
          <w:p w:rsidR="00871692" w:rsidRPr="00C44CA2" w:rsidRDefault="00871692" w:rsidP="00FE7B3C">
            <w:pPr>
              <w:pStyle w:val="TableFigures"/>
              <w:ind w:right="113"/>
            </w:pPr>
          </w:p>
        </w:tc>
        <w:tc>
          <w:tcPr>
            <w:tcW w:w="1163" w:type="dxa"/>
            <w:vAlign w:val="bottom"/>
          </w:tcPr>
          <w:p w:rsidR="00871692" w:rsidRPr="00C44CA2" w:rsidRDefault="00871692" w:rsidP="00FE7B3C">
            <w:pPr>
              <w:pStyle w:val="TableFigures"/>
              <w:ind w:right="113"/>
            </w:pPr>
          </w:p>
        </w:tc>
      </w:tr>
      <w:tr w:rsidR="00871692" w:rsidRPr="000A48FD" w:rsidTr="00772C45">
        <w:trPr>
          <w:trHeight w:val="255"/>
        </w:trPr>
        <w:tc>
          <w:tcPr>
            <w:tcW w:w="6521" w:type="dxa"/>
            <w:vAlign w:val="bottom"/>
          </w:tcPr>
          <w:p w:rsidR="00871692" w:rsidRPr="00402154" w:rsidRDefault="00871692" w:rsidP="009B4FC7">
            <w:pPr>
              <w:pStyle w:val="Tabletext0"/>
              <w:ind w:right="85"/>
              <w:rPr>
                <w:rFonts w:ascii="Calibri" w:hAnsi="Calibri" w:cs="Calibri"/>
                <w:color w:val="002B45"/>
              </w:rPr>
            </w:pPr>
            <w:r>
              <w:rPr>
                <w:rFonts w:ascii="Calibri" w:hAnsi="Calibri" w:cs="Calibri"/>
                <w:color w:val="002B45"/>
              </w:rPr>
              <w:t>Goodwill</w:t>
            </w:r>
          </w:p>
        </w:tc>
        <w:tc>
          <w:tcPr>
            <w:tcW w:w="709" w:type="dxa"/>
            <w:vAlign w:val="bottom"/>
          </w:tcPr>
          <w:p w:rsidR="00871692" w:rsidRPr="00787286" w:rsidRDefault="00871692" w:rsidP="00FE7B3C">
            <w:pPr>
              <w:pStyle w:val="Tabletext"/>
              <w:tabs>
                <w:tab w:val="decimal" w:pos="907"/>
              </w:tabs>
              <w:ind w:right="113"/>
              <w:jc w:val="right"/>
              <w:rPr>
                <w:rFonts w:ascii="Calibri" w:hAnsi="Calibri" w:cs="Calibri"/>
                <w:color w:val="00305C"/>
              </w:rPr>
            </w:pPr>
            <w:r w:rsidRPr="00787286">
              <w:rPr>
                <w:rFonts w:ascii="Calibri" w:hAnsi="Calibri" w:cs="Calibri"/>
                <w:color w:val="00305C"/>
              </w:rPr>
              <w:t>8</w:t>
            </w:r>
          </w:p>
        </w:tc>
        <w:tc>
          <w:tcPr>
            <w:tcW w:w="1105" w:type="dxa"/>
            <w:shd w:val="clear" w:color="auto" w:fill="E6E6E6"/>
            <w:vAlign w:val="bottom"/>
          </w:tcPr>
          <w:p w:rsidR="00871692" w:rsidRPr="00745A36" w:rsidRDefault="00871692" w:rsidP="00FE7B3C">
            <w:pPr>
              <w:pStyle w:val="Tabletext"/>
              <w:tabs>
                <w:tab w:val="decimal" w:pos="907"/>
              </w:tabs>
              <w:ind w:left="85" w:right="113"/>
              <w:jc w:val="right"/>
              <w:rPr>
                <w:rFonts w:ascii="Calibri" w:hAnsi="Calibri" w:cs="Calibri"/>
                <w:color w:val="002B45"/>
              </w:rPr>
            </w:pPr>
            <w:r w:rsidRPr="00745A36">
              <w:rPr>
                <w:rFonts w:ascii="Calibri" w:hAnsi="Calibri" w:cs="Calibri"/>
                <w:color w:val="002B45"/>
              </w:rPr>
              <w:t xml:space="preserve"> 350.5 </w:t>
            </w:r>
          </w:p>
        </w:tc>
        <w:tc>
          <w:tcPr>
            <w:tcW w:w="1163" w:type="dxa"/>
            <w:vAlign w:val="bottom"/>
          </w:tcPr>
          <w:p w:rsidR="00871692" w:rsidRPr="00745A36" w:rsidRDefault="00871692" w:rsidP="00FE7B3C">
            <w:pPr>
              <w:pStyle w:val="Tabletext"/>
              <w:tabs>
                <w:tab w:val="decimal" w:pos="907"/>
              </w:tabs>
              <w:ind w:left="85" w:right="113"/>
              <w:jc w:val="right"/>
              <w:rPr>
                <w:rFonts w:ascii="Calibri" w:hAnsi="Calibri" w:cs="Calibri"/>
                <w:color w:val="002B45"/>
              </w:rPr>
            </w:pPr>
            <w:r w:rsidRPr="00745A36">
              <w:rPr>
                <w:rFonts w:ascii="Calibri" w:hAnsi="Calibri" w:cs="Calibri"/>
                <w:color w:val="002B45"/>
              </w:rPr>
              <w:t>–</w:t>
            </w:r>
          </w:p>
        </w:tc>
      </w:tr>
      <w:tr w:rsidR="00871692" w:rsidRPr="000A48FD" w:rsidTr="00772C45">
        <w:trPr>
          <w:trHeight w:val="255"/>
        </w:trPr>
        <w:tc>
          <w:tcPr>
            <w:tcW w:w="6521" w:type="dxa"/>
            <w:vAlign w:val="bottom"/>
          </w:tcPr>
          <w:p w:rsidR="00871692" w:rsidRPr="00402154" w:rsidRDefault="00871692" w:rsidP="009B4FC7">
            <w:pPr>
              <w:pStyle w:val="Tabletext0"/>
              <w:ind w:right="85"/>
              <w:rPr>
                <w:rFonts w:ascii="Calibri" w:hAnsi="Calibri" w:cs="Calibri"/>
                <w:color w:val="002B45"/>
              </w:rPr>
            </w:pPr>
            <w:r w:rsidRPr="00402154">
              <w:rPr>
                <w:rFonts w:ascii="Calibri" w:hAnsi="Calibri" w:cs="Calibri"/>
                <w:color w:val="002B45"/>
              </w:rPr>
              <w:t>Intangible exploration and evaluation assets</w:t>
            </w:r>
          </w:p>
        </w:tc>
        <w:tc>
          <w:tcPr>
            <w:tcW w:w="709" w:type="dxa"/>
            <w:vAlign w:val="bottom"/>
          </w:tcPr>
          <w:p w:rsidR="00871692" w:rsidRPr="00787286" w:rsidRDefault="00EB5D64" w:rsidP="00FE7B3C">
            <w:pPr>
              <w:pStyle w:val="Tabletext"/>
              <w:tabs>
                <w:tab w:val="decimal" w:pos="907"/>
              </w:tabs>
              <w:ind w:right="113"/>
              <w:jc w:val="right"/>
              <w:rPr>
                <w:rFonts w:ascii="Calibri" w:hAnsi="Calibri" w:cs="Calibri"/>
                <w:color w:val="00305C"/>
              </w:rPr>
            </w:pPr>
            <w:r w:rsidRPr="00787286">
              <w:rPr>
                <w:rFonts w:ascii="Calibri" w:hAnsi="Calibri" w:cs="Calibri"/>
                <w:color w:val="00305C"/>
              </w:rPr>
              <w:t>10</w:t>
            </w:r>
          </w:p>
        </w:tc>
        <w:tc>
          <w:tcPr>
            <w:tcW w:w="1105" w:type="dxa"/>
            <w:shd w:val="clear" w:color="auto" w:fill="E6E6E6"/>
            <w:vAlign w:val="bottom"/>
          </w:tcPr>
          <w:p w:rsidR="00871692" w:rsidRPr="00745A36" w:rsidRDefault="00871692" w:rsidP="00FE7B3C">
            <w:pPr>
              <w:pStyle w:val="Tabletext"/>
              <w:tabs>
                <w:tab w:val="decimal" w:pos="907"/>
              </w:tabs>
              <w:ind w:left="85" w:right="113"/>
              <w:jc w:val="right"/>
              <w:rPr>
                <w:rFonts w:ascii="Calibri" w:hAnsi="Calibri" w:cs="Calibri"/>
                <w:color w:val="002B45"/>
              </w:rPr>
            </w:pPr>
            <w:r w:rsidRPr="00745A36">
              <w:rPr>
                <w:rFonts w:ascii="Calibri" w:hAnsi="Calibri" w:cs="Calibri"/>
                <w:color w:val="002B45"/>
              </w:rPr>
              <w:t xml:space="preserve"> 4,148.3 </w:t>
            </w:r>
          </w:p>
        </w:tc>
        <w:tc>
          <w:tcPr>
            <w:tcW w:w="1163" w:type="dxa"/>
            <w:vAlign w:val="bottom"/>
          </w:tcPr>
          <w:p w:rsidR="00871692" w:rsidRPr="00745A36" w:rsidRDefault="00871692" w:rsidP="00FE7B3C">
            <w:pPr>
              <w:pStyle w:val="Tabletext"/>
              <w:tabs>
                <w:tab w:val="decimal" w:pos="907"/>
              </w:tabs>
              <w:ind w:left="85" w:right="113"/>
              <w:jc w:val="right"/>
              <w:rPr>
                <w:rFonts w:ascii="Calibri" w:hAnsi="Calibri" w:cs="Calibri"/>
                <w:color w:val="002B45"/>
              </w:rPr>
            </w:pPr>
            <w:r w:rsidRPr="00745A36">
              <w:rPr>
                <w:rFonts w:ascii="Calibri" w:hAnsi="Calibri" w:cs="Calibri"/>
                <w:color w:val="002B45"/>
              </w:rPr>
              <w:t xml:space="preserve"> 2,977.1 </w:t>
            </w:r>
          </w:p>
        </w:tc>
      </w:tr>
      <w:tr w:rsidR="00871692" w:rsidRPr="000A48FD" w:rsidTr="00772C45">
        <w:trPr>
          <w:trHeight w:val="255"/>
        </w:trPr>
        <w:tc>
          <w:tcPr>
            <w:tcW w:w="6521" w:type="dxa"/>
            <w:vAlign w:val="bottom"/>
          </w:tcPr>
          <w:p w:rsidR="00871692" w:rsidRPr="00402154" w:rsidRDefault="00871692" w:rsidP="009B4FC7">
            <w:pPr>
              <w:pStyle w:val="Tabletext0"/>
              <w:ind w:right="85"/>
              <w:rPr>
                <w:rFonts w:ascii="Calibri" w:hAnsi="Calibri" w:cs="Calibri"/>
                <w:color w:val="002B45"/>
              </w:rPr>
            </w:pPr>
            <w:r w:rsidRPr="00402154">
              <w:rPr>
                <w:rFonts w:ascii="Calibri" w:hAnsi="Calibri" w:cs="Calibri"/>
                <w:color w:val="002B45"/>
              </w:rPr>
              <w:t xml:space="preserve">Property, plant and equipment </w:t>
            </w:r>
          </w:p>
        </w:tc>
        <w:tc>
          <w:tcPr>
            <w:tcW w:w="709" w:type="dxa"/>
            <w:vAlign w:val="bottom"/>
          </w:tcPr>
          <w:p w:rsidR="00871692" w:rsidRPr="00787286" w:rsidRDefault="00871692" w:rsidP="00FE7B3C">
            <w:pPr>
              <w:pStyle w:val="Tabletext"/>
              <w:tabs>
                <w:tab w:val="decimal" w:pos="907"/>
              </w:tabs>
              <w:ind w:right="113"/>
              <w:jc w:val="right"/>
              <w:rPr>
                <w:rFonts w:ascii="Calibri" w:hAnsi="Calibri" w:cs="Calibri"/>
                <w:color w:val="00305C"/>
              </w:rPr>
            </w:pPr>
          </w:p>
        </w:tc>
        <w:tc>
          <w:tcPr>
            <w:tcW w:w="1105" w:type="dxa"/>
            <w:shd w:val="clear" w:color="auto" w:fill="E6E6E6"/>
            <w:vAlign w:val="bottom"/>
          </w:tcPr>
          <w:p w:rsidR="00871692" w:rsidRPr="00745A36" w:rsidRDefault="00871692" w:rsidP="007E10D2">
            <w:pPr>
              <w:pStyle w:val="Tabletext"/>
              <w:tabs>
                <w:tab w:val="decimal" w:pos="907"/>
              </w:tabs>
              <w:ind w:left="85" w:right="113"/>
              <w:jc w:val="right"/>
              <w:rPr>
                <w:rFonts w:ascii="Calibri" w:hAnsi="Calibri" w:cs="Calibri"/>
                <w:color w:val="002B45"/>
              </w:rPr>
            </w:pPr>
            <w:r w:rsidRPr="00745A36">
              <w:rPr>
                <w:rFonts w:ascii="Calibri" w:hAnsi="Calibri" w:cs="Calibri"/>
                <w:color w:val="002B45"/>
              </w:rPr>
              <w:t xml:space="preserve"> 4,</w:t>
            </w:r>
            <w:r w:rsidR="007E10D2">
              <w:rPr>
                <w:rFonts w:ascii="Calibri" w:hAnsi="Calibri" w:cs="Calibri"/>
                <w:color w:val="002B45"/>
              </w:rPr>
              <w:t>862.9</w:t>
            </w:r>
            <w:r w:rsidRPr="00745A36">
              <w:rPr>
                <w:rFonts w:ascii="Calibri" w:hAnsi="Calibri" w:cs="Calibri"/>
                <w:color w:val="002B45"/>
              </w:rPr>
              <w:t xml:space="preserve"> </w:t>
            </w:r>
          </w:p>
        </w:tc>
        <w:tc>
          <w:tcPr>
            <w:tcW w:w="1163" w:type="dxa"/>
            <w:vAlign w:val="bottom"/>
          </w:tcPr>
          <w:p w:rsidR="00871692" w:rsidRPr="00745A36" w:rsidRDefault="00871692" w:rsidP="00FE7B3C">
            <w:pPr>
              <w:pStyle w:val="Tabletext"/>
              <w:tabs>
                <w:tab w:val="decimal" w:pos="907"/>
              </w:tabs>
              <w:ind w:left="85" w:right="113"/>
              <w:jc w:val="right"/>
              <w:rPr>
                <w:rFonts w:ascii="Calibri" w:hAnsi="Calibri" w:cs="Calibri"/>
                <w:color w:val="002B45"/>
              </w:rPr>
            </w:pPr>
            <w:r w:rsidRPr="00745A36">
              <w:rPr>
                <w:rFonts w:ascii="Calibri" w:hAnsi="Calibri" w:cs="Calibri"/>
                <w:color w:val="002B45"/>
              </w:rPr>
              <w:t xml:space="preserve"> 4,407.9 </w:t>
            </w:r>
          </w:p>
        </w:tc>
      </w:tr>
      <w:tr w:rsidR="00871692" w:rsidRPr="000A48FD" w:rsidTr="00772C45">
        <w:trPr>
          <w:trHeight w:val="255"/>
        </w:trPr>
        <w:tc>
          <w:tcPr>
            <w:tcW w:w="6521" w:type="dxa"/>
            <w:vAlign w:val="bottom"/>
          </w:tcPr>
          <w:p w:rsidR="00871692" w:rsidRPr="00402154" w:rsidRDefault="00871692" w:rsidP="009B4FC7">
            <w:pPr>
              <w:pStyle w:val="Tabletext0"/>
              <w:ind w:right="85"/>
              <w:rPr>
                <w:rFonts w:ascii="Calibri" w:hAnsi="Calibri" w:cs="Calibri"/>
                <w:color w:val="002B45"/>
              </w:rPr>
            </w:pPr>
            <w:r w:rsidRPr="00402154">
              <w:rPr>
                <w:rFonts w:ascii="Calibri" w:hAnsi="Calibri" w:cs="Calibri"/>
                <w:color w:val="002B45"/>
              </w:rPr>
              <w:t xml:space="preserve">Investments </w:t>
            </w:r>
          </w:p>
        </w:tc>
        <w:tc>
          <w:tcPr>
            <w:tcW w:w="709" w:type="dxa"/>
            <w:vAlign w:val="bottom"/>
          </w:tcPr>
          <w:p w:rsidR="00871692" w:rsidRPr="00787286" w:rsidRDefault="00871692" w:rsidP="00FE7B3C">
            <w:pPr>
              <w:pStyle w:val="Tabletext"/>
              <w:tabs>
                <w:tab w:val="decimal" w:pos="907"/>
              </w:tabs>
              <w:ind w:right="113"/>
              <w:jc w:val="right"/>
              <w:rPr>
                <w:rFonts w:ascii="Calibri" w:hAnsi="Calibri" w:cs="Calibri"/>
                <w:color w:val="00305C"/>
              </w:rPr>
            </w:pPr>
          </w:p>
        </w:tc>
        <w:tc>
          <w:tcPr>
            <w:tcW w:w="1105" w:type="dxa"/>
            <w:shd w:val="clear" w:color="auto" w:fill="E6E6E6"/>
            <w:vAlign w:val="bottom"/>
          </w:tcPr>
          <w:p w:rsidR="00871692" w:rsidRPr="00745A36" w:rsidRDefault="00871692" w:rsidP="00FE7B3C">
            <w:pPr>
              <w:pStyle w:val="Tabletext"/>
              <w:tabs>
                <w:tab w:val="decimal" w:pos="907"/>
              </w:tabs>
              <w:ind w:left="85" w:right="113"/>
              <w:jc w:val="right"/>
              <w:rPr>
                <w:rFonts w:ascii="Calibri" w:hAnsi="Calibri" w:cs="Calibri"/>
                <w:color w:val="002B45"/>
              </w:rPr>
            </w:pPr>
            <w:r w:rsidRPr="00745A36">
              <w:rPr>
                <w:rFonts w:ascii="Calibri" w:hAnsi="Calibri" w:cs="Calibri"/>
                <w:color w:val="002B45"/>
              </w:rPr>
              <w:t xml:space="preserve"> 1.0 </w:t>
            </w:r>
          </w:p>
        </w:tc>
        <w:tc>
          <w:tcPr>
            <w:tcW w:w="1163" w:type="dxa"/>
            <w:vAlign w:val="bottom"/>
          </w:tcPr>
          <w:p w:rsidR="00871692" w:rsidRPr="00745A36" w:rsidRDefault="00871692" w:rsidP="00FE7B3C">
            <w:pPr>
              <w:pStyle w:val="Tabletext"/>
              <w:tabs>
                <w:tab w:val="decimal" w:pos="907"/>
              </w:tabs>
              <w:ind w:left="85" w:right="113"/>
              <w:jc w:val="right"/>
              <w:rPr>
                <w:rFonts w:ascii="Calibri" w:hAnsi="Calibri" w:cs="Calibri"/>
                <w:color w:val="002B45"/>
              </w:rPr>
            </w:pPr>
            <w:r w:rsidRPr="00745A36">
              <w:rPr>
                <w:rFonts w:ascii="Calibri" w:hAnsi="Calibri" w:cs="Calibri"/>
                <w:color w:val="002B45"/>
              </w:rPr>
              <w:t xml:space="preserve"> 1.0 </w:t>
            </w:r>
          </w:p>
        </w:tc>
      </w:tr>
      <w:tr w:rsidR="00871692" w:rsidRPr="000A48FD" w:rsidTr="00772C45">
        <w:trPr>
          <w:trHeight w:val="255"/>
        </w:trPr>
        <w:tc>
          <w:tcPr>
            <w:tcW w:w="6521" w:type="dxa"/>
            <w:shd w:val="clear" w:color="auto" w:fill="auto"/>
            <w:vAlign w:val="bottom"/>
          </w:tcPr>
          <w:p w:rsidR="00871692" w:rsidRPr="00402154" w:rsidRDefault="00871692" w:rsidP="009B4FC7">
            <w:pPr>
              <w:pStyle w:val="Tabletext0"/>
              <w:ind w:right="85"/>
              <w:rPr>
                <w:rFonts w:ascii="Calibri" w:hAnsi="Calibri" w:cs="Calibri"/>
                <w:color w:val="002B45"/>
              </w:rPr>
            </w:pPr>
            <w:r>
              <w:rPr>
                <w:rFonts w:ascii="Calibri" w:hAnsi="Calibri" w:cs="Calibri"/>
                <w:color w:val="002B45"/>
              </w:rPr>
              <w:t>Other non-current assets</w:t>
            </w:r>
          </w:p>
        </w:tc>
        <w:tc>
          <w:tcPr>
            <w:tcW w:w="709" w:type="dxa"/>
            <w:shd w:val="clear" w:color="auto" w:fill="auto"/>
            <w:vAlign w:val="bottom"/>
          </w:tcPr>
          <w:p w:rsidR="00871692" w:rsidRPr="00787286" w:rsidRDefault="00871692" w:rsidP="00FE7B3C">
            <w:pPr>
              <w:pStyle w:val="Tabletext"/>
              <w:tabs>
                <w:tab w:val="decimal" w:pos="907"/>
              </w:tabs>
              <w:ind w:right="113"/>
              <w:jc w:val="right"/>
              <w:rPr>
                <w:rFonts w:ascii="Calibri" w:hAnsi="Calibri" w:cs="Calibri"/>
                <w:color w:val="00305C"/>
              </w:rPr>
            </w:pPr>
            <w:r w:rsidRPr="00787286">
              <w:rPr>
                <w:rFonts w:ascii="Calibri" w:hAnsi="Calibri" w:cs="Calibri"/>
                <w:color w:val="00305C"/>
              </w:rPr>
              <w:t>1</w:t>
            </w:r>
            <w:r w:rsidR="00EB5D64" w:rsidRPr="00787286">
              <w:rPr>
                <w:rFonts w:ascii="Calibri" w:hAnsi="Calibri" w:cs="Calibri"/>
                <w:color w:val="00305C"/>
              </w:rPr>
              <w:t>1</w:t>
            </w:r>
          </w:p>
        </w:tc>
        <w:tc>
          <w:tcPr>
            <w:tcW w:w="1105" w:type="dxa"/>
            <w:shd w:val="clear" w:color="auto" w:fill="E6E6E6"/>
            <w:vAlign w:val="bottom"/>
          </w:tcPr>
          <w:p w:rsidR="00871692" w:rsidRPr="00745A36" w:rsidRDefault="00871692" w:rsidP="00FE7B3C">
            <w:pPr>
              <w:pStyle w:val="Tabletext"/>
              <w:tabs>
                <w:tab w:val="decimal" w:pos="907"/>
              </w:tabs>
              <w:ind w:left="85" w:right="113"/>
              <w:jc w:val="right"/>
              <w:rPr>
                <w:rFonts w:ascii="Calibri" w:hAnsi="Calibri" w:cs="Calibri"/>
                <w:color w:val="002B45"/>
              </w:rPr>
            </w:pPr>
            <w:r w:rsidRPr="00745A36">
              <w:rPr>
                <w:rFonts w:ascii="Calibri" w:hAnsi="Calibri" w:cs="Calibri"/>
                <w:color w:val="002B45"/>
              </w:rPr>
              <w:t xml:space="preserve"> 68.7 </w:t>
            </w:r>
          </w:p>
        </w:tc>
        <w:tc>
          <w:tcPr>
            <w:tcW w:w="1163" w:type="dxa"/>
            <w:shd w:val="clear" w:color="auto" w:fill="auto"/>
            <w:vAlign w:val="bottom"/>
          </w:tcPr>
          <w:p w:rsidR="00871692" w:rsidRPr="00745A36" w:rsidRDefault="00871692" w:rsidP="00FE7B3C">
            <w:pPr>
              <w:pStyle w:val="Tabletext"/>
              <w:tabs>
                <w:tab w:val="decimal" w:pos="907"/>
              </w:tabs>
              <w:ind w:left="85" w:right="113"/>
              <w:jc w:val="right"/>
              <w:rPr>
                <w:rFonts w:ascii="Calibri" w:hAnsi="Calibri" w:cs="Calibri"/>
                <w:color w:val="002B45"/>
              </w:rPr>
            </w:pPr>
            <w:r w:rsidRPr="00745A36">
              <w:rPr>
                <w:rFonts w:ascii="Calibri" w:hAnsi="Calibri" w:cs="Calibri"/>
                <w:color w:val="002B45"/>
              </w:rPr>
              <w:t xml:space="preserve"> 696.7 </w:t>
            </w:r>
          </w:p>
        </w:tc>
      </w:tr>
      <w:tr w:rsidR="00263A06" w:rsidRPr="000A48FD" w:rsidTr="00772C45">
        <w:trPr>
          <w:trHeight w:val="255"/>
        </w:trPr>
        <w:tc>
          <w:tcPr>
            <w:tcW w:w="6521" w:type="dxa"/>
            <w:shd w:val="clear" w:color="auto" w:fill="auto"/>
            <w:vAlign w:val="bottom"/>
          </w:tcPr>
          <w:p w:rsidR="00263A06" w:rsidRDefault="00263A06" w:rsidP="009B4FC7">
            <w:pPr>
              <w:pStyle w:val="Tabletext0"/>
              <w:ind w:right="85"/>
              <w:rPr>
                <w:rFonts w:ascii="Calibri" w:hAnsi="Calibri" w:cs="Calibri"/>
                <w:color w:val="002B45"/>
              </w:rPr>
            </w:pPr>
            <w:r>
              <w:rPr>
                <w:rFonts w:ascii="Calibri" w:hAnsi="Calibri" w:cs="Calibri"/>
                <w:color w:val="002B45"/>
              </w:rPr>
              <w:t>Derivative financial instruments</w:t>
            </w:r>
          </w:p>
        </w:tc>
        <w:tc>
          <w:tcPr>
            <w:tcW w:w="709" w:type="dxa"/>
            <w:shd w:val="clear" w:color="auto" w:fill="auto"/>
            <w:vAlign w:val="bottom"/>
          </w:tcPr>
          <w:p w:rsidR="00263A06" w:rsidRPr="00787286" w:rsidRDefault="00263A06" w:rsidP="00FE7B3C">
            <w:pPr>
              <w:pStyle w:val="Tabletext"/>
              <w:tabs>
                <w:tab w:val="decimal" w:pos="907"/>
              </w:tabs>
              <w:ind w:right="113"/>
              <w:jc w:val="right"/>
              <w:rPr>
                <w:rFonts w:ascii="Calibri" w:hAnsi="Calibri" w:cs="Calibri"/>
                <w:color w:val="00305C"/>
              </w:rPr>
            </w:pPr>
          </w:p>
        </w:tc>
        <w:tc>
          <w:tcPr>
            <w:tcW w:w="1105" w:type="dxa"/>
            <w:shd w:val="clear" w:color="auto" w:fill="E6E6E6"/>
            <w:vAlign w:val="bottom"/>
          </w:tcPr>
          <w:p w:rsidR="00263A06" w:rsidRPr="00745A36" w:rsidRDefault="00263A06" w:rsidP="00FE7B3C">
            <w:pPr>
              <w:pStyle w:val="Tabletext"/>
              <w:tabs>
                <w:tab w:val="decimal" w:pos="907"/>
              </w:tabs>
              <w:ind w:left="85" w:right="113"/>
              <w:jc w:val="right"/>
              <w:rPr>
                <w:rFonts w:ascii="Calibri" w:hAnsi="Calibri" w:cs="Calibri"/>
                <w:color w:val="002B45"/>
              </w:rPr>
            </w:pPr>
            <w:r>
              <w:rPr>
                <w:rFonts w:ascii="Calibri" w:hAnsi="Calibri" w:cs="Calibri"/>
                <w:color w:val="002B45"/>
              </w:rPr>
              <w:t>6.8</w:t>
            </w:r>
          </w:p>
        </w:tc>
        <w:tc>
          <w:tcPr>
            <w:tcW w:w="1163" w:type="dxa"/>
            <w:shd w:val="clear" w:color="auto" w:fill="auto"/>
            <w:vAlign w:val="bottom"/>
          </w:tcPr>
          <w:p w:rsidR="00263A06" w:rsidRPr="00745A36" w:rsidRDefault="001808A9" w:rsidP="00FE7B3C">
            <w:pPr>
              <w:pStyle w:val="Tabletext"/>
              <w:tabs>
                <w:tab w:val="decimal" w:pos="907"/>
              </w:tabs>
              <w:ind w:left="85" w:right="113"/>
              <w:jc w:val="right"/>
              <w:rPr>
                <w:rFonts w:ascii="Calibri" w:hAnsi="Calibri" w:cs="Calibri"/>
                <w:color w:val="002B45"/>
              </w:rPr>
            </w:pPr>
            <w:r w:rsidRPr="00745A36">
              <w:rPr>
                <w:rFonts w:ascii="Calibri" w:hAnsi="Calibri" w:cs="Calibri"/>
                <w:color w:val="002B45"/>
              </w:rPr>
              <w:t>–</w:t>
            </w:r>
          </w:p>
        </w:tc>
      </w:tr>
      <w:tr w:rsidR="00871692" w:rsidRPr="000A48FD" w:rsidTr="00772C45">
        <w:trPr>
          <w:trHeight w:val="255"/>
        </w:trPr>
        <w:tc>
          <w:tcPr>
            <w:tcW w:w="6521" w:type="dxa"/>
            <w:tcBorders>
              <w:bottom w:val="single" w:sz="4" w:space="0" w:color="999999"/>
            </w:tcBorders>
            <w:shd w:val="clear" w:color="auto" w:fill="auto"/>
            <w:vAlign w:val="bottom"/>
          </w:tcPr>
          <w:p w:rsidR="00871692" w:rsidRPr="00402154" w:rsidRDefault="00871692" w:rsidP="009B4FC7">
            <w:pPr>
              <w:pStyle w:val="Tabletext0"/>
              <w:ind w:right="85"/>
              <w:rPr>
                <w:rFonts w:ascii="Calibri" w:hAnsi="Calibri" w:cs="Calibri"/>
                <w:color w:val="002B45"/>
              </w:rPr>
            </w:pPr>
            <w:r w:rsidRPr="00402154">
              <w:rPr>
                <w:rFonts w:ascii="Calibri" w:hAnsi="Calibri" w:cs="Calibri"/>
                <w:color w:val="002B45"/>
              </w:rPr>
              <w:t>Deferred tax assets</w:t>
            </w:r>
          </w:p>
        </w:tc>
        <w:tc>
          <w:tcPr>
            <w:tcW w:w="709" w:type="dxa"/>
            <w:tcBorders>
              <w:bottom w:val="single" w:sz="4" w:space="0" w:color="999999"/>
            </w:tcBorders>
            <w:shd w:val="clear" w:color="auto" w:fill="auto"/>
            <w:vAlign w:val="bottom"/>
          </w:tcPr>
          <w:p w:rsidR="00871692" w:rsidRPr="00787286" w:rsidRDefault="00871692" w:rsidP="00FE7B3C">
            <w:pPr>
              <w:pStyle w:val="Tabletext"/>
              <w:tabs>
                <w:tab w:val="decimal" w:pos="907"/>
              </w:tabs>
              <w:ind w:right="113"/>
              <w:jc w:val="right"/>
              <w:rPr>
                <w:rFonts w:ascii="Calibri" w:hAnsi="Calibri" w:cs="Calibri"/>
                <w:color w:val="00305C"/>
              </w:rPr>
            </w:pPr>
          </w:p>
        </w:tc>
        <w:tc>
          <w:tcPr>
            <w:tcW w:w="1105" w:type="dxa"/>
            <w:tcBorders>
              <w:bottom w:val="single" w:sz="4" w:space="0" w:color="999999"/>
            </w:tcBorders>
            <w:shd w:val="clear" w:color="auto" w:fill="E6E6E6"/>
            <w:vAlign w:val="bottom"/>
          </w:tcPr>
          <w:p w:rsidR="00871692" w:rsidRPr="00745A36" w:rsidRDefault="00871692" w:rsidP="00FE7B3C">
            <w:pPr>
              <w:pStyle w:val="Tabletext"/>
              <w:tabs>
                <w:tab w:val="decimal" w:pos="907"/>
              </w:tabs>
              <w:ind w:left="85" w:right="113"/>
              <w:jc w:val="right"/>
              <w:rPr>
                <w:rFonts w:ascii="Calibri" w:hAnsi="Calibri" w:cs="Calibri"/>
                <w:color w:val="002B45"/>
              </w:rPr>
            </w:pPr>
            <w:r w:rsidRPr="00745A36">
              <w:rPr>
                <w:rFonts w:ascii="Calibri" w:hAnsi="Calibri" w:cs="Calibri"/>
                <w:color w:val="002B45"/>
              </w:rPr>
              <w:t xml:space="preserve"> 1.1 </w:t>
            </w:r>
          </w:p>
        </w:tc>
        <w:tc>
          <w:tcPr>
            <w:tcW w:w="1163" w:type="dxa"/>
            <w:tcBorders>
              <w:bottom w:val="single" w:sz="4" w:space="0" w:color="999999"/>
            </w:tcBorders>
            <w:shd w:val="clear" w:color="auto" w:fill="auto"/>
            <w:vAlign w:val="bottom"/>
          </w:tcPr>
          <w:p w:rsidR="00871692" w:rsidRPr="00745A36" w:rsidRDefault="00871692" w:rsidP="00FE7B3C">
            <w:pPr>
              <w:pStyle w:val="Tabletext"/>
              <w:tabs>
                <w:tab w:val="decimal" w:pos="907"/>
              </w:tabs>
              <w:ind w:left="85" w:right="113"/>
              <w:jc w:val="right"/>
              <w:rPr>
                <w:rFonts w:ascii="Calibri" w:hAnsi="Calibri" w:cs="Calibri"/>
                <w:color w:val="002B45"/>
              </w:rPr>
            </w:pPr>
            <w:r w:rsidRPr="00745A36">
              <w:rPr>
                <w:rFonts w:ascii="Calibri" w:hAnsi="Calibri" w:cs="Calibri"/>
                <w:color w:val="002B45"/>
              </w:rPr>
              <w:t xml:space="preserve"> 4.9 </w:t>
            </w:r>
          </w:p>
        </w:tc>
      </w:tr>
      <w:tr w:rsidR="00871692" w:rsidTr="00772C45">
        <w:trPr>
          <w:trHeight w:val="255"/>
        </w:trPr>
        <w:tc>
          <w:tcPr>
            <w:tcW w:w="6521" w:type="dxa"/>
            <w:tcBorders>
              <w:top w:val="single" w:sz="4" w:space="0" w:color="999999"/>
              <w:bottom w:val="single" w:sz="4" w:space="0" w:color="999999"/>
            </w:tcBorders>
            <w:shd w:val="clear" w:color="auto" w:fill="auto"/>
            <w:vAlign w:val="bottom"/>
          </w:tcPr>
          <w:p w:rsidR="00871692" w:rsidRPr="00402154" w:rsidRDefault="00871692" w:rsidP="009B4FC7">
            <w:pPr>
              <w:pStyle w:val="Tabletext0"/>
              <w:ind w:right="85"/>
              <w:rPr>
                <w:rFonts w:ascii="Calibri" w:hAnsi="Calibri" w:cs="Calibri"/>
                <w:color w:val="002B45"/>
              </w:rPr>
            </w:pPr>
          </w:p>
        </w:tc>
        <w:tc>
          <w:tcPr>
            <w:tcW w:w="709" w:type="dxa"/>
            <w:tcBorders>
              <w:top w:val="single" w:sz="4" w:space="0" w:color="999999"/>
              <w:bottom w:val="single" w:sz="4" w:space="0" w:color="999999"/>
            </w:tcBorders>
            <w:shd w:val="clear" w:color="auto" w:fill="auto"/>
            <w:vAlign w:val="bottom"/>
          </w:tcPr>
          <w:p w:rsidR="00871692" w:rsidRPr="00787286" w:rsidRDefault="00871692" w:rsidP="00FE7B3C">
            <w:pPr>
              <w:pStyle w:val="Tabletext"/>
              <w:tabs>
                <w:tab w:val="decimal" w:pos="907"/>
              </w:tabs>
              <w:ind w:right="113"/>
              <w:jc w:val="right"/>
              <w:rPr>
                <w:rFonts w:ascii="Calibri" w:hAnsi="Calibri" w:cs="Calibri"/>
                <w:color w:val="00305C"/>
              </w:rPr>
            </w:pPr>
          </w:p>
        </w:tc>
        <w:tc>
          <w:tcPr>
            <w:tcW w:w="1105" w:type="dxa"/>
            <w:tcBorders>
              <w:top w:val="single" w:sz="4" w:space="0" w:color="999999"/>
              <w:bottom w:val="single" w:sz="4" w:space="0" w:color="999999"/>
            </w:tcBorders>
            <w:shd w:val="clear" w:color="auto" w:fill="E6E6E6"/>
            <w:vAlign w:val="bottom"/>
          </w:tcPr>
          <w:p w:rsidR="00871692" w:rsidRPr="00745A36" w:rsidRDefault="00871692" w:rsidP="007E10D2">
            <w:pPr>
              <w:pStyle w:val="Tabletext"/>
              <w:tabs>
                <w:tab w:val="decimal" w:pos="907"/>
              </w:tabs>
              <w:ind w:left="85" w:right="113"/>
              <w:jc w:val="right"/>
              <w:rPr>
                <w:rFonts w:ascii="Calibri" w:hAnsi="Calibri" w:cs="Calibri"/>
                <w:color w:val="002B45"/>
              </w:rPr>
            </w:pPr>
            <w:r w:rsidRPr="00745A36">
              <w:rPr>
                <w:rFonts w:ascii="Calibri" w:hAnsi="Calibri" w:cs="Calibri"/>
                <w:color w:val="002B45"/>
              </w:rPr>
              <w:t xml:space="preserve"> 9,</w:t>
            </w:r>
            <w:r w:rsidR="007E10D2">
              <w:rPr>
                <w:rFonts w:ascii="Calibri" w:hAnsi="Calibri" w:cs="Calibri"/>
                <w:color w:val="002B45"/>
              </w:rPr>
              <w:t>439.3</w:t>
            </w:r>
            <w:r w:rsidRPr="00745A36">
              <w:rPr>
                <w:rFonts w:ascii="Calibri" w:hAnsi="Calibri" w:cs="Calibri"/>
                <w:color w:val="002B45"/>
              </w:rPr>
              <w:t xml:space="preserve"> </w:t>
            </w:r>
          </w:p>
        </w:tc>
        <w:tc>
          <w:tcPr>
            <w:tcW w:w="1163" w:type="dxa"/>
            <w:tcBorders>
              <w:top w:val="single" w:sz="4" w:space="0" w:color="999999"/>
              <w:bottom w:val="single" w:sz="4" w:space="0" w:color="999999"/>
            </w:tcBorders>
            <w:shd w:val="clear" w:color="auto" w:fill="auto"/>
            <w:vAlign w:val="bottom"/>
          </w:tcPr>
          <w:p w:rsidR="00871692" w:rsidRPr="00745A36" w:rsidRDefault="00871692" w:rsidP="00FE7B3C">
            <w:pPr>
              <w:pStyle w:val="Tabletext"/>
              <w:tabs>
                <w:tab w:val="decimal" w:pos="907"/>
              </w:tabs>
              <w:ind w:left="85" w:right="113"/>
              <w:jc w:val="right"/>
              <w:rPr>
                <w:rFonts w:ascii="Calibri" w:hAnsi="Calibri" w:cs="Calibri"/>
                <w:color w:val="002B45"/>
              </w:rPr>
            </w:pPr>
            <w:r w:rsidRPr="00745A36">
              <w:rPr>
                <w:rFonts w:ascii="Calibri" w:hAnsi="Calibri" w:cs="Calibri"/>
                <w:color w:val="002B45"/>
              </w:rPr>
              <w:t xml:space="preserve"> 8,087.6 </w:t>
            </w:r>
          </w:p>
        </w:tc>
      </w:tr>
      <w:tr w:rsidR="00871692" w:rsidRPr="000A48FD" w:rsidTr="00772C45">
        <w:trPr>
          <w:trHeight w:val="255"/>
        </w:trPr>
        <w:tc>
          <w:tcPr>
            <w:tcW w:w="6521" w:type="dxa"/>
            <w:tcBorders>
              <w:top w:val="single" w:sz="4" w:space="0" w:color="999999"/>
            </w:tcBorders>
            <w:vAlign w:val="bottom"/>
          </w:tcPr>
          <w:p w:rsidR="00871692" w:rsidRPr="00402154" w:rsidRDefault="00871692" w:rsidP="009B4FC7">
            <w:pPr>
              <w:pStyle w:val="Tabletext0"/>
              <w:ind w:right="85"/>
              <w:rPr>
                <w:rFonts w:ascii="Calibri" w:hAnsi="Calibri" w:cs="Calibri"/>
                <w:color w:val="002B45"/>
              </w:rPr>
            </w:pPr>
            <w:r w:rsidRPr="00402154">
              <w:rPr>
                <w:rFonts w:ascii="Calibri" w:hAnsi="Calibri" w:cs="Calibri"/>
                <w:color w:val="002B45"/>
              </w:rPr>
              <w:t xml:space="preserve">Current assets </w:t>
            </w:r>
          </w:p>
        </w:tc>
        <w:tc>
          <w:tcPr>
            <w:tcW w:w="709" w:type="dxa"/>
            <w:tcBorders>
              <w:top w:val="single" w:sz="4" w:space="0" w:color="999999"/>
            </w:tcBorders>
            <w:vAlign w:val="bottom"/>
          </w:tcPr>
          <w:p w:rsidR="00871692" w:rsidRPr="00787286" w:rsidRDefault="00871692" w:rsidP="00FE7B3C">
            <w:pPr>
              <w:pStyle w:val="Tabletext"/>
              <w:tabs>
                <w:tab w:val="decimal" w:pos="907"/>
              </w:tabs>
              <w:ind w:right="113"/>
              <w:jc w:val="right"/>
              <w:rPr>
                <w:rFonts w:ascii="Calibri" w:hAnsi="Calibri" w:cs="Calibri"/>
                <w:color w:val="00305C"/>
              </w:rPr>
            </w:pPr>
          </w:p>
        </w:tc>
        <w:tc>
          <w:tcPr>
            <w:tcW w:w="1105" w:type="dxa"/>
            <w:tcBorders>
              <w:top w:val="single" w:sz="4" w:space="0" w:color="999999"/>
            </w:tcBorders>
            <w:shd w:val="clear" w:color="auto" w:fill="E6E6E6"/>
            <w:vAlign w:val="bottom"/>
          </w:tcPr>
          <w:p w:rsidR="00871692" w:rsidRPr="00745A36" w:rsidRDefault="00871692" w:rsidP="00FE7B3C">
            <w:pPr>
              <w:pStyle w:val="Tabletext"/>
              <w:tabs>
                <w:tab w:val="decimal" w:pos="907"/>
              </w:tabs>
              <w:ind w:left="85" w:right="113"/>
              <w:jc w:val="right"/>
              <w:rPr>
                <w:rFonts w:ascii="Calibri" w:hAnsi="Calibri" w:cs="Calibri"/>
                <w:color w:val="002B45"/>
              </w:rPr>
            </w:pPr>
          </w:p>
        </w:tc>
        <w:tc>
          <w:tcPr>
            <w:tcW w:w="1163" w:type="dxa"/>
            <w:tcBorders>
              <w:top w:val="single" w:sz="4" w:space="0" w:color="999999"/>
            </w:tcBorders>
            <w:vAlign w:val="bottom"/>
          </w:tcPr>
          <w:p w:rsidR="00871692" w:rsidRPr="00745A36" w:rsidRDefault="00871692" w:rsidP="00FE7B3C">
            <w:pPr>
              <w:pStyle w:val="Tabletext"/>
              <w:tabs>
                <w:tab w:val="decimal" w:pos="907"/>
              </w:tabs>
              <w:ind w:left="85" w:right="113"/>
              <w:jc w:val="right"/>
              <w:rPr>
                <w:rFonts w:ascii="Calibri" w:hAnsi="Calibri" w:cs="Calibri"/>
                <w:color w:val="002B45"/>
              </w:rPr>
            </w:pPr>
          </w:p>
        </w:tc>
      </w:tr>
      <w:tr w:rsidR="00871692" w:rsidRPr="000A48FD" w:rsidTr="00772C45">
        <w:trPr>
          <w:trHeight w:val="255"/>
        </w:trPr>
        <w:tc>
          <w:tcPr>
            <w:tcW w:w="6521" w:type="dxa"/>
            <w:vAlign w:val="bottom"/>
          </w:tcPr>
          <w:p w:rsidR="00871692" w:rsidRPr="00402154" w:rsidRDefault="00871692" w:rsidP="009B4FC7">
            <w:pPr>
              <w:pStyle w:val="Tabletext0"/>
              <w:ind w:right="85"/>
              <w:rPr>
                <w:rFonts w:ascii="Calibri" w:hAnsi="Calibri" w:cs="Calibri"/>
                <w:color w:val="002B45"/>
              </w:rPr>
            </w:pPr>
            <w:r w:rsidRPr="00402154">
              <w:rPr>
                <w:rFonts w:ascii="Calibri" w:hAnsi="Calibri" w:cs="Calibri"/>
                <w:color w:val="002B45"/>
              </w:rPr>
              <w:t xml:space="preserve">Inventories </w:t>
            </w:r>
          </w:p>
        </w:tc>
        <w:tc>
          <w:tcPr>
            <w:tcW w:w="709" w:type="dxa"/>
            <w:vAlign w:val="bottom"/>
          </w:tcPr>
          <w:p w:rsidR="00871692" w:rsidRPr="00787286" w:rsidRDefault="00871692" w:rsidP="00FE7B3C">
            <w:pPr>
              <w:pStyle w:val="Tabletext"/>
              <w:tabs>
                <w:tab w:val="decimal" w:pos="907"/>
              </w:tabs>
              <w:ind w:right="113"/>
              <w:jc w:val="right"/>
              <w:rPr>
                <w:rFonts w:ascii="Calibri" w:hAnsi="Calibri" w:cs="Calibri"/>
                <w:color w:val="00305C"/>
              </w:rPr>
            </w:pPr>
          </w:p>
        </w:tc>
        <w:tc>
          <w:tcPr>
            <w:tcW w:w="1105" w:type="dxa"/>
            <w:shd w:val="clear" w:color="auto" w:fill="E6E6E6"/>
            <w:vAlign w:val="bottom"/>
          </w:tcPr>
          <w:p w:rsidR="00871692" w:rsidRPr="00745A36" w:rsidRDefault="00871692" w:rsidP="00FE7B3C">
            <w:pPr>
              <w:pStyle w:val="Tabletext"/>
              <w:tabs>
                <w:tab w:val="decimal" w:pos="907"/>
              </w:tabs>
              <w:ind w:left="85" w:right="113"/>
              <w:jc w:val="right"/>
              <w:rPr>
                <w:rFonts w:ascii="Calibri" w:hAnsi="Calibri" w:cs="Calibri"/>
                <w:color w:val="002B45"/>
              </w:rPr>
            </w:pPr>
            <w:r w:rsidRPr="00745A36">
              <w:rPr>
                <w:rFonts w:ascii="Calibri" w:hAnsi="Calibri" w:cs="Calibri"/>
                <w:color w:val="002B45"/>
              </w:rPr>
              <w:t xml:space="preserve"> 193.9 </w:t>
            </w:r>
          </w:p>
        </w:tc>
        <w:tc>
          <w:tcPr>
            <w:tcW w:w="1163" w:type="dxa"/>
            <w:vAlign w:val="bottom"/>
          </w:tcPr>
          <w:p w:rsidR="00871692" w:rsidRPr="00745A36" w:rsidRDefault="00871692" w:rsidP="00FE7B3C">
            <w:pPr>
              <w:pStyle w:val="Tabletext"/>
              <w:tabs>
                <w:tab w:val="decimal" w:pos="907"/>
              </w:tabs>
              <w:ind w:left="85" w:right="113"/>
              <w:jc w:val="right"/>
              <w:rPr>
                <w:rFonts w:ascii="Calibri" w:hAnsi="Calibri" w:cs="Calibri"/>
                <w:color w:val="002B45"/>
              </w:rPr>
            </w:pPr>
            <w:r w:rsidRPr="00745A36">
              <w:rPr>
                <w:rFonts w:ascii="Calibri" w:hAnsi="Calibri" w:cs="Calibri"/>
                <w:color w:val="002B45"/>
              </w:rPr>
              <w:t xml:space="preserve"> 163.7 </w:t>
            </w:r>
          </w:p>
        </w:tc>
      </w:tr>
      <w:tr w:rsidR="00871692" w:rsidRPr="000A48FD" w:rsidTr="00772C45">
        <w:trPr>
          <w:trHeight w:val="255"/>
        </w:trPr>
        <w:tc>
          <w:tcPr>
            <w:tcW w:w="6521" w:type="dxa"/>
            <w:vAlign w:val="bottom"/>
          </w:tcPr>
          <w:p w:rsidR="00871692" w:rsidRPr="00402154" w:rsidRDefault="00871692" w:rsidP="009B4FC7">
            <w:pPr>
              <w:pStyle w:val="Tabletext0"/>
              <w:ind w:right="85"/>
              <w:rPr>
                <w:rFonts w:ascii="Calibri" w:hAnsi="Calibri" w:cs="Calibri"/>
                <w:color w:val="002B45"/>
              </w:rPr>
            </w:pPr>
            <w:r w:rsidRPr="00402154">
              <w:rPr>
                <w:rFonts w:ascii="Calibri" w:hAnsi="Calibri" w:cs="Calibri"/>
                <w:color w:val="002B45"/>
              </w:rPr>
              <w:t xml:space="preserve">Trade receivables </w:t>
            </w:r>
          </w:p>
        </w:tc>
        <w:tc>
          <w:tcPr>
            <w:tcW w:w="709" w:type="dxa"/>
            <w:vAlign w:val="bottom"/>
          </w:tcPr>
          <w:p w:rsidR="00871692" w:rsidRPr="00787286" w:rsidRDefault="00871692" w:rsidP="00FE7B3C">
            <w:pPr>
              <w:pStyle w:val="Tabletext"/>
              <w:tabs>
                <w:tab w:val="decimal" w:pos="907"/>
              </w:tabs>
              <w:ind w:right="113"/>
              <w:jc w:val="right"/>
              <w:rPr>
                <w:rFonts w:ascii="Calibri" w:hAnsi="Calibri" w:cs="Calibri"/>
                <w:color w:val="00305C"/>
              </w:rPr>
            </w:pPr>
          </w:p>
        </w:tc>
        <w:tc>
          <w:tcPr>
            <w:tcW w:w="1105" w:type="dxa"/>
            <w:shd w:val="clear" w:color="auto" w:fill="E6E6E6"/>
            <w:vAlign w:val="bottom"/>
          </w:tcPr>
          <w:p w:rsidR="00871692" w:rsidRPr="00745A36" w:rsidRDefault="00871692" w:rsidP="00FE7B3C">
            <w:pPr>
              <w:pStyle w:val="Tabletext"/>
              <w:tabs>
                <w:tab w:val="decimal" w:pos="907"/>
              </w:tabs>
              <w:ind w:left="85" w:right="113"/>
              <w:jc w:val="right"/>
              <w:rPr>
                <w:rFonts w:ascii="Calibri" w:hAnsi="Calibri" w:cs="Calibri"/>
                <w:color w:val="002B45"/>
              </w:rPr>
            </w:pPr>
            <w:r w:rsidRPr="00745A36">
              <w:rPr>
                <w:rFonts w:ascii="Calibri" w:hAnsi="Calibri" w:cs="Calibri"/>
                <w:color w:val="002B45"/>
              </w:rPr>
              <w:t xml:space="preserve"> 308.7 </w:t>
            </w:r>
          </w:p>
        </w:tc>
        <w:tc>
          <w:tcPr>
            <w:tcW w:w="1163" w:type="dxa"/>
            <w:vAlign w:val="bottom"/>
          </w:tcPr>
          <w:p w:rsidR="00871692" w:rsidRPr="00745A36" w:rsidRDefault="00871692" w:rsidP="00FE7B3C">
            <w:pPr>
              <w:pStyle w:val="Tabletext"/>
              <w:tabs>
                <w:tab w:val="decimal" w:pos="907"/>
              </w:tabs>
              <w:ind w:left="85" w:right="113"/>
              <w:jc w:val="right"/>
              <w:rPr>
                <w:rFonts w:ascii="Calibri" w:hAnsi="Calibri" w:cs="Calibri"/>
                <w:color w:val="002B45"/>
              </w:rPr>
            </w:pPr>
            <w:r w:rsidRPr="00745A36">
              <w:rPr>
                <w:rFonts w:ascii="Calibri" w:hAnsi="Calibri" w:cs="Calibri"/>
                <w:color w:val="002B45"/>
              </w:rPr>
              <w:t xml:space="preserve"> 238.7 </w:t>
            </w:r>
          </w:p>
        </w:tc>
      </w:tr>
      <w:tr w:rsidR="00871692" w:rsidRPr="000A48FD" w:rsidTr="00772C45">
        <w:trPr>
          <w:trHeight w:val="255"/>
        </w:trPr>
        <w:tc>
          <w:tcPr>
            <w:tcW w:w="6521" w:type="dxa"/>
            <w:vAlign w:val="bottom"/>
          </w:tcPr>
          <w:p w:rsidR="00871692" w:rsidRPr="00402154" w:rsidRDefault="00871692" w:rsidP="009B4FC7">
            <w:pPr>
              <w:pStyle w:val="Tabletext0"/>
              <w:ind w:right="85"/>
              <w:rPr>
                <w:rFonts w:ascii="Calibri" w:hAnsi="Calibri" w:cs="Calibri"/>
                <w:color w:val="002B45"/>
              </w:rPr>
            </w:pPr>
            <w:r w:rsidRPr="00402154">
              <w:rPr>
                <w:rFonts w:ascii="Calibri" w:hAnsi="Calibri" w:cs="Calibri"/>
                <w:color w:val="002B45"/>
              </w:rPr>
              <w:t>Other current assets</w:t>
            </w:r>
          </w:p>
        </w:tc>
        <w:tc>
          <w:tcPr>
            <w:tcW w:w="709" w:type="dxa"/>
            <w:vAlign w:val="bottom"/>
          </w:tcPr>
          <w:p w:rsidR="00871692" w:rsidRPr="00787286" w:rsidRDefault="00F72249" w:rsidP="00FE7B3C">
            <w:pPr>
              <w:pStyle w:val="Tabletext"/>
              <w:tabs>
                <w:tab w:val="decimal" w:pos="907"/>
              </w:tabs>
              <w:ind w:right="113"/>
              <w:jc w:val="right"/>
              <w:rPr>
                <w:rFonts w:ascii="Calibri" w:hAnsi="Calibri" w:cs="Calibri"/>
                <w:color w:val="00305C"/>
              </w:rPr>
            </w:pPr>
            <w:r w:rsidRPr="00787286">
              <w:rPr>
                <w:rFonts w:ascii="Calibri" w:hAnsi="Calibri" w:cs="Calibri"/>
                <w:color w:val="00305C"/>
              </w:rPr>
              <w:t>11</w:t>
            </w:r>
          </w:p>
        </w:tc>
        <w:tc>
          <w:tcPr>
            <w:tcW w:w="1105" w:type="dxa"/>
            <w:shd w:val="clear" w:color="auto" w:fill="E6E6E6"/>
            <w:vAlign w:val="bottom"/>
          </w:tcPr>
          <w:p w:rsidR="00871692" w:rsidRPr="00745A36" w:rsidRDefault="00871692" w:rsidP="00FE7B3C">
            <w:pPr>
              <w:pStyle w:val="Tabletext"/>
              <w:tabs>
                <w:tab w:val="decimal" w:pos="907"/>
              </w:tabs>
              <w:ind w:left="85" w:right="113"/>
              <w:jc w:val="right"/>
              <w:rPr>
                <w:rFonts w:ascii="Calibri" w:hAnsi="Calibri" w:cs="Calibri"/>
                <w:color w:val="002B45"/>
              </w:rPr>
            </w:pPr>
            <w:r w:rsidRPr="00745A36">
              <w:rPr>
                <w:rFonts w:ascii="Calibri" w:hAnsi="Calibri" w:cs="Calibri"/>
                <w:color w:val="002B45"/>
              </w:rPr>
              <w:t xml:space="preserve"> 944.4 </w:t>
            </w:r>
          </w:p>
        </w:tc>
        <w:tc>
          <w:tcPr>
            <w:tcW w:w="1163" w:type="dxa"/>
            <w:vAlign w:val="bottom"/>
          </w:tcPr>
          <w:p w:rsidR="00871692" w:rsidRPr="00745A36" w:rsidRDefault="00871692" w:rsidP="00FE7B3C">
            <w:pPr>
              <w:pStyle w:val="Tabletext"/>
              <w:tabs>
                <w:tab w:val="decimal" w:pos="907"/>
              </w:tabs>
              <w:ind w:left="85" w:right="113"/>
              <w:jc w:val="right"/>
              <w:rPr>
                <w:rFonts w:ascii="Calibri" w:hAnsi="Calibri" w:cs="Calibri"/>
                <w:color w:val="002B45"/>
              </w:rPr>
            </w:pPr>
            <w:r w:rsidRPr="00745A36">
              <w:rPr>
                <w:rFonts w:ascii="Calibri" w:hAnsi="Calibri" w:cs="Calibri"/>
                <w:color w:val="002B45"/>
              </w:rPr>
              <w:t xml:space="preserve"> 416.6 </w:t>
            </w:r>
          </w:p>
        </w:tc>
      </w:tr>
      <w:tr w:rsidR="00871692" w:rsidRPr="000A48FD" w:rsidTr="00772C45">
        <w:trPr>
          <w:trHeight w:val="255"/>
        </w:trPr>
        <w:tc>
          <w:tcPr>
            <w:tcW w:w="6521" w:type="dxa"/>
            <w:vAlign w:val="bottom"/>
          </w:tcPr>
          <w:p w:rsidR="00871692" w:rsidRPr="00402154" w:rsidRDefault="00871692" w:rsidP="009B4FC7">
            <w:pPr>
              <w:pStyle w:val="Tabletext0"/>
              <w:ind w:right="85"/>
              <w:rPr>
                <w:rFonts w:ascii="Calibri" w:hAnsi="Calibri" w:cs="Calibri"/>
                <w:color w:val="002B45"/>
              </w:rPr>
            </w:pPr>
            <w:r w:rsidRPr="00402154">
              <w:rPr>
                <w:rFonts w:ascii="Calibri" w:hAnsi="Calibri" w:cs="Calibri"/>
                <w:color w:val="002B45"/>
              </w:rPr>
              <w:t>Current tax assets</w:t>
            </w:r>
          </w:p>
        </w:tc>
        <w:tc>
          <w:tcPr>
            <w:tcW w:w="709" w:type="dxa"/>
            <w:vAlign w:val="bottom"/>
          </w:tcPr>
          <w:p w:rsidR="00871692" w:rsidRPr="00787286" w:rsidRDefault="00871692" w:rsidP="00FE7B3C">
            <w:pPr>
              <w:pStyle w:val="Tabletext"/>
              <w:tabs>
                <w:tab w:val="decimal" w:pos="907"/>
              </w:tabs>
              <w:ind w:right="113"/>
              <w:jc w:val="right"/>
              <w:rPr>
                <w:rFonts w:ascii="Calibri" w:hAnsi="Calibri" w:cs="Calibri"/>
                <w:color w:val="00305C"/>
              </w:rPr>
            </w:pPr>
          </w:p>
        </w:tc>
        <w:tc>
          <w:tcPr>
            <w:tcW w:w="1105" w:type="dxa"/>
            <w:shd w:val="clear" w:color="auto" w:fill="E6E6E6"/>
            <w:vAlign w:val="bottom"/>
          </w:tcPr>
          <w:p w:rsidR="00871692" w:rsidRPr="00745A36" w:rsidRDefault="00871692" w:rsidP="001808A9">
            <w:pPr>
              <w:pStyle w:val="Tabletext"/>
              <w:tabs>
                <w:tab w:val="decimal" w:pos="907"/>
              </w:tabs>
              <w:ind w:left="85" w:right="113"/>
              <w:jc w:val="right"/>
              <w:rPr>
                <w:rFonts w:ascii="Calibri" w:hAnsi="Calibri" w:cs="Calibri"/>
                <w:color w:val="002B45"/>
              </w:rPr>
            </w:pPr>
            <w:r w:rsidRPr="00745A36">
              <w:rPr>
                <w:rFonts w:ascii="Calibri" w:hAnsi="Calibri" w:cs="Calibri"/>
                <w:color w:val="002B45"/>
              </w:rPr>
              <w:t xml:space="preserve"> 226.</w:t>
            </w:r>
            <w:r w:rsidR="001808A9">
              <w:rPr>
                <w:rFonts w:ascii="Calibri" w:hAnsi="Calibri" w:cs="Calibri"/>
                <w:color w:val="002B45"/>
              </w:rPr>
              <w:t>2</w:t>
            </w:r>
            <w:r w:rsidRPr="00745A36">
              <w:rPr>
                <w:rFonts w:ascii="Calibri" w:hAnsi="Calibri" w:cs="Calibri"/>
                <w:color w:val="002B45"/>
              </w:rPr>
              <w:t xml:space="preserve"> </w:t>
            </w:r>
          </w:p>
        </w:tc>
        <w:tc>
          <w:tcPr>
            <w:tcW w:w="1163" w:type="dxa"/>
            <w:vAlign w:val="bottom"/>
          </w:tcPr>
          <w:p w:rsidR="00871692" w:rsidRPr="00745A36" w:rsidRDefault="00871692" w:rsidP="00FE7B3C">
            <w:pPr>
              <w:pStyle w:val="Tabletext"/>
              <w:tabs>
                <w:tab w:val="decimal" w:pos="907"/>
              </w:tabs>
              <w:ind w:left="85" w:right="113"/>
              <w:jc w:val="right"/>
              <w:rPr>
                <w:rFonts w:ascii="Calibri" w:hAnsi="Calibri" w:cs="Calibri"/>
                <w:color w:val="002B45"/>
              </w:rPr>
            </w:pPr>
            <w:r w:rsidRPr="00745A36">
              <w:rPr>
                <w:rFonts w:ascii="Calibri" w:hAnsi="Calibri" w:cs="Calibri"/>
                <w:color w:val="002B45"/>
              </w:rPr>
              <w:t xml:space="preserve"> 28.6 </w:t>
            </w:r>
          </w:p>
        </w:tc>
      </w:tr>
      <w:tr w:rsidR="00871692" w:rsidRPr="000A48FD" w:rsidTr="00772C45">
        <w:trPr>
          <w:trHeight w:val="255"/>
        </w:trPr>
        <w:tc>
          <w:tcPr>
            <w:tcW w:w="6521" w:type="dxa"/>
            <w:vAlign w:val="bottom"/>
          </w:tcPr>
          <w:p w:rsidR="00871692" w:rsidRPr="00402154" w:rsidRDefault="00871692" w:rsidP="009B4FC7">
            <w:pPr>
              <w:pStyle w:val="Tabletext0"/>
              <w:ind w:right="85"/>
              <w:rPr>
                <w:rFonts w:ascii="Calibri" w:hAnsi="Calibri" w:cs="Calibri"/>
                <w:color w:val="002B45"/>
              </w:rPr>
            </w:pPr>
            <w:r w:rsidRPr="00402154">
              <w:rPr>
                <w:rFonts w:ascii="Calibri" w:hAnsi="Calibri" w:cs="Calibri"/>
                <w:color w:val="002B45"/>
              </w:rPr>
              <w:t xml:space="preserve">Cash and cash equivalents </w:t>
            </w:r>
          </w:p>
        </w:tc>
        <w:tc>
          <w:tcPr>
            <w:tcW w:w="709" w:type="dxa"/>
            <w:vAlign w:val="bottom"/>
          </w:tcPr>
          <w:p w:rsidR="00871692" w:rsidRPr="00787286" w:rsidRDefault="00871692" w:rsidP="00FE7B3C">
            <w:pPr>
              <w:pStyle w:val="Tabletext"/>
              <w:tabs>
                <w:tab w:val="decimal" w:pos="907"/>
              </w:tabs>
              <w:ind w:right="113"/>
              <w:jc w:val="right"/>
              <w:rPr>
                <w:rFonts w:ascii="Calibri" w:hAnsi="Calibri" w:cs="Calibri"/>
                <w:color w:val="00305C"/>
              </w:rPr>
            </w:pPr>
          </w:p>
        </w:tc>
        <w:tc>
          <w:tcPr>
            <w:tcW w:w="1105" w:type="dxa"/>
            <w:shd w:val="clear" w:color="auto" w:fill="E6E6E6"/>
            <w:vAlign w:val="bottom"/>
          </w:tcPr>
          <w:p w:rsidR="00871692" w:rsidRPr="00745A36" w:rsidRDefault="00871692" w:rsidP="00FE7B3C">
            <w:pPr>
              <w:pStyle w:val="Tabletext"/>
              <w:tabs>
                <w:tab w:val="decimal" w:pos="907"/>
              </w:tabs>
              <w:ind w:left="85" w:right="113"/>
              <w:jc w:val="right"/>
              <w:rPr>
                <w:rFonts w:ascii="Calibri" w:hAnsi="Calibri" w:cs="Calibri"/>
                <w:color w:val="002B45"/>
              </w:rPr>
            </w:pPr>
            <w:r w:rsidRPr="00745A36">
              <w:rPr>
                <w:rFonts w:ascii="Calibri" w:hAnsi="Calibri" w:cs="Calibri"/>
                <w:color w:val="002B45"/>
              </w:rPr>
              <w:t xml:space="preserve"> 352.9 </w:t>
            </w:r>
          </w:p>
        </w:tc>
        <w:tc>
          <w:tcPr>
            <w:tcW w:w="1163" w:type="dxa"/>
            <w:vAlign w:val="bottom"/>
          </w:tcPr>
          <w:p w:rsidR="00871692" w:rsidRPr="00745A36" w:rsidRDefault="00871692" w:rsidP="00FE7B3C">
            <w:pPr>
              <w:pStyle w:val="Tabletext"/>
              <w:tabs>
                <w:tab w:val="decimal" w:pos="907"/>
              </w:tabs>
              <w:ind w:left="85" w:right="113"/>
              <w:jc w:val="right"/>
              <w:rPr>
                <w:rFonts w:ascii="Calibri" w:hAnsi="Calibri" w:cs="Calibri"/>
                <w:color w:val="002B45"/>
              </w:rPr>
            </w:pPr>
            <w:r w:rsidRPr="00745A36">
              <w:rPr>
                <w:rFonts w:ascii="Calibri" w:hAnsi="Calibri" w:cs="Calibri"/>
                <w:color w:val="002B45"/>
              </w:rPr>
              <w:t xml:space="preserve"> 330.2 </w:t>
            </w:r>
          </w:p>
        </w:tc>
      </w:tr>
      <w:tr w:rsidR="00871692" w:rsidRPr="000A48FD" w:rsidTr="00772C45">
        <w:trPr>
          <w:trHeight w:val="255"/>
        </w:trPr>
        <w:tc>
          <w:tcPr>
            <w:tcW w:w="6521" w:type="dxa"/>
            <w:vAlign w:val="bottom"/>
          </w:tcPr>
          <w:p w:rsidR="00871692" w:rsidRPr="00402154" w:rsidRDefault="00871692" w:rsidP="009B4FC7">
            <w:pPr>
              <w:pStyle w:val="Tabletext0"/>
              <w:ind w:right="85"/>
              <w:rPr>
                <w:rFonts w:ascii="Calibri" w:hAnsi="Calibri" w:cs="Calibri"/>
                <w:color w:val="002B45"/>
              </w:rPr>
            </w:pPr>
            <w:r>
              <w:rPr>
                <w:rFonts w:ascii="Calibri" w:hAnsi="Calibri" w:cs="Calibri"/>
                <w:color w:val="002B45"/>
              </w:rPr>
              <w:t>Assets classified as held for sale</w:t>
            </w:r>
          </w:p>
        </w:tc>
        <w:tc>
          <w:tcPr>
            <w:tcW w:w="709" w:type="dxa"/>
            <w:vAlign w:val="bottom"/>
          </w:tcPr>
          <w:p w:rsidR="00871692" w:rsidRPr="00787286" w:rsidRDefault="00871692" w:rsidP="00FE7B3C">
            <w:pPr>
              <w:pStyle w:val="Tabletext"/>
              <w:tabs>
                <w:tab w:val="decimal" w:pos="907"/>
              </w:tabs>
              <w:ind w:right="113"/>
              <w:jc w:val="right"/>
              <w:rPr>
                <w:rFonts w:ascii="Calibri" w:hAnsi="Calibri" w:cs="Calibri"/>
                <w:color w:val="00305C"/>
              </w:rPr>
            </w:pPr>
          </w:p>
        </w:tc>
        <w:tc>
          <w:tcPr>
            <w:tcW w:w="1105" w:type="dxa"/>
            <w:shd w:val="clear" w:color="auto" w:fill="E6E6E6"/>
            <w:vAlign w:val="bottom"/>
          </w:tcPr>
          <w:p w:rsidR="00871692" w:rsidRPr="00745A36" w:rsidRDefault="00871692" w:rsidP="00FE7B3C">
            <w:pPr>
              <w:pStyle w:val="Tabletext"/>
              <w:tabs>
                <w:tab w:val="decimal" w:pos="907"/>
              </w:tabs>
              <w:ind w:left="85" w:right="113"/>
              <w:jc w:val="right"/>
              <w:rPr>
                <w:rFonts w:ascii="Calibri" w:hAnsi="Calibri" w:cs="Calibri"/>
                <w:color w:val="002B45"/>
              </w:rPr>
            </w:pPr>
            <w:r w:rsidRPr="00745A36">
              <w:rPr>
                <w:rFonts w:ascii="Calibri" w:hAnsi="Calibri" w:cs="Calibri"/>
                <w:color w:val="002B45"/>
              </w:rPr>
              <w:t xml:space="preserve"> 43.2 </w:t>
            </w:r>
          </w:p>
        </w:tc>
        <w:tc>
          <w:tcPr>
            <w:tcW w:w="1163" w:type="dxa"/>
            <w:vAlign w:val="bottom"/>
          </w:tcPr>
          <w:p w:rsidR="00871692" w:rsidRPr="00745A36" w:rsidRDefault="00871692" w:rsidP="00FE7B3C">
            <w:pPr>
              <w:pStyle w:val="Tabletext"/>
              <w:tabs>
                <w:tab w:val="decimal" w:pos="907"/>
              </w:tabs>
              <w:ind w:left="85" w:right="113"/>
              <w:jc w:val="right"/>
              <w:rPr>
                <w:rFonts w:ascii="Calibri" w:hAnsi="Calibri" w:cs="Calibri"/>
                <w:color w:val="002B45"/>
              </w:rPr>
            </w:pPr>
            <w:r w:rsidRPr="00745A36">
              <w:rPr>
                <w:rFonts w:ascii="Calibri" w:hAnsi="Calibri" w:cs="Calibri"/>
                <w:color w:val="002B45"/>
              </w:rPr>
              <w:t xml:space="preserve"> 116.4 </w:t>
            </w:r>
          </w:p>
        </w:tc>
      </w:tr>
      <w:tr w:rsidR="00871692" w:rsidTr="00772C45">
        <w:trPr>
          <w:trHeight w:val="255"/>
        </w:trPr>
        <w:tc>
          <w:tcPr>
            <w:tcW w:w="6521" w:type="dxa"/>
            <w:tcBorders>
              <w:top w:val="single" w:sz="4" w:space="0" w:color="999999"/>
              <w:bottom w:val="single" w:sz="4" w:space="0" w:color="999999"/>
            </w:tcBorders>
            <w:shd w:val="clear" w:color="auto" w:fill="auto"/>
            <w:vAlign w:val="bottom"/>
          </w:tcPr>
          <w:p w:rsidR="00871692" w:rsidRPr="00402154" w:rsidRDefault="00871692" w:rsidP="009B4FC7">
            <w:pPr>
              <w:pStyle w:val="Tabletext0"/>
              <w:ind w:right="85"/>
              <w:rPr>
                <w:rFonts w:ascii="Calibri" w:hAnsi="Calibri" w:cs="Calibri"/>
                <w:color w:val="002B45"/>
              </w:rPr>
            </w:pPr>
          </w:p>
        </w:tc>
        <w:tc>
          <w:tcPr>
            <w:tcW w:w="709" w:type="dxa"/>
            <w:tcBorders>
              <w:top w:val="single" w:sz="4" w:space="0" w:color="999999"/>
              <w:bottom w:val="single" w:sz="4" w:space="0" w:color="999999"/>
            </w:tcBorders>
            <w:shd w:val="clear" w:color="auto" w:fill="auto"/>
            <w:vAlign w:val="bottom"/>
          </w:tcPr>
          <w:p w:rsidR="00871692" w:rsidRPr="00787286" w:rsidRDefault="00871692" w:rsidP="00FE7B3C">
            <w:pPr>
              <w:pStyle w:val="Tabletext"/>
              <w:tabs>
                <w:tab w:val="decimal" w:pos="907"/>
              </w:tabs>
              <w:ind w:right="113"/>
              <w:jc w:val="right"/>
              <w:rPr>
                <w:rFonts w:ascii="Calibri" w:hAnsi="Calibri" w:cs="Calibri"/>
                <w:color w:val="00305C"/>
              </w:rPr>
            </w:pPr>
          </w:p>
        </w:tc>
        <w:tc>
          <w:tcPr>
            <w:tcW w:w="1105" w:type="dxa"/>
            <w:tcBorders>
              <w:top w:val="single" w:sz="4" w:space="0" w:color="999999"/>
              <w:bottom w:val="single" w:sz="4" w:space="0" w:color="999999"/>
            </w:tcBorders>
            <w:shd w:val="clear" w:color="auto" w:fill="E6E6E6"/>
            <w:vAlign w:val="bottom"/>
          </w:tcPr>
          <w:p w:rsidR="00871692" w:rsidRPr="00745A36" w:rsidRDefault="00871692" w:rsidP="001808A9">
            <w:pPr>
              <w:pStyle w:val="Tabletext"/>
              <w:tabs>
                <w:tab w:val="decimal" w:pos="907"/>
              </w:tabs>
              <w:ind w:left="85" w:right="113"/>
              <w:jc w:val="right"/>
              <w:rPr>
                <w:rFonts w:ascii="Calibri" w:hAnsi="Calibri" w:cs="Calibri"/>
                <w:color w:val="002B45"/>
              </w:rPr>
            </w:pPr>
            <w:r w:rsidRPr="00745A36">
              <w:rPr>
                <w:rFonts w:ascii="Calibri" w:hAnsi="Calibri" w:cs="Calibri"/>
                <w:color w:val="002B45"/>
              </w:rPr>
              <w:t xml:space="preserve"> 2,069.</w:t>
            </w:r>
            <w:r w:rsidR="001808A9">
              <w:rPr>
                <w:rFonts w:ascii="Calibri" w:hAnsi="Calibri" w:cs="Calibri"/>
                <w:color w:val="002B45"/>
              </w:rPr>
              <w:t>3</w:t>
            </w:r>
            <w:r w:rsidRPr="00745A36">
              <w:rPr>
                <w:rFonts w:ascii="Calibri" w:hAnsi="Calibri" w:cs="Calibri"/>
                <w:color w:val="002B45"/>
              </w:rPr>
              <w:t xml:space="preserve"> </w:t>
            </w:r>
          </w:p>
        </w:tc>
        <w:tc>
          <w:tcPr>
            <w:tcW w:w="1163" w:type="dxa"/>
            <w:tcBorders>
              <w:top w:val="single" w:sz="4" w:space="0" w:color="999999"/>
              <w:bottom w:val="single" w:sz="4" w:space="0" w:color="999999"/>
            </w:tcBorders>
            <w:shd w:val="clear" w:color="auto" w:fill="auto"/>
            <w:vAlign w:val="bottom"/>
          </w:tcPr>
          <w:p w:rsidR="00871692" w:rsidRPr="00745A36" w:rsidRDefault="00871692" w:rsidP="00FE7B3C">
            <w:pPr>
              <w:pStyle w:val="Tabletext"/>
              <w:tabs>
                <w:tab w:val="decimal" w:pos="907"/>
              </w:tabs>
              <w:ind w:left="85" w:right="113"/>
              <w:jc w:val="right"/>
              <w:rPr>
                <w:rFonts w:ascii="Calibri" w:hAnsi="Calibri" w:cs="Calibri"/>
                <w:color w:val="002B45"/>
              </w:rPr>
            </w:pPr>
            <w:r w:rsidRPr="00745A36">
              <w:rPr>
                <w:rFonts w:ascii="Calibri" w:hAnsi="Calibri" w:cs="Calibri"/>
                <w:color w:val="002B45"/>
              </w:rPr>
              <w:t xml:space="preserve"> 1,294.2 </w:t>
            </w:r>
          </w:p>
        </w:tc>
      </w:tr>
      <w:tr w:rsidR="00871692" w:rsidTr="00772C45">
        <w:trPr>
          <w:trHeight w:val="255"/>
        </w:trPr>
        <w:tc>
          <w:tcPr>
            <w:tcW w:w="6521" w:type="dxa"/>
            <w:tcBorders>
              <w:top w:val="single" w:sz="4" w:space="0" w:color="999999"/>
              <w:bottom w:val="single" w:sz="4" w:space="0" w:color="999999"/>
            </w:tcBorders>
            <w:shd w:val="clear" w:color="auto" w:fill="auto"/>
            <w:vAlign w:val="bottom"/>
          </w:tcPr>
          <w:p w:rsidR="00871692" w:rsidRPr="00402154" w:rsidRDefault="00871692" w:rsidP="009B4FC7">
            <w:pPr>
              <w:pStyle w:val="Tabletext0"/>
              <w:ind w:right="85"/>
              <w:rPr>
                <w:rFonts w:ascii="Calibri" w:hAnsi="Calibri" w:cs="Calibri"/>
                <w:color w:val="002B45"/>
              </w:rPr>
            </w:pPr>
            <w:r w:rsidRPr="00402154">
              <w:rPr>
                <w:rFonts w:ascii="Calibri" w:hAnsi="Calibri" w:cs="Calibri"/>
                <w:color w:val="002B45"/>
              </w:rPr>
              <w:t xml:space="preserve">Total assets </w:t>
            </w:r>
          </w:p>
        </w:tc>
        <w:tc>
          <w:tcPr>
            <w:tcW w:w="709" w:type="dxa"/>
            <w:tcBorders>
              <w:top w:val="single" w:sz="4" w:space="0" w:color="999999"/>
              <w:bottom w:val="single" w:sz="4" w:space="0" w:color="999999"/>
            </w:tcBorders>
            <w:shd w:val="clear" w:color="auto" w:fill="auto"/>
            <w:vAlign w:val="bottom"/>
          </w:tcPr>
          <w:p w:rsidR="00871692" w:rsidRPr="00787286" w:rsidRDefault="00871692" w:rsidP="00FE7B3C">
            <w:pPr>
              <w:pStyle w:val="Tabletext"/>
              <w:tabs>
                <w:tab w:val="decimal" w:pos="907"/>
              </w:tabs>
              <w:ind w:right="113"/>
              <w:jc w:val="right"/>
              <w:rPr>
                <w:rFonts w:ascii="Calibri" w:hAnsi="Calibri" w:cs="Calibri"/>
                <w:color w:val="00305C"/>
              </w:rPr>
            </w:pPr>
          </w:p>
        </w:tc>
        <w:tc>
          <w:tcPr>
            <w:tcW w:w="1105" w:type="dxa"/>
            <w:tcBorders>
              <w:top w:val="single" w:sz="4" w:space="0" w:color="999999"/>
              <w:bottom w:val="single" w:sz="4" w:space="0" w:color="999999"/>
            </w:tcBorders>
            <w:shd w:val="clear" w:color="auto" w:fill="E6E6E6"/>
            <w:vAlign w:val="bottom"/>
          </w:tcPr>
          <w:p w:rsidR="00871692" w:rsidRPr="00745A36" w:rsidRDefault="00871692" w:rsidP="007E10D2">
            <w:pPr>
              <w:pStyle w:val="Tabletext"/>
              <w:tabs>
                <w:tab w:val="decimal" w:pos="907"/>
              </w:tabs>
              <w:ind w:left="85" w:right="113"/>
              <w:jc w:val="right"/>
              <w:rPr>
                <w:rFonts w:ascii="Calibri" w:hAnsi="Calibri" w:cs="Calibri"/>
                <w:color w:val="002B45"/>
              </w:rPr>
            </w:pPr>
            <w:r w:rsidRPr="00745A36">
              <w:rPr>
                <w:rFonts w:ascii="Calibri" w:hAnsi="Calibri" w:cs="Calibri"/>
                <w:color w:val="002B45"/>
              </w:rPr>
              <w:t xml:space="preserve"> 11,</w:t>
            </w:r>
            <w:r w:rsidR="007E10D2">
              <w:rPr>
                <w:rFonts w:ascii="Calibri" w:hAnsi="Calibri" w:cs="Calibri"/>
                <w:color w:val="002B45"/>
              </w:rPr>
              <w:t>508.6</w:t>
            </w:r>
            <w:r w:rsidRPr="00745A36">
              <w:rPr>
                <w:rFonts w:ascii="Calibri" w:hAnsi="Calibri" w:cs="Calibri"/>
                <w:color w:val="002B45"/>
              </w:rPr>
              <w:t xml:space="preserve"> </w:t>
            </w:r>
          </w:p>
        </w:tc>
        <w:tc>
          <w:tcPr>
            <w:tcW w:w="1163" w:type="dxa"/>
            <w:tcBorders>
              <w:top w:val="single" w:sz="4" w:space="0" w:color="999999"/>
              <w:bottom w:val="single" w:sz="4" w:space="0" w:color="999999"/>
            </w:tcBorders>
            <w:shd w:val="clear" w:color="auto" w:fill="auto"/>
            <w:vAlign w:val="bottom"/>
          </w:tcPr>
          <w:p w:rsidR="00871692" w:rsidRPr="00745A36" w:rsidRDefault="00871692" w:rsidP="00FE7B3C">
            <w:pPr>
              <w:pStyle w:val="Tabletext"/>
              <w:tabs>
                <w:tab w:val="decimal" w:pos="907"/>
              </w:tabs>
              <w:ind w:left="85" w:right="113"/>
              <w:jc w:val="right"/>
              <w:rPr>
                <w:rFonts w:ascii="Calibri" w:hAnsi="Calibri" w:cs="Calibri"/>
                <w:color w:val="002B45"/>
              </w:rPr>
            </w:pPr>
            <w:r w:rsidRPr="00745A36">
              <w:rPr>
                <w:rFonts w:ascii="Calibri" w:hAnsi="Calibri" w:cs="Calibri"/>
                <w:color w:val="002B45"/>
              </w:rPr>
              <w:t xml:space="preserve"> 9,381.8 </w:t>
            </w:r>
          </w:p>
        </w:tc>
      </w:tr>
      <w:tr w:rsidR="00871692" w:rsidRPr="000A48FD" w:rsidTr="00772C45">
        <w:trPr>
          <w:trHeight w:val="255"/>
        </w:trPr>
        <w:tc>
          <w:tcPr>
            <w:tcW w:w="6521" w:type="dxa"/>
            <w:tcBorders>
              <w:top w:val="single" w:sz="4" w:space="0" w:color="999999"/>
            </w:tcBorders>
            <w:vAlign w:val="bottom"/>
          </w:tcPr>
          <w:p w:rsidR="00871692" w:rsidRPr="00402154" w:rsidRDefault="00871692" w:rsidP="009B4FC7">
            <w:pPr>
              <w:pStyle w:val="Tabletext0"/>
              <w:ind w:right="85"/>
              <w:rPr>
                <w:rFonts w:ascii="Calibri" w:hAnsi="Calibri" w:cs="Calibri"/>
                <w:color w:val="002B45"/>
              </w:rPr>
            </w:pPr>
            <w:r w:rsidRPr="00402154">
              <w:rPr>
                <w:rFonts w:ascii="Calibri" w:hAnsi="Calibri" w:cs="Calibri"/>
                <w:color w:val="002B45"/>
              </w:rPr>
              <w:t xml:space="preserve">LIABILITIES </w:t>
            </w:r>
          </w:p>
        </w:tc>
        <w:tc>
          <w:tcPr>
            <w:tcW w:w="709" w:type="dxa"/>
            <w:tcBorders>
              <w:top w:val="single" w:sz="4" w:space="0" w:color="999999"/>
            </w:tcBorders>
            <w:vAlign w:val="bottom"/>
          </w:tcPr>
          <w:p w:rsidR="00871692" w:rsidRPr="00787286" w:rsidRDefault="00871692" w:rsidP="00FE7B3C">
            <w:pPr>
              <w:pStyle w:val="Tabletext"/>
              <w:tabs>
                <w:tab w:val="decimal" w:pos="907"/>
              </w:tabs>
              <w:ind w:right="113"/>
              <w:jc w:val="right"/>
              <w:rPr>
                <w:rFonts w:ascii="Calibri" w:hAnsi="Calibri" w:cs="Calibri"/>
                <w:color w:val="00305C"/>
              </w:rPr>
            </w:pPr>
          </w:p>
        </w:tc>
        <w:tc>
          <w:tcPr>
            <w:tcW w:w="1105" w:type="dxa"/>
            <w:tcBorders>
              <w:top w:val="single" w:sz="4" w:space="0" w:color="999999"/>
            </w:tcBorders>
            <w:shd w:val="clear" w:color="auto" w:fill="E6E6E6"/>
            <w:vAlign w:val="bottom"/>
          </w:tcPr>
          <w:p w:rsidR="00871692" w:rsidRPr="00745A36" w:rsidRDefault="00871692" w:rsidP="00FE7B3C">
            <w:pPr>
              <w:pStyle w:val="Tabletext"/>
              <w:tabs>
                <w:tab w:val="decimal" w:pos="907"/>
              </w:tabs>
              <w:ind w:left="85" w:right="113"/>
              <w:jc w:val="right"/>
              <w:rPr>
                <w:rFonts w:ascii="Calibri" w:hAnsi="Calibri" w:cs="Calibri"/>
                <w:color w:val="002B45"/>
              </w:rPr>
            </w:pPr>
          </w:p>
        </w:tc>
        <w:tc>
          <w:tcPr>
            <w:tcW w:w="1163" w:type="dxa"/>
            <w:tcBorders>
              <w:top w:val="single" w:sz="4" w:space="0" w:color="999999"/>
            </w:tcBorders>
            <w:vAlign w:val="bottom"/>
          </w:tcPr>
          <w:p w:rsidR="00871692" w:rsidRPr="00745A36" w:rsidRDefault="00871692" w:rsidP="00FE7B3C">
            <w:pPr>
              <w:pStyle w:val="Tabletext"/>
              <w:tabs>
                <w:tab w:val="decimal" w:pos="907"/>
              </w:tabs>
              <w:ind w:left="85" w:right="113"/>
              <w:jc w:val="right"/>
              <w:rPr>
                <w:rFonts w:ascii="Calibri" w:hAnsi="Calibri" w:cs="Calibri"/>
                <w:color w:val="002B45"/>
              </w:rPr>
            </w:pPr>
          </w:p>
        </w:tc>
      </w:tr>
      <w:tr w:rsidR="00871692" w:rsidRPr="000A48FD" w:rsidTr="00772C45">
        <w:trPr>
          <w:trHeight w:val="255"/>
        </w:trPr>
        <w:tc>
          <w:tcPr>
            <w:tcW w:w="6521" w:type="dxa"/>
            <w:vAlign w:val="bottom"/>
          </w:tcPr>
          <w:p w:rsidR="00871692" w:rsidRPr="00402154" w:rsidRDefault="00871692" w:rsidP="009B4FC7">
            <w:pPr>
              <w:pStyle w:val="Tabletext0"/>
              <w:ind w:right="85"/>
              <w:rPr>
                <w:rFonts w:ascii="Calibri" w:hAnsi="Calibri" w:cs="Calibri"/>
                <w:color w:val="002B45"/>
              </w:rPr>
            </w:pPr>
            <w:r w:rsidRPr="00402154">
              <w:rPr>
                <w:rFonts w:ascii="Calibri" w:hAnsi="Calibri" w:cs="Calibri"/>
                <w:color w:val="002B45"/>
              </w:rPr>
              <w:t xml:space="preserve">Current liabilities </w:t>
            </w:r>
          </w:p>
        </w:tc>
        <w:tc>
          <w:tcPr>
            <w:tcW w:w="709" w:type="dxa"/>
            <w:vAlign w:val="bottom"/>
          </w:tcPr>
          <w:p w:rsidR="00871692" w:rsidRPr="00787286" w:rsidRDefault="00871692" w:rsidP="00FE7B3C">
            <w:pPr>
              <w:pStyle w:val="Tabletext"/>
              <w:tabs>
                <w:tab w:val="decimal" w:pos="907"/>
              </w:tabs>
              <w:ind w:right="113"/>
              <w:jc w:val="right"/>
              <w:rPr>
                <w:rFonts w:ascii="Calibri" w:hAnsi="Calibri" w:cs="Calibri"/>
                <w:color w:val="00305C"/>
              </w:rPr>
            </w:pPr>
          </w:p>
        </w:tc>
        <w:tc>
          <w:tcPr>
            <w:tcW w:w="1105" w:type="dxa"/>
            <w:shd w:val="clear" w:color="auto" w:fill="E6E6E6"/>
            <w:vAlign w:val="bottom"/>
          </w:tcPr>
          <w:p w:rsidR="00871692" w:rsidRPr="00745A36" w:rsidRDefault="00871692" w:rsidP="00FE7B3C">
            <w:pPr>
              <w:pStyle w:val="Tabletext"/>
              <w:tabs>
                <w:tab w:val="decimal" w:pos="907"/>
              </w:tabs>
              <w:ind w:left="85" w:right="113"/>
              <w:jc w:val="right"/>
              <w:rPr>
                <w:rFonts w:ascii="Calibri" w:hAnsi="Calibri" w:cs="Calibri"/>
                <w:color w:val="002B45"/>
              </w:rPr>
            </w:pPr>
          </w:p>
        </w:tc>
        <w:tc>
          <w:tcPr>
            <w:tcW w:w="1163" w:type="dxa"/>
            <w:vAlign w:val="bottom"/>
          </w:tcPr>
          <w:p w:rsidR="00871692" w:rsidRPr="00745A36" w:rsidRDefault="00871692" w:rsidP="00FE7B3C">
            <w:pPr>
              <w:pStyle w:val="Tabletext"/>
              <w:tabs>
                <w:tab w:val="decimal" w:pos="907"/>
              </w:tabs>
              <w:ind w:left="85" w:right="113"/>
              <w:jc w:val="right"/>
              <w:rPr>
                <w:rFonts w:ascii="Calibri" w:hAnsi="Calibri" w:cs="Calibri"/>
                <w:color w:val="002B45"/>
              </w:rPr>
            </w:pPr>
          </w:p>
        </w:tc>
      </w:tr>
      <w:tr w:rsidR="00871692" w:rsidRPr="000A48FD" w:rsidTr="00772C45">
        <w:trPr>
          <w:trHeight w:val="255"/>
        </w:trPr>
        <w:tc>
          <w:tcPr>
            <w:tcW w:w="6521" w:type="dxa"/>
            <w:vAlign w:val="bottom"/>
          </w:tcPr>
          <w:p w:rsidR="00871692" w:rsidRPr="00402154" w:rsidRDefault="00871692" w:rsidP="009B4FC7">
            <w:pPr>
              <w:pStyle w:val="Tabletext0"/>
              <w:ind w:right="85"/>
              <w:rPr>
                <w:rFonts w:ascii="Calibri" w:hAnsi="Calibri" w:cs="Calibri"/>
                <w:color w:val="002B45"/>
              </w:rPr>
            </w:pPr>
            <w:r w:rsidRPr="00402154">
              <w:rPr>
                <w:rFonts w:ascii="Calibri" w:hAnsi="Calibri" w:cs="Calibri"/>
                <w:color w:val="002B45"/>
              </w:rPr>
              <w:t xml:space="preserve">Trade and other payables </w:t>
            </w:r>
          </w:p>
        </w:tc>
        <w:tc>
          <w:tcPr>
            <w:tcW w:w="709" w:type="dxa"/>
            <w:vAlign w:val="bottom"/>
          </w:tcPr>
          <w:p w:rsidR="00871692" w:rsidRPr="00787286" w:rsidRDefault="00871692" w:rsidP="00FE7B3C">
            <w:pPr>
              <w:pStyle w:val="Tabletext"/>
              <w:tabs>
                <w:tab w:val="decimal" w:pos="907"/>
              </w:tabs>
              <w:ind w:right="113"/>
              <w:jc w:val="right"/>
              <w:rPr>
                <w:rFonts w:ascii="Calibri" w:hAnsi="Calibri" w:cs="Calibri"/>
                <w:color w:val="00305C"/>
              </w:rPr>
            </w:pPr>
          </w:p>
        </w:tc>
        <w:tc>
          <w:tcPr>
            <w:tcW w:w="1105" w:type="dxa"/>
            <w:shd w:val="clear" w:color="auto" w:fill="E6E6E6"/>
            <w:vAlign w:val="bottom"/>
          </w:tcPr>
          <w:p w:rsidR="00871692" w:rsidRPr="00745A36" w:rsidRDefault="00871692" w:rsidP="00FE7B3C">
            <w:pPr>
              <w:pStyle w:val="Tabletext"/>
              <w:tabs>
                <w:tab w:val="decimal" w:pos="907"/>
              </w:tabs>
              <w:ind w:left="85" w:right="113"/>
              <w:jc w:val="right"/>
              <w:rPr>
                <w:rFonts w:ascii="Calibri" w:hAnsi="Calibri" w:cs="Calibri"/>
                <w:color w:val="002B45"/>
              </w:rPr>
            </w:pPr>
            <w:r w:rsidRPr="00745A36">
              <w:rPr>
                <w:rFonts w:ascii="Calibri" w:hAnsi="Calibri" w:cs="Calibri"/>
                <w:color w:val="002B45"/>
              </w:rPr>
              <w:t>(1,041.1)</w:t>
            </w:r>
          </w:p>
        </w:tc>
        <w:tc>
          <w:tcPr>
            <w:tcW w:w="1163" w:type="dxa"/>
            <w:vAlign w:val="bottom"/>
          </w:tcPr>
          <w:p w:rsidR="00871692" w:rsidRPr="00745A36" w:rsidRDefault="00871692" w:rsidP="00FE7B3C">
            <w:pPr>
              <w:pStyle w:val="Tabletext"/>
              <w:tabs>
                <w:tab w:val="decimal" w:pos="907"/>
              </w:tabs>
              <w:ind w:left="85" w:right="113"/>
              <w:jc w:val="right"/>
              <w:rPr>
                <w:rFonts w:ascii="Calibri" w:hAnsi="Calibri" w:cs="Calibri"/>
                <w:color w:val="002B45"/>
              </w:rPr>
            </w:pPr>
            <w:r w:rsidRPr="00745A36">
              <w:rPr>
                <w:rFonts w:ascii="Calibri" w:hAnsi="Calibri" w:cs="Calibri"/>
                <w:color w:val="002B45"/>
              </w:rPr>
              <w:t>(848.1)</w:t>
            </w:r>
          </w:p>
        </w:tc>
      </w:tr>
      <w:tr w:rsidR="00871692" w:rsidRPr="000A48FD" w:rsidTr="00772C45">
        <w:trPr>
          <w:trHeight w:val="255"/>
        </w:trPr>
        <w:tc>
          <w:tcPr>
            <w:tcW w:w="6521" w:type="dxa"/>
            <w:vAlign w:val="bottom"/>
          </w:tcPr>
          <w:p w:rsidR="00871692" w:rsidRPr="00402154" w:rsidRDefault="00871692" w:rsidP="009B4FC7">
            <w:pPr>
              <w:pStyle w:val="Tabletext0"/>
              <w:ind w:right="85"/>
              <w:rPr>
                <w:rFonts w:ascii="Calibri" w:hAnsi="Calibri" w:cs="Calibri"/>
                <w:color w:val="002B45"/>
              </w:rPr>
            </w:pPr>
            <w:r>
              <w:rPr>
                <w:rFonts w:ascii="Calibri" w:hAnsi="Calibri" w:cs="Calibri"/>
                <w:color w:val="002B45"/>
              </w:rPr>
              <w:t>Borrowings</w:t>
            </w:r>
          </w:p>
        </w:tc>
        <w:tc>
          <w:tcPr>
            <w:tcW w:w="709" w:type="dxa"/>
            <w:vAlign w:val="bottom"/>
          </w:tcPr>
          <w:p w:rsidR="00871692" w:rsidRPr="00787286" w:rsidRDefault="00871692" w:rsidP="00FE7B3C">
            <w:pPr>
              <w:pStyle w:val="Tabletext"/>
              <w:tabs>
                <w:tab w:val="decimal" w:pos="907"/>
              </w:tabs>
              <w:ind w:right="113"/>
              <w:jc w:val="right"/>
              <w:rPr>
                <w:rFonts w:ascii="Calibri" w:hAnsi="Calibri" w:cs="Calibri"/>
                <w:color w:val="00305C"/>
              </w:rPr>
            </w:pPr>
          </w:p>
        </w:tc>
        <w:tc>
          <w:tcPr>
            <w:tcW w:w="1105" w:type="dxa"/>
            <w:shd w:val="clear" w:color="auto" w:fill="E6E6E6"/>
            <w:vAlign w:val="bottom"/>
          </w:tcPr>
          <w:p w:rsidR="00871692" w:rsidRPr="00745A36" w:rsidRDefault="00871692" w:rsidP="00FE7B3C">
            <w:pPr>
              <w:pStyle w:val="Tabletext"/>
              <w:tabs>
                <w:tab w:val="decimal" w:pos="907"/>
              </w:tabs>
              <w:ind w:left="85" w:right="113"/>
              <w:jc w:val="right"/>
              <w:rPr>
                <w:rFonts w:ascii="Calibri" w:hAnsi="Calibri" w:cs="Calibri"/>
                <w:color w:val="002B45"/>
              </w:rPr>
            </w:pPr>
            <w:r w:rsidRPr="00745A36">
              <w:rPr>
                <w:rFonts w:ascii="Calibri" w:hAnsi="Calibri" w:cs="Calibri"/>
                <w:color w:val="002B45"/>
              </w:rPr>
              <w:t>(159.4)</w:t>
            </w:r>
          </w:p>
        </w:tc>
        <w:tc>
          <w:tcPr>
            <w:tcW w:w="1163" w:type="dxa"/>
            <w:vAlign w:val="bottom"/>
          </w:tcPr>
          <w:p w:rsidR="00871692" w:rsidRPr="00745A36" w:rsidRDefault="00871692" w:rsidP="00FE7B3C">
            <w:pPr>
              <w:pStyle w:val="Tabletext"/>
              <w:tabs>
                <w:tab w:val="decimal" w:pos="907"/>
              </w:tabs>
              <w:ind w:left="85" w:right="113"/>
              <w:jc w:val="right"/>
              <w:rPr>
                <w:rFonts w:ascii="Calibri" w:hAnsi="Calibri" w:cs="Calibri"/>
                <w:color w:val="002B45"/>
              </w:rPr>
            </w:pPr>
            <w:r w:rsidRPr="00745A36">
              <w:rPr>
                <w:rFonts w:ascii="Calibri" w:hAnsi="Calibri" w:cs="Calibri"/>
                <w:color w:val="002B45"/>
              </w:rPr>
              <w:t xml:space="preserve"> – </w:t>
            </w:r>
          </w:p>
        </w:tc>
      </w:tr>
      <w:tr w:rsidR="00871692" w:rsidRPr="000A48FD" w:rsidTr="00772C45">
        <w:trPr>
          <w:trHeight w:val="255"/>
        </w:trPr>
        <w:tc>
          <w:tcPr>
            <w:tcW w:w="6521" w:type="dxa"/>
            <w:vAlign w:val="bottom"/>
          </w:tcPr>
          <w:p w:rsidR="00871692" w:rsidRPr="00402154" w:rsidRDefault="00871692" w:rsidP="009B4FC7">
            <w:pPr>
              <w:pStyle w:val="Tabletext0"/>
              <w:ind w:right="85"/>
              <w:rPr>
                <w:rFonts w:ascii="Calibri" w:hAnsi="Calibri" w:cs="Calibri"/>
                <w:color w:val="002B45"/>
              </w:rPr>
            </w:pPr>
            <w:r w:rsidRPr="00402154">
              <w:rPr>
                <w:rFonts w:ascii="Calibri" w:hAnsi="Calibri" w:cs="Calibri"/>
                <w:color w:val="002B45"/>
              </w:rPr>
              <w:t xml:space="preserve">Current tax liabilities </w:t>
            </w:r>
          </w:p>
        </w:tc>
        <w:tc>
          <w:tcPr>
            <w:tcW w:w="709" w:type="dxa"/>
            <w:vAlign w:val="bottom"/>
          </w:tcPr>
          <w:p w:rsidR="00871692" w:rsidRPr="00787286" w:rsidRDefault="00871692" w:rsidP="00FE7B3C">
            <w:pPr>
              <w:pStyle w:val="Tabletext"/>
              <w:tabs>
                <w:tab w:val="decimal" w:pos="907"/>
              </w:tabs>
              <w:ind w:right="113"/>
              <w:jc w:val="right"/>
              <w:rPr>
                <w:rFonts w:ascii="Calibri" w:hAnsi="Calibri" w:cs="Calibri"/>
                <w:color w:val="00305C"/>
              </w:rPr>
            </w:pPr>
          </w:p>
        </w:tc>
        <w:tc>
          <w:tcPr>
            <w:tcW w:w="1105" w:type="dxa"/>
            <w:shd w:val="clear" w:color="auto" w:fill="E6E6E6"/>
            <w:vAlign w:val="bottom"/>
          </w:tcPr>
          <w:p w:rsidR="00871692" w:rsidRPr="00745A36" w:rsidRDefault="00871692" w:rsidP="00FE7B3C">
            <w:pPr>
              <w:pStyle w:val="Tabletext"/>
              <w:tabs>
                <w:tab w:val="decimal" w:pos="907"/>
              </w:tabs>
              <w:ind w:left="85" w:right="113"/>
              <w:jc w:val="right"/>
              <w:rPr>
                <w:rFonts w:ascii="Calibri" w:hAnsi="Calibri" w:cs="Calibri"/>
                <w:color w:val="002B45"/>
              </w:rPr>
            </w:pPr>
            <w:r w:rsidRPr="00745A36">
              <w:rPr>
                <w:rFonts w:ascii="Calibri" w:hAnsi="Calibri" w:cs="Calibri"/>
                <w:color w:val="002B45"/>
              </w:rPr>
              <w:t>(165.5)</w:t>
            </w:r>
          </w:p>
        </w:tc>
        <w:tc>
          <w:tcPr>
            <w:tcW w:w="1163" w:type="dxa"/>
            <w:vAlign w:val="bottom"/>
          </w:tcPr>
          <w:p w:rsidR="00871692" w:rsidRPr="00745A36" w:rsidRDefault="00871692" w:rsidP="00FE7B3C">
            <w:pPr>
              <w:pStyle w:val="Tabletext"/>
              <w:tabs>
                <w:tab w:val="decimal" w:pos="907"/>
              </w:tabs>
              <w:ind w:left="85" w:right="113"/>
              <w:jc w:val="right"/>
              <w:rPr>
                <w:rFonts w:ascii="Calibri" w:hAnsi="Calibri" w:cs="Calibri"/>
                <w:color w:val="002B45"/>
              </w:rPr>
            </w:pPr>
            <w:r w:rsidRPr="00745A36">
              <w:rPr>
                <w:rFonts w:ascii="Calibri" w:hAnsi="Calibri" w:cs="Calibri"/>
                <w:color w:val="002B45"/>
              </w:rPr>
              <w:t>(292.4)</w:t>
            </w:r>
          </w:p>
        </w:tc>
      </w:tr>
      <w:tr w:rsidR="00871692" w:rsidRPr="000A48FD" w:rsidTr="00772C45">
        <w:trPr>
          <w:trHeight w:val="255"/>
        </w:trPr>
        <w:tc>
          <w:tcPr>
            <w:tcW w:w="6521" w:type="dxa"/>
            <w:shd w:val="clear" w:color="auto" w:fill="auto"/>
            <w:vAlign w:val="bottom"/>
          </w:tcPr>
          <w:p w:rsidR="00871692" w:rsidRPr="00402154" w:rsidRDefault="00871692" w:rsidP="009B4FC7">
            <w:pPr>
              <w:pStyle w:val="Tabletext0"/>
              <w:ind w:right="85"/>
              <w:rPr>
                <w:rFonts w:ascii="Calibri" w:hAnsi="Calibri" w:cs="Calibri"/>
                <w:color w:val="002B45"/>
              </w:rPr>
            </w:pPr>
            <w:r w:rsidRPr="00402154">
              <w:rPr>
                <w:rFonts w:ascii="Calibri" w:hAnsi="Calibri" w:cs="Calibri"/>
                <w:color w:val="002B45"/>
              </w:rPr>
              <w:t>Derivative financial instruments</w:t>
            </w:r>
          </w:p>
        </w:tc>
        <w:tc>
          <w:tcPr>
            <w:tcW w:w="709" w:type="dxa"/>
            <w:shd w:val="clear" w:color="auto" w:fill="auto"/>
            <w:vAlign w:val="bottom"/>
          </w:tcPr>
          <w:p w:rsidR="00871692" w:rsidRPr="00787286" w:rsidRDefault="00871692" w:rsidP="00FE7B3C">
            <w:pPr>
              <w:pStyle w:val="Tabletext"/>
              <w:tabs>
                <w:tab w:val="decimal" w:pos="907"/>
              </w:tabs>
              <w:ind w:right="113"/>
              <w:jc w:val="right"/>
              <w:rPr>
                <w:rFonts w:ascii="Calibri" w:hAnsi="Calibri" w:cs="Calibri"/>
                <w:color w:val="00305C"/>
              </w:rPr>
            </w:pPr>
          </w:p>
        </w:tc>
        <w:tc>
          <w:tcPr>
            <w:tcW w:w="1105" w:type="dxa"/>
            <w:shd w:val="clear" w:color="auto" w:fill="E6E6E6"/>
            <w:vAlign w:val="bottom"/>
          </w:tcPr>
          <w:p w:rsidR="00871692" w:rsidRPr="00745A36" w:rsidRDefault="00871692" w:rsidP="00FE7B3C">
            <w:pPr>
              <w:pStyle w:val="Tabletext"/>
              <w:tabs>
                <w:tab w:val="decimal" w:pos="907"/>
              </w:tabs>
              <w:ind w:left="85" w:right="113"/>
              <w:jc w:val="right"/>
              <w:rPr>
                <w:rFonts w:ascii="Calibri" w:hAnsi="Calibri" w:cs="Calibri"/>
                <w:color w:val="002B45"/>
              </w:rPr>
            </w:pPr>
            <w:r w:rsidRPr="00745A36">
              <w:rPr>
                <w:rFonts w:ascii="Calibri" w:hAnsi="Calibri" w:cs="Calibri"/>
                <w:color w:val="002B45"/>
              </w:rPr>
              <w:t>(48.1)</w:t>
            </w:r>
          </w:p>
        </w:tc>
        <w:tc>
          <w:tcPr>
            <w:tcW w:w="1163" w:type="dxa"/>
            <w:shd w:val="clear" w:color="auto" w:fill="auto"/>
            <w:vAlign w:val="bottom"/>
          </w:tcPr>
          <w:p w:rsidR="00871692" w:rsidRPr="00745A36" w:rsidRDefault="00871692" w:rsidP="00FE7B3C">
            <w:pPr>
              <w:pStyle w:val="Tabletext"/>
              <w:tabs>
                <w:tab w:val="decimal" w:pos="907"/>
              </w:tabs>
              <w:ind w:left="85" w:right="113"/>
              <w:jc w:val="right"/>
              <w:rPr>
                <w:rFonts w:ascii="Calibri" w:hAnsi="Calibri" w:cs="Calibri"/>
                <w:color w:val="002B45"/>
              </w:rPr>
            </w:pPr>
            <w:r w:rsidRPr="00745A36">
              <w:rPr>
                <w:rFonts w:ascii="Calibri" w:hAnsi="Calibri" w:cs="Calibri"/>
                <w:color w:val="002B45"/>
              </w:rPr>
              <w:t>(39.4)</w:t>
            </w:r>
          </w:p>
        </w:tc>
      </w:tr>
      <w:tr w:rsidR="00871692" w:rsidRPr="000A48FD" w:rsidTr="00772C45">
        <w:trPr>
          <w:trHeight w:val="255"/>
        </w:trPr>
        <w:tc>
          <w:tcPr>
            <w:tcW w:w="6521" w:type="dxa"/>
            <w:tcBorders>
              <w:bottom w:val="single" w:sz="4" w:space="0" w:color="999999"/>
            </w:tcBorders>
            <w:shd w:val="clear" w:color="auto" w:fill="auto"/>
            <w:vAlign w:val="bottom"/>
          </w:tcPr>
          <w:p w:rsidR="00871692" w:rsidRPr="00402154" w:rsidRDefault="00871692" w:rsidP="009B4FC7">
            <w:pPr>
              <w:pStyle w:val="Tabletext0"/>
              <w:ind w:right="85"/>
              <w:rPr>
                <w:rFonts w:ascii="Calibri" w:hAnsi="Calibri" w:cs="Calibri"/>
                <w:color w:val="002B45"/>
              </w:rPr>
            </w:pPr>
            <w:r>
              <w:rPr>
                <w:rFonts w:ascii="Calibri" w:hAnsi="Calibri" w:cs="Calibri"/>
                <w:color w:val="002B45"/>
              </w:rPr>
              <w:t>Liabilities directly associated with assets classified as held for sale</w:t>
            </w:r>
          </w:p>
        </w:tc>
        <w:tc>
          <w:tcPr>
            <w:tcW w:w="709" w:type="dxa"/>
            <w:tcBorders>
              <w:bottom w:val="single" w:sz="4" w:space="0" w:color="999999"/>
            </w:tcBorders>
            <w:shd w:val="clear" w:color="auto" w:fill="auto"/>
            <w:vAlign w:val="bottom"/>
          </w:tcPr>
          <w:p w:rsidR="00871692" w:rsidRPr="00787286" w:rsidRDefault="00871692" w:rsidP="00FE7B3C">
            <w:pPr>
              <w:pStyle w:val="Tabletext"/>
              <w:tabs>
                <w:tab w:val="decimal" w:pos="907"/>
              </w:tabs>
              <w:ind w:right="113"/>
              <w:jc w:val="right"/>
              <w:rPr>
                <w:rFonts w:ascii="Calibri" w:hAnsi="Calibri" w:cs="Calibri"/>
                <w:color w:val="00305C"/>
              </w:rPr>
            </w:pPr>
          </w:p>
        </w:tc>
        <w:tc>
          <w:tcPr>
            <w:tcW w:w="1105" w:type="dxa"/>
            <w:tcBorders>
              <w:bottom w:val="single" w:sz="4" w:space="0" w:color="999999"/>
            </w:tcBorders>
            <w:shd w:val="clear" w:color="auto" w:fill="E6E6E6"/>
            <w:vAlign w:val="bottom"/>
          </w:tcPr>
          <w:p w:rsidR="00871692" w:rsidRPr="00745A36" w:rsidRDefault="00871692" w:rsidP="00FE7B3C">
            <w:pPr>
              <w:pStyle w:val="Tabletext"/>
              <w:tabs>
                <w:tab w:val="decimal" w:pos="907"/>
              </w:tabs>
              <w:ind w:left="85" w:right="113"/>
              <w:jc w:val="right"/>
              <w:rPr>
                <w:rFonts w:ascii="Calibri" w:hAnsi="Calibri" w:cs="Calibri"/>
                <w:color w:val="002B45"/>
              </w:rPr>
            </w:pPr>
            <w:r w:rsidRPr="00745A36">
              <w:rPr>
                <w:rFonts w:ascii="Calibri" w:hAnsi="Calibri" w:cs="Calibri"/>
                <w:color w:val="002B45"/>
              </w:rPr>
              <w:t>(18.2)</w:t>
            </w:r>
          </w:p>
        </w:tc>
        <w:tc>
          <w:tcPr>
            <w:tcW w:w="1163" w:type="dxa"/>
            <w:tcBorders>
              <w:bottom w:val="single" w:sz="4" w:space="0" w:color="999999"/>
            </w:tcBorders>
            <w:shd w:val="clear" w:color="auto" w:fill="auto"/>
            <w:vAlign w:val="bottom"/>
          </w:tcPr>
          <w:p w:rsidR="00871692" w:rsidRPr="00745A36" w:rsidRDefault="00871692" w:rsidP="00FE7B3C">
            <w:pPr>
              <w:pStyle w:val="Tabletext"/>
              <w:tabs>
                <w:tab w:val="decimal" w:pos="907"/>
              </w:tabs>
              <w:ind w:left="85" w:right="113"/>
              <w:jc w:val="right"/>
              <w:rPr>
                <w:rFonts w:ascii="Calibri" w:hAnsi="Calibri" w:cs="Calibri"/>
                <w:color w:val="002B45"/>
              </w:rPr>
            </w:pPr>
            <w:r w:rsidRPr="00745A36">
              <w:rPr>
                <w:rFonts w:ascii="Calibri" w:hAnsi="Calibri" w:cs="Calibri"/>
                <w:color w:val="002B45"/>
              </w:rPr>
              <w:t>(48.9)</w:t>
            </w:r>
          </w:p>
        </w:tc>
      </w:tr>
      <w:tr w:rsidR="00871692" w:rsidTr="00772C45">
        <w:trPr>
          <w:trHeight w:val="255"/>
        </w:trPr>
        <w:tc>
          <w:tcPr>
            <w:tcW w:w="6521" w:type="dxa"/>
            <w:tcBorders>
              <w:top w:val="single" w:sz="4" w:space="0" w:color="999999"/>
              <w:bottom w:val="single" w:sz="4" w:space="0" w:color="999999"/>
            </w:tcBorders>
            <w:shd w:val="clear" w:color="auto" w:fill="auto"/>
            <w:vAlign w:val="bottom"/>
          </w:tcPr>
          <w:p w:rsidR="00871692" w:rsidRPr="00402154" w:rsidRDefault="00871692" w:rsidP="009B4FC7">
            <w:pPr>
              <w:pStyle w:val="Tabletext0"/>
              <w:ind w:right="85"/>
              <w:rPr>
                <w:rFonts w:ascii="Calibri" w:hAnsi="Calibri" w:cs="Calibri"/>
                <w:color w:val="002B45"/>
              </w:rPr>
            </w:pPr>
          </w:p>
        </w:tc>
        <w:tc>
          <w:tcPr>
            <w:tcW w:w="709" w:type="dxa"/>
            <w:tcBorders>
              <w:top w:val="single" w:sz="4" w:space="0" w:color="999999"/>
              <w:bottom w:val="single" w:sz="4" w:space="0" w:color="999999"/>
            </w:tcBorders>
            <w:shd w:val="clear" w:color="auto" w:fill="auto"/>
            <w:vAlign w:val="bottom"/>
          </w:tcPr>
          <w:p w:rsidR="00871692" w:rsidRPr="00787286" w:rsidRDefault="00871692" w:rsidP="00FE7B3C">
            <w:pPr>
              <w:pStyle w:val="Tabletext"/>
              <w:tabs>
                <w:tab w:val="decimal" w:pos="907"/>
              </w:tabs>
              <w:ind w:right="113"/>
              <w:jc w:val="right"/>
              <w:rPr>
                <w:rFonts w:ascii="Calibri" w:hAnsi="Calibri" w:cs="Calibri"/>
                <w:color w:val="00305C"/>
              </w:rPr>
            </w:pPr>
          </w:p>
        </w:tc>
        <w:tc>
          <w:tcPr>
            <w:tcW w:w="1105" w:type="dxa"/>
            <w:tcBorders>
              <w:top w:val="single" w:sz="4" w:space="0" w:color="999999"/>
              <w:bottom w:val="single" w:sz="4" w:space="0" w:color="999999"/>
            </w:tcBorders>
            <w:shd w:val="clear" w:color="auto" w:fill="E6E6E6"/>
            <w:vAlign w:val="bottom"/>
          </w:tcPr>
          <w:p w:rsidR="00871692" w:rsidRPr="00745A36" w:rsidRDefault="00871692" w:rsidP="00FE7B3C">
            <w:pPr>
              <w:pStyle w:val="Tabletext"/>
              <w:tabs>
                <w:tab w:val="decimal" w:pos="907"/>
              </w:tabs>
              <w:ind w:left="85" w:right="113"/>
              <w:jc w:val="right"/>
              <w:rPr>
                <w:rFonts w:ascii="Calibri" w:hAnsi="Calibri" w:cs="Calibri"/>
                <w:color w:val="002B45"/>
              </w:rPr>
            </w:pPr>
            <w:r w:rsidRPr="00745A36">
              <w:rPr>
                <w:rFonts w:ascii="Calibri" w:hAnsi="Calibri" w:cs="Calibri"/>
                <w:color w:val="002B45"/>
              </w:rPr>
              <w:t>(1,432.3)</w:t>
            </w:r>
          </w:p>
        </w:tc>
        <w:tc>
          <w:tcPr>
            <w:tcW w:w="1163" w:type="dxa"/>
            <w:tcBorders>
              <w:top w:val="single" w:sz="4" w:space="0" w:color="999999"/>
              <w:bottom w:val="single" w:sz="4" w:space="0" w:color="999999"/>
            </w:tcBorders>
            <w:shd w:val="clear" w:color="auto" w:fill="auto"/>
            <w:vAlign w:val="bottom"/>
          </w:tcPr>
          <w:p w:rsidR="00871692" w:rsidRPr="00745A36" w:rsidRDefault="00871692" w:rsidP="00FE7B3C">
            <w:pPr>
              <w:pStyle w:val="Tabletext"/>
              <w:tabs>
                <w:tab w:val="decimal" w:pos="907"/>
              </w:tabs>
              <w:ind w:left="85" w:right="113"/>
              <w:jc w:val="right"/>
              <w:rPr>
                <w:rFonts w:ascii="Calibri" w:hAnsi="Calibri" w:cs="Calibri"/>
                <w:color w:val="002B45"/>
              </w:rPr>
            </w:pPr>
            <w:r w:rsidRPr="00745A36">
              <w:rPr>
                <w:rFonts w:ascii="Calibri" w:hAnsi="Calibri" w:cs="Calibri"/>
                <w:color w:val="002B45"/>
              </w:rPr>
              <w:t>(1,228.8)</w:t>
            </w:r>
          </w:p>
        </w:tc>
      </w:tr>
      <w:tr w:rsidR="00871692" w:rsidRPr="000A48FD" w:rsidTr="00772C45">
        <w:trPr>
          <w:trHeight w:val="255"/>
        </w:trPr>
        <w:tc>
          <w:tcPr>
            <w:tcW w:w="6521" w:type="dxa"/>
            <w:tcBorders>
              <w:top w:val="single" w:sz="4" w:space="0" w:color="999999"/>
            </w:tcBorders>
            <w:vAlign w:val="bottom"/>
          </w:tcPr>
          <w:p w:rsidR="00871692" w:rsidRPr="00402154" w:rsidRDefault="00871692" w:rsidP="009B4FC7">
            <w:pPr>
              <w:pStyle w:val="Tabletext0"/>
              <w:ind w:right="85"/>
              <w:rPr>
                <w:rFonts w:ascii="Calibri" w:hAnsi="Calibri" w:cs="Calibri"/>
                <w:color w:val="002B45"/>
              </w:rPr>
            </w:pPr>
            <w:r w:rsidRPr="00402154">
              <w:rPr>
                <w:rFonts w:ascii="Calibri" w:hAnsi="Calibri" w:cs="Calibri"/>
                <w:color w:val="002B45"/>
              </w:rPr>
              <w:t xml:space="preserve">Non-current liabilities </w:t>
            </w:r>
          </w:p>
        </w:tc>
        <w:tc>
          <w:tcPr>
            <w:tcW w:w="709" w:type="dxa"/>
            <w:tcBorders>
              <w:top w:val="single" w:sz="4" w:space="0" w:color="999999"/>
            </w:tcBorders>
            <w:vAlign w:val="bottom"/>
          </w:tcPr>
          <w:p w:rsidR="00871692" w:rsidRPr="00787286" w:rsidRDefault="00871692" w:rsidP="00FE7B3C">
            <w:pPr>
              <w:pStyle w:val="Tabletext"/>
              <w:tabs>
                <w:tab w:val="decimal" w:pos="907"/>
              </w:tabs>
              <w:ind w:right="113"/>
              <w:jc w:val="right"/>
              <w:rPr>
                <w:rFonts w:ascii="Calibri" w:hAnsi="Calibri" w:cs="Calibri"/>
                <w:color w:val="00305C"/>
              </w:rPr>
            </w:pPr>
          </w:p>
        </w:tc>
        <w:tc>
          <w:tcPr>
            <w:tcW w:w="1105" w:type="dxa"/>
            <w:tcBorders>
              <w:top w:val="single" w:sz="4" w:space="0" w:color="999999"/>
            </w:tcBorders>
            <w:shd w:val="clear" w:color="auto" w:fill="E6E6E6"/>
            <w:vAlign w:val="bottom"/>
          </w:tcPr>
          <w:p w:rsidR="00871692" w:rsidRPr="00745A36" w:rsidRDefault="00871692" w:rsidP="00FE7B3C">
            <w:pPr>
              <w:pStyle w:val="Tabletext"/>
              <w:tabs>
                <w:tab w:val="decimal" w:pos="907"/>
              </w:tabs>
              <w:ind w:left="85" w:right="113"/>
              <w:jc w:val="right"/>
              <w:rPr>
                <w:rFonts w:ascii="Calibri" w:hAnsi="Calibri" w:cs="Calibri"/>
                <w:color w:val="002B45"/>
              </w:rPr>
            </w:pPr>
          </w:p>
        </w:tc>
        <w:tc>
          <w:tcPr>
            <w:tcW w:w="1163" w:type="dxa"/>
            <w:tcBorders>
              <w:top w:val="single" w:sz="4" w:space="0" w:color="999999"/>
            </w:tcBorders>
            <w:vAlign w:val="bottom"/>
          </w:tcPr>
          <w:p w:rsidR="00871692" w:rsidRPr="00745A36" w:rsidRDefault="00871692" w:rsidP="00FE7B3C">
            <w:pPr>
              <w:pStyle w:val="Tabletext"/>
              <w:tabs>
                <w:tab w:val="decimal" w:pos="907"/>
              </w:tabs>
              <w:ind w:left="85" w:right="113"/>
              <w:jc w:val="right"/>
              <w:rPr>
                <w:rFonts w:ascii="Calibri" w:hAnsi="Calibri" w:cs="Calibri"/>
                <w:color w:val="002B45"/>
              </w:rPr>
            </w:pPr>
          </w:p>
        </w:tc>
      </w:tr>
      <w:tr w:rsidR="00871692" w:rsidRPr="000A48FD" w:rsidTr="00772C45">
        <w:trPr>
          <w:trHeight w:val="255"/>
        </w:trPr>
        <w:tc>
          <w:tcPr>
            <w:tcW w:w="6521" w:type="dxa"/>
            <w:vAlign w:val="bottom"/>
          </w:tcPr>
          <w:p w:rsidR="00871692" w:rsidRPr="00402154" w:rsidRDefault="00871692" w:rsidP="009B4FC7">
            <w:pPr>
              <w:pStyle w:val="Tabletext0"/>
              <w:ind w:right="85"/>
              <w:rPr>
                <w:rFonts w:ascii="Calibri" w:hAnsi="Calibri" w:cs="Calibri"/>
                <w:color w:val="002B45"/>
              </w:rPr>
            </w:pPr>
            <w:r w:rsidRPr="00402154">
              <w:rPr>
                <w:rFonts w:ascii="Calibri" w:hAnsi="Calibri" w:cs="Calibri"/>
                <w:color w:val="002B45"/>
              </w:rPr>
              <w:t>Trade and other payables</w:t>
            </w:r>
          </w:p>
        </w:tc>
        <w:tc>
          <w:tcPr>
            <w:tcW w:w="709" w:type="dxa"/>
            <w:vAlign w:val="bottom"/>
          </w:tcPr>
          <w:p w:rsidR="00871692" w:rsidRPr="00787286" w:rsidRDefault="00871692" w:rsidP="00FE7B3C">
            <w:pPr>
              <w:pStyle w:val="Tabletext"/>
              <w:tabs>
                <w:tab w:val="decimal" w:pos="907"/>
              </w:tabs>
              <w:ind w:right="113"/>
              <w:jc w:val="right"/>
              <w:rPr>
                <w:rFonts w:ascii="Calibri" w:hAnsi="Calibri" w:cs="Calibri"/>
                <w:color w:val="00305C"/>
              </w:rPr>
            </w:pPr>
          </w:p>
        </w:tc>
        <w:tc>
          <w:tcPr>
            <w:tcW w:w="1105" w:type="dxa"/>
            <w:shd w:val="clear" w:color="auto" w:fill="E6E6E6"/>
            <w:vAlign w:val="bottom"/>
          </w:tcPr>
          <w:p w:rsidR="00871692" w:rsidRPr="00745A36" w:rsidRDefault="00871692" w:rsidP="00FE7B3C">
            <w:pPr>
              <w:pStyle w:val="Tabletext"/>
              <w:tabs>
                <w:tab w:val="decimal" w:pos="907"/>
              </w:tabs>
              <w:ind w:left="85" w:right="113"/>
              <w:jc w:val="right"/>
              <w:rPr>
                <w:rFonts w:ascii="Calibri" w:hAnsi="Calibri" w:cs="Calibri"/>
                <w:color w:val="002B45"/>
              </w:rPr>
            </w:pPr>
            <w:r w:rsidRPr="00745A36">
              <w:rPr>
                <w:rFonts w:ascii="Calibri" w:hAnsi="Calibri" w:cs="Calibri"/>
                <w:color w:val="002B45"/>
              </w:rPr>
              <w:t>(29.4)</w:t>
            </w:r>
          </w:p>
        </w:tc>
        <w:tc>
          <w:tcPr>
            <w:tcW w:w="1163" w:type="dxa"/>
            <w:vAlign w:val="bottom"/>
          </w:tcPr>
          <w:p w:rsidR="00871692" w:rsidRPr="00745A36" w:rsidRDefault="00871692" w:rsidP="00FE7B3C">
            <w:pPr>
              <w:pStyle w:val="Tabletext"/>
              <w:tabs>
                <w:tab w:val="decimal" w:pos="907"/>
              </w:tabs>
              <w:ind w:left="85" w:right="113"/>
              <w:jc w:val="right"/>
              <w:rPr>
                <w:rFonts w:ascii="Calibri" w:hAnsi="Calibri" w:cs="Calibri"/>
                <w:color w:val="002B45"/>
              </w:rPr>
            </w:pPr>
            <w:r w:rsidRPr="00745A36">
              <w:rPr>
                <w:rFonts w:ascii="Calibri" w:hAnsi="Calibri" w:cs="Calibri"/>
                <w:color w:val="002B45"/>
              </w:rPr>
              <w:t>(30.6)</w:t>
            </w:r>
          </w:p>
        </w:tc>
      </w:tr>
      <w:tr w:rsidR="00871692" w:rsidRPr="000A48FD" w:rsidTr="00772C45">
        <w:trPr>
          <w:trHeight w:val="255"/>
        </w:trPr>
        <w:tc>
          <w:tcPr>
            <w:tcW w:w="6521" w:type="dxa"/>
            <w:vAlign w:val="bottom"/>
          </w:tcPr>
          <w:p w:rsidR="00871692" w:rsidRPr="00402154" w:rsidRDefault="00871692" w:rsidP="009B4FC7">
            <w:pPr>
              <w:pStyle w:val="Tabletext0"/>
              <w:ind w:right="85"/>
              <w:rPr>
                <w:rFonts w:ascii="Calibri" w:hAnsi="Calibri" w:cs="Calibri"/>
                <w:color w:val="002B45"/>
              </w:rPr>
            </w:pPr>
            <w:r>
              <w:rPr>
                <w:rFonts w:ascii="Calibri" w:hAnsi="Calibri" w:cs="Calibri"/>
                <w:color w:val="002B45"/>
              </w:rPr>
              <w:t>Borrowings</w:t>
            </w:r>
          </w:p>
        </w:tc>
        <w:tc>
          <w:tcPr>
            <w:tcW w:w="709" w:type="dxa"/>
            <w:vAlign w:val="bottom"/>
          </w:tcPr>
          <w:p w:rsidR="00871692" w:rsidRPr="00787286" w:rsidRDefault="00871692" w:rsidP="00FE7B3C">
            <w:pPr>
              <w:pStyle w:val="Tabletext"/>
              <w:tabs>
                <w:tab w:val="decimal" w:pos="907"/>
              </w:tabs>
              <w:ind w:right="113"/>
              <w:jc w:val="right"/>
              <w:rPr>
                <w:rFonts w:ascii="Calibri" w:hAnsi="Calibri" w:cs="Calibri"/>
                <w:color w:val="00305C"/>
              </w:rPr>
            </w:pPr>
          </w:p>
        </w:tc>
        <w:tc>
          <w:tcPr>
            <w:tcW w:w="1105" w:type="dxa"/>
            <w:shd w:val="clear" w:color="auto" w:fill="E6E6E6"/>
            <w:vAlign w:val="bottom"/>
          </w:tcPr>
          <w:p w:rsidR="00871692" w:rsidRPr="00745A36" w:rsidRDefault="00871692" w:rsidP="00FE7B3C">
            <w:pPr>
              <w:pStyle w:val="Tabletext"/>
              <w:tabs>
                <w:tab w:val="decimal" w:pos="907"/>
              </w:tabs>
              <w:ind w:left="85" w:right="113"/>
              <w:jc w:val="right"/>
              <w:rPr>
                <w:rFonts w:ascii="Calibri" w:hAnsi="Calibri" w:cs="Calibri"/>
                <w:color w:val="002B45"/>
              </w:rPr>
            </w:pPr>
            <w:r w:rsidRPr="00745A36">
              <w:rPr>
                <w:rFonts w:ascii="Calibri" w:hAnsi="Calibri" w:cs="Calibri"/>
                <w:color w:val="002B45"/>
              </w:rPr>
              <w:t>(1,995.0)</w:t>
            </w:r>
          </w:p>
        </w:tc>
        <w:tc>
          <w:tcPr>
            <w:tcW w:w="1163" w:type="dxa"/>
            <w:vAlign w:val="bottom"/>
          </w:tcPr>
          <w:p w:rsidR="00871692" w:rsidRPr="00745A36" w:rsidRDefault="00871692" w:rsidP="00FE7B3C">
            <w:pPr>
              <w:pStyle w:val="Tabletext"/>
              <w:tabs>
                <w:tab w:val="decimal" w:pos="907"/>
              </w:tabs>
              <w:ind w:left="85" w:right="113"/>
              <w:jc w:val="right"/>
              <w:rPr>
                <w:rFonts w:ascii="Calibri" w:hAnsi="Calibri" w:cs="Calibri"/>
                <w:color w:val="002B45"/>
              </w:rPr>
            </w:pPr>
            <w:r w:rsidRPr="00745A36">
              <w:rPr>
                <w:rFonts w:ascii="Calibri" w:hAnsi="Calibri" w:cs="Calibri"/>
                <w:color w:val="002B45"/>
              </w:rPr>
              <w:t>(1,173.6)</w:t>
            </w:r>
          </w:p>
        </w:tc>
      </w:tr>
      <w:tr w:rsidR="00871692" w:rsidRPr="000A48FD" w:rsidTr="00772C45">
        <w:trPr>
          <w:trHeight w:val="255"/>
        </w:trPr>
        <w:tc>
          <w:tcPr>
            <w:tcW w:w="6521" w:type="dxa"/>
            <w:vAlign w:val="bottom"/>
          </w:tcPr>
          <w:p w:rsidR="00871692" w:rsidRPr="00402154" w:rsidRDefault="00871692" w:rsidP="009B4FC7">
            <w:pPr>
              <w:pStyle w:val="Tabletext0"/>
              <w:ind w:right="85"/>
              <w:rPr>
                <w:rFonts w:ascii="Calibri" w:hAnsi="Calibri" w:cs="Calibri"/>
                <w:color w:val="002B45"/>
              </w:rPr>
            </w:pPr>
            <w:r w:rsidRPr="00402154">
              <w:rPr>
                <w:rFonts w:ascii="Calibri" w:hAnsi="Calibri" w:cs="Calibri"/>
                <w:color w:val="002B45"/>
              </w:rPr>
              <w:t>Derivative financial instruments</w:t>
            </w:r>
          </w:p>
        </w:tc>
        <w:tc>
          <w:tcPr>
            <w:tcW w:w="709" w:type="dxa"/>
            <w:vAlign w:val="bottom"/>
          </w:tcPr>
          <w:p w:rsidR="00871692" w:rsidRPr="00787286" w:rsidRDefault="00871692" w:rsidP="00FE7B3C">
            <w:pPr>
              <w:pStyle w:val="Tabletext"/>
              <w:tabs>
                <w:tab w:val="decimal" w:pos="907"/>
              </w:tabs>
              <w:ind w:right="113"/>
              <w:jc w:val="right"/>
              <w:rPr>
                <w:rFonts w:ascii="Calibri" w:hAnsi="Calibri" w:cs="Calibri"/>
                <w:color w:val="00305C"/>
              </w:rPr>
            </w:pPr>
          </w:p>
        </w:tc>
        <w:tc>
          <w:tcPr>
            <w:tcW w:w="1105" w:type="dxa"/>
            <w:shd w:val="clear" w:color="auto" w:fill="E6E6E6"/>
            <w:vAlign w:val="bottom"/>
          </w:tcPr>
          <w:p w:rsidR="00871692" w:rsidRPr="00745A36" w:rsidRDefault="00871692" w:rsidP="00263A06">
            <w:pPr>
              <w:pStyle w:val="Tabletext"/>
              <w:tabs>
                <w:tab w:val="decimal" w:pos="907"/>
              </w:tabs>
              <w:ind w:left="85" w:right="113"/>
              <w:jc w:val="right"/>
              <w:rPr>
                <w:rFonts w:ascii="Calibri" w:hAnsi="Calibri" w:cs="Calibri"/>
                <w:color w:val="002B45"/>
              </w:rPr>
            </w:pPr>
            <w:r w:rsidRPr="00745A36">
              <w:rPr>
                <w:rFonts w:ascii="Calibri" w:hAnsi="Calibri" w:cs="Calibri"/>
                <w:color w:val="002B45"/>
              </w:rPr>
              <w:t>(2</w:t>
            </w:r>
            <w:r w:rsidR="00263A06">
              <w:rPr>
                <w:rFonts w:ascii="Calibri" w:hAnsi="Calibri" w:cs="Calibri"/>
                <w:color w:val="002B45"/>
              </w:rPr>
              <w:t>8.3</w:t>
            </w:r>
            <w:r w:rsidRPr="00745A36">
              <w:rPr>
                <w:rFonts w:ascii="Calibri" w:hAnsi="Calibri" w:cs="Calibri"/>
                <w:color w:val="002B45"/>
              </w:rPr>
              <w:t>)</w:t>
            </w:r>
          </w:p>
        </w:tc>
        <w:tc>
          <w:tcPr>
            <w:tcW w:w="1163" w:type="dxa"/>
            <w:vAlign w:val="bottom"/>
          </w:tcPr>
          <w:p w:rsidR="00871692" w:rsidRPr="00745A36" w:rsidRDefault="00871692" w:rsidP="00FE7B3C">
            <w:pPr>
              <w:pStyle w:val="Tabletext"/>
              <w:tabs>
                <w:tab w:val="decimal" w:pos="907"/>
              </w:tabs>
              <w:ind w:left="85" w:right="113"/>
              <w:jc w:val="right"/>
              <w:rPr>
                <w:rFonts w:ascii="Calibri" w:hAnsi="Calibri" w:cs="Calibri"/>
                <w:color w:val="002B45"/>
              </w:rPr>
            </w:pPr>
            <w:r w:rsidRPr="00745A36">
              <w:rPr>
                <w:rFonts w:ascii="Calibri" w:hAnsi="Calibri" w:cs="Calibri"/>
                <w:color w:val="002B45"/>
              </w:rPr>
              <w:t>(19.3)</w:t>
            </w:r>
          </w:p>
        </w:tc>
      </w:tr>
      <w:tr w:rsidR="00871692" w:rsidRPr="000A48FD" w:rsidTr="00772C45">
        <w:trPr>
          <w:trHeight w:val="255"/>
        </w:trPr>
        <w:tc>
          <w:tcPr>
            <w:tcW w:w="6521" w:type="dxa"/>
            <w:vAlign w:val="bottom"/>
          </w:tcPr>
          <w:p w:rsidR="00871692" w:rsidRPr="00402154" w:rsidRDefault="00871692" w:rsidP="009B4FC7">
            <w:pPr>
              <w:pStyle w:val="Tabletext0"/>
              <w:ind w:right="85"/>
              <w:rPr>
                <w:rFonts w:ascii="Calibri" w:hAnsi="Calibri" w:cs="Calibri"/>
                <w:color w:val="002B45"/>
              </w:rPr>
            </w:pPr>
            <w:r w:rsidRPr="00402154">
              <w:rPr>
                <w:rFonts w:ascii="Calibri" w:hAnsi="Calibri" w:cs="Calibri"/>
                <w:color w:val="002B45"/>
              </w:rPr>
              <w:t xml:space="preserve">Provisions </w:t>
            </w:r>
          </w:p>
        </w:tc>
        <w:tc>
          <w:tcPr>
            <w:tcW w:w="709" w:type="dxa"/>
            <w:vAlign w:val="bottom"/>
          </w:tcPr>
          <w:p w:rsidR="00871692" w:rsidRPr="00787286" w:rsidRDefault="007E10D2" w:rsidP="00FE7B3C">
            <w:pPr>
              <w:pStyle w:val="Tabletext"/>
              <w:tabs>
                <w:tab w:val="decimal" w:pos="907"/>
              </w:tabs>
              <w:ind w:right="113"/>
              <w:jc w:val="right"/>
              <w:rPr>
                <w:rFonts w:ascii="Calibri" w:hAnsi="Calibri" w:cs="Calibri"/>
                <w:color w:val="00305C"/>
              </w:rPr>
            </w:pPr>
            <w:r>
              <w:rPr>
                <w:rFonts w:ascii="Calibri" w:hAnsi="Calibri" w:cs="Calibri"/>
                <w:color w:val="00305C"/>
              </w:rPr>
              <w:t>12</w:t>
            </w:r>
          </w:p>
        </w:tc>
        <w:tc>
          <w:tcPr>
            <w:tcW w:w="1105" w:type="dxa"/>
            <w:shd w:val="clear" w:color="auto" w:fill="E6E6E6"/>
            <w:vAlign w:val="bottom"/>
          </w:tcPr>
          <w:p w:rsidR="00871692" w:rsidRPr="00745A36" w:rsidRDefault="00871692" w:rsidP="007E10D2">
            <w:pPr>
              <w:pStyle w:val="Tabletext"/>
              <w:tabs>
                <w:tab w:val="decimal" w:pos="907"/>
              </w:tabs>
              <w:ind w:left="85" w:right="113"/>
              <w:jc w:val="right"/>
              <w:rPr>
                <w:rFonts w:ascii="Calibri" w:hAnsi="Calibri" w:cs="Calibri"/>
                <w:color w:val="002B45"/>
              </w:rPr>
            </w:pPr>
            <w:r w:rsidRPr="00745A36">
              <w:rPr>
                <w:rFonts w:ascii="Calibri" w:hAnsi="Calibri" w:cs="Calibri"/>
                <w:color w:val="002B45"/>
              </w:rPr>
              <w:t>(</w:t>
            </w:r>
            <w:r w:rsidR="007E10D2">
              <w:rPr>
                <w:rFonts w:ascii="Calibri" w:hAnsi="Calibri" w:cs="Calibri"/>
                <w:color w:val="002B45"/>
              </w:rPr>
              <w:t>989.2</w:t>
            </w:r>
            <w:r w:rsidRPr="00745A36">
              <w:rPr>
                <w:rFonts w:ascii="Calibri" w:hAnsi="Calibri" w:cs="Calibri"/>
                <w:color w:val="002B45"/>
              </w:rPr>
              <w:t>)</w:t>
            </w:r>
          </w:p>
        </w:tc>
        <w:tc>
          <w:tcPr>
            <w:tcW w:w="1163" w:type="dxa"/>
            <w:vAlign w:val="bottom"/>
          </w:tcPr>
          <w:p w:rsidR="00871692" w:rsidRPr="00745A36" w:rsidRDefault="00871692" w:rsidP="00FE7B3C">
            <w:pPr>
              <w:pStyle w:val="Tabletext"/>
              <w:tabs>
                <w:tab w:val="decimal" w:pos="907"/>
              </w:tabs>
              <w:ind w:left="85" w:right="113"/>
              <w:jc w:val="right"/>
              <w:rPr>
                <w:rFonts w:ascii="Calibri" w:hAnsi="Calibri" w:cs="Calibri"/>
                <w:color w:val="002B45"/>
              </w:rPr>
            </w:pPr>
            <w:r w:rsidRPr="00745A36">
              <w:rPr>
                <w:rFonts w:ascii="Calibri" w:hAnsi="Calibri" w:cs="Calibri"/>
                <w:color w:val="002B45"/>
              </w:rPr>
              <w:t>(531.6)</w:t>
            </w:r>
          </w:p>
        </w:tc>
      </w:tr>
      <w:tr w:rsidR="00871692" w:rsidRPr="000A48FD" w:rsidTr="00772C45">
        <w:trPr>
          <w:trHeight w:val="255"/>
        </w:trPr>
        <w:tc>
          <w:tcPr>
            <w:tcW w:w="6521" w:type="dxa"/>
            <w:tcBorders>
              <w:bottom w:val="single" w:sz="4" w:space="0" w:color="999999"/>
            </w:tcBorders>
            <w:shd w:val="clear" w:color="auto" w:fill="auto"/>
            <w:vAlign w:val="bottom"/>
          </w:tcPr>
          <w:p w:rsidR="00871692" w:rsidRPr="00402154" w:rsidRDefault="00871692" w:rsidP="009B4FC7">
            <w:pPr>
              <w:pStyle w:val="Tabletext0"/>
              <w:ind w:right="85"/>
              <w:rPr>
                <w:rFonts w:ascii="Calibri" w:hAnsi="Calibri" w:cs="Calibri"/>
                <w:color w:val="002B45"/>
              </w:rPr>
            </w:pPr>
            <w:r w:rsidRPr="00402154">
              <w:rPr>
                <w:rFonts w:ascii="Calibri" w:hAnsi="Calibri" w:cs="Calibri"/>
                <w:color w:val="002B45"/>
              </w:rPr>
              <w:t>Deferred tax liabilities</w:t>
            </w:r>
          </w:p>
        </w:tc>
        <w:tc>
          <w:tcPr>
            <w:tcW w:w="709" w:type="dxa"/>
            <w:tcBorders>
              <w:bottom w:val="single" w:sz="4" w:space="0" w:color="999999"/>
            </w:tcBorders>
            <w:shd w:val="clear" w:color="auto" w:fill="auto"/>
            <w:vAlign w:val="bottom"/>
          </w:tcPr>
          <w:p w:rsidR="00871692" w:rsidRPr="00787286" w:rsidRDefault="00871692" w:rsidP="00FE7B3C">
            <w:pPr>
              <w:pStyle w:val="Tabletext"/>
              <w:tabs>
                <w:tab w:val="decimal" w:pos="907"/>
              </w:tabs>
              <w:ind w:right="113"/>
              <w:jc w:val="right"/>
              <w:rPr>
                <w:rFonts w:ascii="Calibri" w:hAnsi="Calibri" w:cs="Calibri"/>
                <w:color w:val="00305C"/>
              </w:rPr>
            </w:pPr>
          </w:p>
        </w:tc>
        <w:tc>
          <w:tcPr>
            <w:tcW w:w="1105" w:type="dxa"/>
            <w:tcBorders>
              <w:bottom w:val="single" w:sz="4" w:space="0" w:color="999999"/>
            </w:tcBorders>
            <w:shd w:val="clear" w:color="auto" w:fill="E6E6E6"/>
            <w:vAlign w:val="bottom"/>
          </w:tcPr>
          <w:p w:rsidR="00871692" w:rsidRPr="00745A36" w:rsidRDefault="00871692" w:rsidP="00FE7B3C">
            <w:pPr>
              <w:pStyle w:val="Tabletext"/>
              <w:tabs>
                <w:tab w:val="decimal" w:pos="907"/>
              </w:tabs>
              <w:ind w:left="85" w:right="113"/>
              <w:jc w:val="right"/>
              <w:rPr>
                <w:rFonts w:ascii="Calibri" w:hAnsi="Calibri" w:cs="Calibri"/>
                <w:color w:val="002B45"/>
              </w:rPr>
            </w:pPr>
            <w:r w:rsidRPr="00745A36">
              <w:rPr>
                <w:rFonts w:ascii="Calibri" w:hAnsi="Calibri" w:cs="Calibri"/>
                <w:color w:val="002B45"/>
              </w:rPr>
              <w:t>(1,588.0)</w:t>
            </w:r>
          </w:p>
        </w:tc>
        <w:tc>
          <w:tcPr>
            <w:tcW w:w="1163" w:type="dxa"/>
            <w:tcBorders>
              <w:bottom w:val="single" w:sz="4" w:space="0" w:color="999999"/>
            </w:tcBorders>
            <w:shd w:val="clear" w:color="auto" w:fill="auto"/>
            <w:vAlign w:val="bottom"/>
          </w:tcPr>
          <w:p w:rsidR="00871692" w:rsidRPr="00745A36" w:rsidRDefault="00871692" w:rsidP="00FE7B3C">
            <w:pPr>
              <w:pStyle w:val="Tabletext"/>
              <w:tabs>
                <w:tab w:val="decimal" w:pos="907"/>
              </w:tabs>
              <w:ind w:left="85" w:right="113"/>
              <w:jc w:val="right"/>
              <w:rPr>
                <w:rFonts w:ascii="Calibri" w:hAnsi="Calibri" w:cs="Calibri"/>
                <w:color w:val="002B45"/>
              </w:rPr>
            </w:pPr>
            <w:r w:rsidRPr="00745A36">
              <w:rPr>
                <w:rFonts w:ascii="Calibri" w:hAnsi="Calibri" w:cs="Calibri"/>
                <w:color w:val="002B45"/>
              </w:rPr>
              <w:t>(1,076.3)</w:t>
            </w:r>
          </w:p>
        </w:tc>
      </w:tr>
      <w:tr w:rsidR="00871692" w:rsidTr="00772C45">
        <w:trPr>
          <w:trHeight w:val="255"/>
        </w:trPr>
        <w:tc>
          <w:tcPr>
            <w:tcW w:w="6521" w:type="dxa"/>
            <w:tcBorders>
              <w:top w:val="single" w:sz="4" w:space="0" w:color="999999"/>
              <w:bottom w:val="single" w:sz="4" w:space="0" w:color="999999"/>
            </w:tcBorders>
            <w:shd w:val="clear" w:color="auto" w:fill="auto"/>
            <w:vAlign w:val="bottom"/>
          </w:tcPr>
          <w:p w:rsidR="00871692" w:rsidRPr="00402154" w:rsidRDefault="00871692" w:rsidP="009B4FC7">
            <w:pPr>
              <w:pStyle w:val="Tabletext0"/>
              <w:ind w:right="85"/>
              <w:rPr>
                <w:rFonts w:ascii="Calibri" w:hAnsi="Calibri" w:cs="Calibri"/>
                <w:color w:val="002B45"/>
              </w:rPr>
            </w:pPr>
          </w:p>
        </w:tc>
        <w:tc>
          <w:tcPr>
            <w:tcW w:w="709" w:type="dxa"/>
            <w:tcBorders>
              <w:top w:val="single" w:sz="4" w:space="0" w:color="999999"/>
              <w:bottom w:val="single" w:sz="4" w:space="0" w:color="999999"/>
            </w:tcBorders>
            <w:shd w:val="clear" w:color="auto" w:fill="auto"/>
            <w:vAlign w:val="bottom"/>
          </w:tcPr>
          <w:p w:rsidR="00871692" w:rsidRPr="00787286" w:rsidRDefault="00871692" w:rsidP="00FE7B3C">
            <w:pPr>
              <w:pStyle w:val="Tabletext"/>
              <w:tabs>
                <w:tab w:val="decimal" w:pos="907"/>
              </w:tabs>
              <w:ind w:right="113"/>
              <w:jc w:val="right"/>
              <w:rPr>
                <w:rFonts w:ascii="Calibri" w:hAnsi="Calibri" w:cs="Calibri"/>
                <w:color w:val="00305C"/>
              </w:rPr>
            </w:pPr>
          </w:p>
        </w:tc>
        <w:tc>
          <w:tcPr>
            <w:tcW w:w="1105" w:type="dxa"/>
            <w:tcBorders>
              <w:top w:val="single" w:sz="4" w:space="0" w:color="999999"/>
              <w:bottom w:val="single" w:sz="4" w:space="0" w:color="999999"/>
            </w:tcBorders>
            <w:shd w:val="clear" w:color="auto" w:fill="E6E6E6"/>
            <w:vAlign w:val="bottom"/>
          </w:tcPr>
          <w:p w:rsidR="00871692" w:rsidRPr="00745A36" w:rsidRDefault="00871692" w:rsidP="007E10D2">
            <w:pPr>
              <w:pStyle w:val="Tabletext"/>
              <w:tabs>
                <w:tab w:val="decimal" w:pos="907"/>
              </w:tabs>
              <w:ind w:left="85" w:right="113"/>
              <w:jc w:val="right"/>
              <w:rPr>
                <w:rFonts w:ascii="Calibri" w:hAnsi="Calibri" w:cs="Calibri"/>
                <w:color w:val="002B45"/>
              </w:rPr>
            </w:pPr>
            <w:r w:rsidRPr="00745A36">
              <w:rPr>
                <w:rFonts w:ascii="Calibri" w:hAnsi="Calibri" w:cs="Calibri"/>
                <w:color w:val="002B45"/>
              </w:rPr>
              <w:t>(4,</w:t>
            </w:r>
            <w:r w:rsidR="007E10D2">
              <w:rPr>
                <w:rFonts w:ascii="Calibri" w:hAnsi="Calibri" w:cs="Calibri"/>
                <w:color w:val="002B45"/>
              </w:rPr>
              <w:t>629.9</w:t>
            </w:r>
            <w:r w:rsidRPr="00745A36">
              <w:rPr>
                <w:rFonts w:ascii="Calibri" w:hAnsi="Calibri" w:cs="Calibri"/>
                <w:color w:val="002B45"/>
              </w:rPr>
              <w:t>)</w:t>
            </w:r>
          </w:p>
        </w:tc>
        <w:tc>
          <w:tcPr>
            <w:tcW w:w="1163" w:type="dxa"/>
            <w:tcBorders>
              <w:top w:val="single" w:sz="4" w:space="0" w:color="999999"/>
              <w:bottom w:val="single" w:sz="4" w:space="0" w:color="999999"/>
            </w:tcBorders>
            <w:shd w:val="clear" w:color="auto" w:fill="auto"/>
            <w:vAlign w:val="bottom"/>
          </w:tcPr>
          <w:p w:rsidR="00871692" w:rsidRPr="00745A36" w:rsidRDefault="00871692" w:rsidP="00FE7B3C">
            <w:pPr>
              <w:pStyle w:val="Tabletext"/>
              <w:tabs>
                <w:tab w:val="decimal" w:pos="907"/>
              </w:tabs>
              <w:ind w:left="85" w:right="113"/>
              <w:jc w:val="right"/>
              <w:rPr>
                <w:rFonts w:ascii="Calibri" w:hAnsi="Calibri" w:cs="Calibri"/>
                <w:color w:val="002B45"/>
              </w:rPr>
            </w:pPr>
            <w:r w:rsidRPr="00745A36">
              <w:rPr>
                <w:rFonts w:ascii="Calibri" w:hAnsi="Calibri" w:cs="Calibri"/>
                <w:color w:val="002B45"/>
              </w:rPr>
              <w:t>(2,831.4)</w:t>
            </w:r>
          </w:p>
        </w:tc>
      </w:tr>
      <w:tr w:rsidR="00871692" w:rsidTr="00772C45">
        <w:trPr>
          <w:trHeight w:val="255"/>
        </w:trPr>
        <w:tc>
          <w:tcPr>
            <w:tcW w:w="6521" w:type="dxa"/>
            <w:tcBorders>
              <w:top w:val="single" w:sz="4" w:space="0" w:color="999999"/>
              <w:bottom w:val="single" w:sz="4" w:space="0" w:color="999999"/>
            </w:tcBorders>
            <w:shd w:val="clear" w:color="auto" w:fill="auto"/>
            <w:vAlign w:val="bottom"/>
          </w:tcPr>
          <w:p w:rsidR="00871692" w:rsidRPr="00402154" w:rsidRDefault="00871692" w:rsidP="009B4FC7">
            <w:pPr>
              <w:pStyle w:val="Tabletext0"/>
              <w:ind w:right="85"/>
              <w:rPr>
                <w:rFonts w:ascii="Calibri" w:hAnsi="Calibri" w:cs="Calibri"/>
                <w:color w:val="002B45"/>
              </w:rPr>
            </w:pPr>
            <w:r w:rsidRPr="00402154">
              <w:rPr>
                <w:rFonts w:ascii="Calibri" w:hAnsi="Calibri" w:cs="Calibri"/>
                <w:color w:val="002B45"/>
              </w:rPr>
              <w:t xml:space="preserve">Total liabilities </w:t>
            </w:r>
          </w:p>
        </w:tc>
        <w:tc>
          <w:tcPr>
            <w:tcW w:w="709" w:type="dxa"/>
            <w:tcBorders>
              <w:top w:val="single" w:sz="4" w:space="0" w:color="999999"/>
              <w:bottom w:val="single" w:sz="4" w:space="0" w:color="999999"/>
            </w:tcBorders>
            <w:shd w:val="clear" w:color="auto" w:fill="auto"/>
            <w:vAlign w:val="bottom"/>
          </w:tcPr>
          <w:p w:rsidR="00871692" w:rsidRPr="00787286" w:rsidRDefault="00871692" w:rsidP="00FE7B3C">
            <w:pPr>
              <w:pStyle w:val="Tabletext"/>
              <w:tabs>
                <w:tab w:val="decimal" w:pos="907"/>
              </w:tabs>
              <w:ind w:right="113"/>
              <w:jc w:val="right"/>
              <w:rPr>
                <w:rFonts w:ascii="Calibri" w:hAnsi="Calibri" w:cs="Calibri"/>
                <w:color w:val="00305C"/>
              </w:rPr>
            </w:pPr>
          </w:p>
        </w:tc>
        <w:tc>
          <w:tcPr>
            <w:tcW w:w="1105" w:type="dxa"/>
            <w:tcBorders>
              <w:top w:val="single" w:sz="4" w:space="0" w:color="999999"/>
              <w:bottom w:val="single" w:sz="4" w:space="0" w:color="999999"/>
            </w:tcBorders>
            <w:shd w:val="clear" w:color="auto" w:fill="E6E6E6"/>
            <w:vAlign w:val="bottom"/>
          </w:tcPr>
          <w:p w:rsidR="00871692" w:rsidRPr="00745A36" w:rsidRDefault="007E10D2" w:rsidP="007E10D2">
            <w:pPr>
              <w:pStyle w:val="Tabletext"/>
              <w:tabs>
                <w:tab w:val="decimal" w:pos="907"/>
              </w:tabs>
              <w:ind w:left="85" w:right="113"/>
              <w:jc w:val="right"/>
              <w:rPr>
                <w:rFonts w:ascii="Calibri" w:hAnsi="Calibri" w:cs="Calibri"/>
                <w:color w:val="002B45"/>
              </w:rPr>
            </w:pPr>
            <w:r>
              <w:rPr>
                <w:rFonts w:ascii="Calibri" w:hAnsi="Calibri" w:cs="Calibri"/>
                <w:color w:val="002B45"/>
              </w:rPr>
              <w:t>(6,062.2</w:t>
            </w:r>
            <w:r w:rsidR="00871692" w:rsidRPr="00745A36">
              <w:rPr>
                <w:rFonts w:ascii="Calibri" w:hAnsi="Calibri" w:cs="Calibri"/>
                <w:color w:val="002B45"/>
              </w:rPr>
              <w:t>)</w:t>
            </w:r>
          </w:p>
        </w:tc>
        <w:tc>
          <w:tcPr>
            <w:tcW w:w="1163" w:type="dxa"/>
            <w:tcBorders>
              <w:top w:val="single" w:sz="4" w:space="0" w:color="999999"/>
              <w:bottom w:val="single" w:sz="4" w:space="0" w:color="999999"/>
            </w:tcBorders>
            <w:shd w:val="clear" w:color="auto" w:fill="auto"/>
            <w:vAlign w:val="bottom"/>
          </w:tcPr>
          <w:p w:rsidR="00871692" w:rsidRPr="00745A36" w:rsidRDefault="00871692" w:rsidP="00FE7B3C">
            <w:pPr>
              <w:pStyle w:val="Tabletext"/>
              <w:tabs>
                <w:tab w:val="decimal" w:pos="907"/>
              </w:tabs>
              <w:ind w:left="85" w:right="113"/>
              <w:jc w:val="right"/>
              <w:rPr>
                <w:rFonts w:ascii="Calibri" w:hAnsi="Calibri" w:cs="Calibri"/>
                <w:color w:val="002B45"/>
              </w:rPr>
            </w:pPr>
            <w:r w:rsidRPr="00745A36">
              <w:rPr>
                <w:rFonts w:ascii="Calibri" w:hAnsi="Calibri" w:cs="Calibri"/>
                <w:color w:val="002B45"/>
              </w:rPr>
              <w:t>(4,060.2)</w:t>
            </w:r>
          </w:p>
        </w:tc>
      </w:tr>
      <w:tr w:rsidR="00871692" w:rsidTr="00772C45">
        <w:trPr>
          <w:trHeight w:val="255"/>
        </w:trPr>
        <w:tc>
          <w:tcPr>
            <w:tcW w:w="6521" w:type="dxa"/>
            <w:tcBorders>
              <w:top w:val="single" w:sz="4" w:space="0" w:color="999999"/>
              <w:bottom w:val="single" w:sz="12" w:space="0" w:color="999999"/>
            </w:tcBorders>
            <w:shd w:val="clear" w:color="auto" w:fill="auto"/>
            <w:vAlign w:val="bottom"/>
          </w:tcPr>
          <w:p w:rsidR="00871692" w:rsidRPr="00402154" w:rsidRDefault="00871692" w:rsidP="009B4FC7">
            <w:pPr>
              <w:pStyle w:val="Tabletext0"/>
              <w:ind w:right="85"/>
              <w:rPr>
                <w:rFonts w:ascii="Calibri" w:hAnsi="Calibri" w:cs="Calibri"/>
                <w:color w:val="002B45"/>
              </w:rPr>
            </w:pPr>
            <w:r>
              <w:rPr>
                <w:rFonts w:ascii="Calibri" w:hAnsi="Calibri" w:cs="Calibri"/>
                <w:color w:val="002B45"/>
              </w:rPr>
              <w:br/>
            </w:r>
            <w:r w:rsidRPr="00402154">
              <w:rPr>
                <w:rFonts w:ascii="Calibri" w:hAnsi="Calibri" w:cs="Calibri"/>
                <w:color w:val="002B45"/>
              </w:rPr>
              <w:t>Net assets</w:t>
            </w:r>
          </w:p>
        </w:tc>
        <w:tc>
          <w:tcPr>
            <w:tcW w:w="709" w:type="dxa"/>
            <w:tcBorders>
              <w:top w:val="single" w:sz="4" w:space="0" w:color="999999"/>
              <w:bottom w:val="single" w:sz="12" w:space="0" w:color="999999"/>
            </w:tcBorders>
            <w:shd w:val="clear" w:color="auto" w:fill="auto"/>
            <w:vAlign w:val="bottom"/>
          </w:tcPr>
          <w:p w:rsidR="00871692" w:rsidRPr="00787286" w:rsidRDefault="00871692" w:rsidP="00FE7B3C">
            <w:pPr>
              <w:pStyle w:val="Tabletext"/>
              <w:tabs>
                <w:tab w:val="decimal" w:pos="907"/>
              </w:tabs>
              <w:ind w:right="113"/>
              <w:jc w:val="right"/>
              <w:rPr>
                <w:rFonts w:ascii="Calibri" w:hAnsi="Calibri" w:cs="Calibri"/>
                <w:color w:val="00305C"/>
              </w:rPr>
            </w:pPr>
          </w:p>
        </w:tc>
        <w:tc>
          <w:tcPr>
            <w:tcW w:w="1105" w:type="dxa"/>
            <w:tcBorders>
              <w:top w:val="single" w:sz="4" w:space="0" w:color="999999"/>
              <w:bottom w:val="single" w:sz="12" w:space="0" w:color="999999"/>
            </w:tcBorders>
            <w:shd w:val="clear" w:color="auto" w:fill="E6E6E6"/>
            <w:vAlign w:val="bottom"/>
          </w:tcPr>
          <w:p w:rsidR="00871692" w:rsidRPr="00745A36" w:rsidRDefault="00871692" w:rsidP="00FE7B3C">
            <w:pPr>
              <w:pStyle w:val="Tabletext"/>
              <w:tabs>
                <w:tab w:val="decimal" w:pos="907"/>
              </w:tabs>
              <w:ind w:left="85" w:right="113"/>
              <w:jc w:val="right"/>
              <w:rPr>
                <w:rFonts w:ascii="Calibri" w:hAnsi="Calibri" w:cs="Calibri"/>
                <w:color w:val="002B45"/>
              </w:rPr>
            </w:pPr>
            <w:r w:rsidRPr="00745A36">
              <w:rPr>
                <w:rFonts w:ascii="Calibri" w:hAnsi="Calibri" w:cs="Calibri"/>
                <w:color w:val="002B45"/>
              </w:rPr>
              <w:t xml:space="preserve"> 5,446.4 </w:t>
            </w:r>
          </w:p>
        </w:tc>
        <w:tc>
          <w:tcPr>
            <w:tcW w:w="1163" w:type="dxa"/>
            <w:tcBorders>
              <w:top w:val="single" w:sz="4" w:space="0" w:color="999999"/>
              <w:bottom w:val="single" w:sz="12" w:space="0" w:color="999999"/>
            </w:tcBorders>
            <w:shd w:val="clear" w:color="auto" w:fill="auto"/>
            <w:vAlign w:val="bottom"/>
          </w:tcPr>
          <w:p w:rsidR="00871692" w:rsidRPr="00745A36" w:rsidRDefault="00871692" w:rsidP="00FE7B3C">
            <w:pPr>
              <w:pStyle w:val="Tabletext"/>
              <w:tabs>
                <w:tab w:val="decimal" w:pos="907"/>
              </w:tabs>
              <w:ind w:left="85" w:right="113"/>
              <w:jc w:val="right"/>
              <w:rPr>
                <w:rFonts w:ascii="Calibri" w:hAnsi="Calibri" w:cs="Calibri"/>
                <w:color w:val="002B45"/>
              </w:rPr>
            </w:pPr>
            <w:r w:rsidRPr="00745A36">
              <w:rPr>
                <w:rFonts w:ascii="Calibri" w:hAnsi="Calibri" w:cs="Calibri"/>
                <w:color w:val="002B45"/>
              </w:rPr>
              <w:t xml:space="preserve"> 5,321.6 </w:t>
            </w:r>
          </w:p>
        </w:tc>
      </w:tr>
      <w:tr w:rsidR="00871692" w:rsidRPr="000A48FD" w:rsidTr="00772C45">
        <w:trPr>
          <w:trHeight w:val="255"/>
        </w:trPr>
        <w:tc>
          <w:tcPr>
            <w:tcW w:w="6521" w:type="dxa"/>
            <w:tcBorders>
              <w:top w:val="single" w:sz="12" w:space="0" w:color="999999"/>
            </w:tcBorders>
            <w:vAlign w:val="bottom"/>
          </w:tcPr>
          <w:p w:rsidR="00871692" w:rsidRPr="00402154" w:rsidRDefault="00871692" w:rsidP="009B4FC7">
            <w:pPr>
              <w:pStyle w:val="Tabletext0"/>
              <w:ind w:right="85"/>
              <w:rPr>
                <w:rFonts w:ascii="Calibri" w:hAnsi="Calibri" w:cs="Calibri"/>
                <w:color w:val="002B45"/>
              </w:rPr>
            </w:pPr>
            <w:r w:rsidRPr="00402154">
              <w:rPr>
                <w:rFonts w:ascii="Calibri" w:hAnsi="Calibri" w:cs="Calibri"/>
                <w:color w:val="002B45"/>
              </w:rPr>
              <w:t>EQUITY</w:t>
            </w:r>
          </w:p>
        </w:tc>
        <w:tc>
          <w:tcPr>
            <w:tcW w:w="709" w:type="dxa"/>
            <w:tcBorders>
              <w:top w:val="single" w:sz="12" w:space="0" w:color="999999"/>
            </w:tcBorders>
            <w:vAlign w:val="bottom"/>
          </w:tcPr>
          <w:p w:rsidR="00871692" w:rsidRPr="00787286" w:rsidRDefault="00871692" w:rsidP="00FE7B3C">
            <w:pPr>
              <w:pStyle w:val="Tabletext"/>
              <w:tabs>
                <w:tab w:val="decimal" w:pos="907"/>
              </w:tabs>
              <w:ind w:right="113"/>
              <w:jc w:val="right"/>
              <w:rPr>
                <w:rFonts w:ascii="Calibri" w:hAnsi="Calibri" w:cs="Calibri"/>
                <w:color w:val="00305C"/>
              </w:rPr>
            </w:pPr>
          </w:p>
        </w:tc>
        <w:tc>
          <w:tcPr>
            <w:tcW w:w="1105" w:type="dxa"/>
            <w:tcBorders>
              <w:top w:val="single" w:sz="12" w:space="0" w:color="999999"/>
            </w:tcBorders>
            <w:shd w:val="clear" w:color="auto" w:fill="E6E6E6"/>
            <w:vAlign w:val="bottom"/>
          </w:tcPr>
          <w:p w:rsidR="00871692" w:rsidRPr="00745A36" w:rsidRDefault="00871692" w:rsidP="00FE7B3C">
            <w:pPr>
              <w:pStyle w:val="Tabletext"/>
              <w:tabs>
                <w:tab w:val="decimal" w:pos="907"/>
              </w:tabs>
              <w:ind w:left="85" w:right="113"/>
              <w:jc w:val="right"/>
              <w:rPr>
                <w:rFonts w:ascii="Calibri" w:hAnsi="Calibri" w:cs="Calibri"/>
                <w:color w:val="002B45"/>
              </w:rPr>
            </w:pPr>
          </w:p>
        </w:tc>
        <w:tc>
          <w:tcPr>
            <w:tcW w:w="1163" w:type="dxa"/>
            <w:tcBorders>
              <w:top w:val="single" w:sz="12" w:space="0" w:color="999999"/>
            </w:tcBorders>
            <w:vAlign w:val="bottom"/>
          </w:tcPr>
          <w:p w:rsidR="00871692" w:rsidRPr="00745A36" w:rsidRDefault="00871692" w:rsidP="00FE7B3C">
            <w:pPr>
              <w:pStyle w:val="Tabletext"/>
              <w:tabs>
                <w:tab w:val="decimal" w:pos="907"/>
              </w:tabs>
              <w:ind w:left="85" w:right="113"/>
              <w:jc w:val="right"/>
              <w:rPr>
                <w:rFonts w:ascii="Calibri" w:hAnsi="Calibri" w:cs="Calibri"/>
                <w:color w:val="002B45"/>
              </w:rPr>
            </w:pPr>
          </w:p>
        </w:tc>
      </w:tr>
      <w:tr w:rsidR="00871692" w:rsidRPr="000A48FD" w:rsidTr="00772C45">
        <w:trPr>
          <w:trHeight w:val="255"/>
        </w:trPr>
        <w:tc>
          <w:tcPr>
            <w:tcW w:w="6521" w:type="dxa"/>
            <w:vAlign w:val="bottom"/>
          </w:tcPr>
          <w:p w:rsidR="00871692" w:rsidRPr="00402154" w:rsidRDefault="00871692" w:rsidP="009B4FC7">
            <w:pPr>
              <w:pStyle w:val="Tabletext0"/>
              <w:ind w:right="85"/>
              <w:rPr>
                <w:rFonts w:ascii="Calibri" w:hAnsi="Calibri" w:cs="Calibri"/>
                <w:color w:val="002B45"/>
              </w:rPr>
            </w:pPr>
            <w:r w:rsidRPr="00402154">
              <w:rPr>
                <w:rFonts w:ascii="Calibri" w:hAnsi="Calibri" w:cs="Calibri"/>
                <w:color w:val="002B45"/>
              </w:rPr>
              <w:t xml:space="preserve">Called up share capital </w:t>
            </w:r>
          </w:p>
        </w:tc>
        <w:tc>
          <w:tcPr>
            <w:tcW w:w="709" w:type="dxa"/>
            <w:vAlign w:val="bottom"/>
          </w:tcPr>
          <w:p w:rsidR="00871692" w:rsidRPr="00787286" w:rsidRDefault="00871692" w:rsidP="007E10D2">
            <w:pPr>
              <w:pStyle w:val="Tabletext"/>
              <w:tabs>
                <w:tab w:val="decimal" w:pos="907"/>
              </w:tabs>
              <w:ind w:right="113"/>
              <w:jc w:val="right"/>
              <w:rPr>
                <w:rFonts w:ascii="Calibri" w:hAnsi="Calibri" w:cs="Calibri"/>
                <w:color w:val="00305C"/>
              </w:rPr>
            </w:pPr>
            <w:r w:rsidRPr="00787286">
              <w:rPr>
                <w:rFonts w:ascii="Calibri" w:hAnsi="Calibri" w:cs="Calibri"/>
                <w:color w:val="00305C"/>
              </w:rPr>
              <w:t>1</w:t>
            </w:r>
            <w:r w:rsidR="007E10D2">
              <w:rPr>
                <w:rFonts w:ascii="Calibri" w:hAnsi="Calibri" w:cs="Calibri"/>
                <w:color w:val="00305C"/>
              </w:rPr>
              <w:t>3</w:t>
            </w:r>
          </w:p>
        </w:tc>
        <w:tc>
          <w:tcPr>
            <w:tcW w:w="1105" w:type="dxa"/>
            <w:shd w:val="clear" w:color="auto" w:fill="E6E6E6"/>
            <w:vAlign w:val="bottom"/>
          </w:tcPr>
          <w:p w:rsidR="00871692" w:rsidRPr="00745A36" w:rsidRDefault="00871692" w:rsidP="00FE7B3C">
            <w:pPr>
              <w:pStyle w:val="Tabletext"/>
              <w:tabs>
                <w:tab w:val="decimal" w:pos="907"/>
              </w:tabs>
              <w:ind w:left="85" w:right="113"/>
              <w:jc w:val="right"/>
              <w:rPr>
                <w:rFonts w:ascii="Calibri" w:hAnsi="Calibri" w:cs="Calibri"/>
                <w:color w:val="002B45"/>
              </w:rPr>
            </w:pPr>
            <w:r w:rsidRPr="00745A36">
              <w:rPr>
                <w:rFonts w:ascii="Calibri" w:hAnsi="Calibri" w:cs="Calibri"/>
                <w:color w:val="002B45"/>
              </w:rPr>
              <w:t xml:space="preserve"> 146.9 </w:t>
            </w:r>
          </w:p>
        </w:tc>
        <w:tc>
          <w:tcPr>
            <w:tcW w:w="1163" w:type="dxa"/>
            <w:vAlign w:val="bottom"/>
          </w:tcPr>
          <w:p w:rsidR="00871692" w:rsidRPr="00745A36" w:rsidRDefault="00871692" w:rsidP="00FE7B3C">
            <w:pPr>
              <w:pStyle w:val="Tabletext"/>
              <w:tabs>
                <w:tab w:val="decimal" w:pos="907"/>
              </w:tabs>
              <w:ind w:left="85" w:right="113"/>
              <w:jc w:val="right"/>
              <w:rPr>
                <w:rFonts w:ascii="Calibri" w:hAnsi="Calibri" w:cs="Calibri"/>
                <w:color w:val="002B45"/>
              </w:rPr>
            </w:pPr>
            <w:r w:rsidRPr="00745A36">
              <w:rPr>
                <w:rFonts w:ascii="Calibri" w:hAnsi="Calibri" w:cs="Calibri"/>
                <w:color w:val="002B45"/>
              </w:rPr>
              <w:t xml:space="preserve"> 146.6 </w:t>
            </w:r>
          </w:p>
        </w:tc>
      </w:tr>
      <w:tr w:rsidR="00871692" w:rsidRPr="000A48FD" w:rsidTr="00772C45">
        <w:trPr>
          <w:trHeight w:val="255"/>
        </w:trPr>
        <w:tc>
          <w:tcPr>
            <w:tcW w:w="6521" w:type="dxa"/>
            <w:vAlign w:val="bottom"/>
          </w:tcPr>
          <w:p w:rsidR="00871692" w:rsidRPr="00402154" w:rsidRDefault="00871692" w:rsidP="009B4FC7">
            <w:pPr>
              <w:pStyle w:val="Tabletext0"/>
              <w:ind w:right="85"/>
              <w:rPr>
                <w:rFonts w:ascii="Calibri" w:hAnsi="Calibri" w:cs="Calibri"/>
                <w:color w:val="002B45"/>
              </w:rPr>
            </w:pPr>
            <w:r w:rsidRPr="00402154">
              <w:rPr>
                <w:rFonts w:ascii="Calibri" w:hAnsi="Calibri" w:cs="Calibri"/>
                <w:color w:val="002B45"/>
              </w:rPr>
              <w:t>Share premium</w:t>
            </w:r>
          </w:p>
        </w:tc>
        <w:tc>
          <w:tcPr>
            <w:tcW w:w="709" w:type="dxa"/>
            <w:vAlign w:val="bottom"/>
          </w:tcPr>
          <w:p w:rsidR="00871692" w:rsidRPr="00787286" w:rsidRDefault="00871692" w:rsidP="00FE7B3C">
            <w:pPr>
              <w:pStyle w:val="Tabletext"/>
              <w:tabs>
                <w:tab w:val="decimal" w:pos="907"/>
              </w:tabs>
              <w:ind w:right="113"/>
              <w:jc w:val="right"/>
              <w:rPr>
                <w:rFonts w:ascii="Calibri" w:hAnsi="Calibri" w:cs="Calibri"/>
                <w:color w:val="00305C"/>
              </w:rPr>
            </w:pPr>
          </w:p>
        </w:tc>
        <w:tc>
          <w:tcPr>
            <w:tcW w:w="1105" w:type="dxa"/>
            <w:shd w:val="clear" w:color="auto" w:fill="E6E6E6"/>
            <w:vAlign w:val="bottom"/>
          </w:tcPr>
          <w:p w:rsidR="00871692" w:rsidRPr="00745A36" w:rsidRDefault="00871692" w:rsidP="00FE7B3C">
            <w:pPr>
              <w:pStyle w:val="Tabletext"/>
              <w:tabs>
                <w:tab w:val="decimal" w:pos="907"/>
              </w:tabs>
              <w:ind w:left="85" w:right="113"/>
              <w:jc w:val="right"/>
              <w:rPr>
                <w:rFonts w:ascii="Calibri" w:hAnsi="Calibri" w:cs="Calibri"/>
                <w:color w:val="002B45"/>
              </w:rPr>
            </w:pPr>
            <w:r w:rsidRPr="00745A36">
              <w:rPr>
                <w:rFonts w:ascii="Calibri" w:hAnsi="Calibri" w:cs="Calibri"/>
                <w:color w:val="002B45"/>
              </w:rPr>
              <w:t xml:space="preserve"> 603.2 </w:t>
            </w:r>
          </w:p>
        </w:tc>
        <w:tc>
          <w:tcPr>
            <w:tcW w:w="1163" w:type="dxa"/>
            <w:vAlign w:val="bottom"/>
          </w:tcPr>
          <w:p w:rsidR="00871692" w:rsidRPr="00745A36" w:rsidRDefault="00871692" w:rsidP="00FE7B3C">
            <w:pPr>
              <w:pStyle w:val="Tabletext"/>
              <w:tabs>
                <w:tab w:val="decimal" w:pos="907"/>
              </w:tabs>
              <w:ind w:left="85" w:right="113"/>
              <w:jc w:val="right"/>
              <w:rPr>
                <w:rFonts w:ascii="Calibri" w:hAnsi="Calibri" w:cs="Calibri"/>
                <w:color w:val="002B45"/>
              </w:rPr>
            </w:pPr>
            <w:r w:rsidRPr="00745A36">
              <w:rPr>
                <w:rFonts w:ascii="Calibri" w:hAnsi="Calibri" w:cs="Calibri"/>
                <w:color w:val="002B45"/>
              </w:rPr>
              <w:t xml:space="preserve"> 584.8 </w:t>
            </w:r>
          </w:p>
        </w:tc>
      </w:tr>
      <w:tr w:rsidR="00871692" w:rsidRPr="000A48FD" w:rsidTr="00772C45">
        <w:trPr>
          <w:trHeight w:val="255"/>
        </w:trPr>
        <w:tc>
          <w:tcPr>
            <w:tcW w:w="6521" w:type="dxa"/>
            <w:vAlign w:val="bottom"/>
          </w:tcPr>
          <w:p w:rsidR="00871692" w:rsidRPr="00745A36" w:rsidRDefault="00871692" w:rsidP="009B4FC7">
            <w:pPr>
              <w:pStyle w:val="Tabletext0"/>
              <w:rPr>
                <w:rFonts w:ascii="Calibri" w:hAnsi="Calibri" w:cs="Calibri"/>
                <w:color w:val="002B45"/>
              </w:rPr>
            </w:pPr>
            <w:r w:rsidRPr="00745A36">
              <w:rPr>
                <w:rFonts w:ascii="Calibri" w:hAnsi="Calibri" w:cs="Calibri"/>
                <w:color w:val="002B45"/>
              </w:rPr>
              <w:t>Foreign currency translation reserve</w:t>
            </w:r>
          </w:p>
        </w:tc>
        <w:tc>
          <w:tcPr>
            <w:tcW w:w="709" w:type="dxa"/>
            <w:vAlign w:val="bottom"/>
          </w:tcPr>
          <w:p w:rsidR="00871692" w:rsidRPr="00787286" w:rsidRDefault="00871692" w:rsidP="00FE7B3C">
            <w:pPr>
              <w:pStyle w:val="Tabletext"/>
              <w:tabs>
                <w:tab w:val="decimal" w:pos="907"/>
              </w:tabs>
              <w:ind w:right="113"/>
              <w:jc w:val="right"/>
              <w:rPr>
                <w:rFonts w:ascii="Calibri" w:hAnsi="Calibri" w:cs="Calibri"/>
                <w:color w:val="00305C"/>
              </w:rPr>
            </w:pPr>
          </w:p>
        </w:tc>
        <w:tc>
          <w:tcPr>
            <w:tcW w:w="1105" w:type="dxa"/>
            <w:shd w:val="clear" w:color="auto" w:fill="E6E6E6"/>
            <w:vAlign w:val="bottom"/>
          </w:tcPr>
          <w:p w:rsidR="00871692" w:rsidRPr="00745A36" w:rsidRDefault="00871692" w:rsidP="00FE7B3C">
            <w:pPr>
              <w:pStyle w:val="Tabletext"/>
              <w:tabs>
                <w:tab w:val="decimal" w:pos="907"/>
              </w:tabs>
              <w:ind w:left="85" w:right="113"/>
              <w:jc w:val="right"/>
              <w:rPr>
                <w:rFonts w:ascii="Calibri" w:hAnsi="Calibri" w:cs="Calibri"/>
                <w:color w:val="002B45"/>
              </w:rPr>
            </w:pPr>
            <w:r w:rsidRPr="00745A36">
              <w:rPr>
                <w:rFonts w:ascii="Calibri" w:hAnsi="Calibri" w:cs="Calibri"/>
                <w:color w:val="002B45"/>
              </w:rPr>
              <w:t>(155.1)</w:t>
            </w:r>
          </w:p>
        </w:tc>
        <w:tc>
          <w:tcPr>
            <w:tcW w:w="1163" w:type="dxa"/>
            <w:vAlign w:val="bottom"/>
          </w:tcPr>
          <w:p w:rsidR="00871692" w:rsidRPr="00745A36" w:rsidRDefault="00871692" w:rsidP="00FE7B3C">
            <w:pPr>
              <w:pStyle w:val="Tabletext"/>
              <w:tabs>
                <w:tab w:val="decimal" w:pos="907"/>
              </w:tabs>
              <w:ind w:left="85" w:right="113"/>
              <w:jc w:val="right"/>
              <w:rPr>
                <w:rFonts w:ascii="Calibri" w:hAnsi="Calibri" w:cs="Calibri"/>
                <w:color w:val="002B45"/>
              </w:rPr>
            </w:pPr>
            <w:r w:rsidRPr="00745A36">
              <w:rPr>
                <w:rFonts w:ascii="Calibri" w:hAnsi="Calibri" w:cs="Calibri"/>
                <w:color w:val="002B45"/>
              </w:rPr>
              <w:t>(167.8)</w:t>
            </w:r>
          </w:p>
        </w:tc>
      </w:tr>
      <w:tr w:rsidR="00871692" w:rsidRPr="000A48FD" w:rsidTr="00772C45">
        <w:trPr>
          <w:trHeight w:val="255"/>
        </w:trPr>
        <w:tc>
          <w:tcPr>
            <w:tcW w:w="6521" w:type="dxa"/>
            <w:vAlign w:val="bottom"/>
          </w:tcPr>
          <w:p w:rsidR="00871692" w:rsidRPr="00745A36" w:rsidRDefault="00871692" w:rsidP="009B4FC7">
            <w:pPr>
              <w:pStyle w:val="Tabletext0"/>
              <w:rPr>
                <w:rFonts w:ascii="Calibri" w:hAnsi="Calibri" w:cs="Calibri"/>
                <w:color w:val="002B45"/>
              </w:rPr>
            </w:pPr>
            <w:r w:rsidRPr="00745A36">
              <w:rPr>
                <w:rFonts w:ascii="Calibri" w:hAnsi="Calibri" w:cs="Calibri"/>
                <w:color w:val="002B45"/>
              </w:rPr>
              <w:t>Hedge reserve</w:t>
            </w:r>
          </w:p>
        </w:tc>
        <w:tc>
          <w:tcPr>
            <w:tcW w:w="709" w:type="dxa"/>
            <w:vAlign w:val="bottom"/>
          </w:tcPr>
          <w:p w:rsidR="00871692" w:rsidRPr="00787286" w:rsidRDefault="00871692" w:rsidP="00FE7B3C">
            <w:pPr>
              <w:pStyle w:val="Tabletext"/>
              <w:tabs>
                <w:tab w:val="decimal" w:pos="907"/>
              </w:tabs>
              <w:ind w:right="113"/>
              <w:jc w:val="right"/>
              <w:rPr>
                <w:rFonts w:ascii="Calibri" w:hAnsi="Calibri" w:cs="Calibri"/>
                <w:color w:val="00305C"/>
              </w:rPr>
            </w:pPr>
          </w:p>
        </w:tc>
        <w:tc>
          <w:tcPr>
            <w:tcW w:w="1105" w:type="dxa"/>
            <w:shd w:val="clear" w:color="auto" w:fill="E6E6E6"/>
            <w:vAlign w:val="bottom"/>
          </w:tcPr>
          <w:p w:rsidR="00871692" w:rsidRPr="00745A36" w:rsidRDefault="00871692" w:rsidP="00FE7B3C">
            <w:pPr>
              <w:pStyle w:val="Tabletext"/>
              <w:tabs>
                <w:tab w:val="decimal" w:pos="907"/>
              </w:tabs>
              <w:ind w:left="85" w:right="113"/>
              <w:jc w:val="right"/>
              <w:rPr>
                <w:rFonts w:ascii="Calibri" w:hAnsi="Calibri" w:cs="Calibri"/>
                <w:color w:val="002B45"/>
              </w:rPr>
            </w:pPr>
            <w:r w:rsidRPr="00745A36">
              <w:rPr>
                <w:rFonts w:ascii="Calibri" w:hAnsi="Calibri" w:cs="Calibri"/>
                <w:color w:val="002B45"/>
              </w:rPr>
              <w:t xml:space="preserve"> 2.3 </w:t>
            </w:r>
          </w:p>
        </w:tc>
        <w:tc>
          <w:tcPr>
            <w:tcW w:w="1163" w:type="dxa"/>
            <w:vAlign w:val="bottom"/>
          </w:tcPr>
          <w:p w:rsidR="00871692" w:rsidRPr="00745A36" w:rsidRDefault="00871692" w:rsidP="00FE7B3C">
            <w:pPr>
              <w:pStyle w:val="Tabletext"/>
              <w:tabs>
                <w:tab w:val="decimal" w:pos="907"/>
              </w:tabs>
              <w:ind w:left="85" w:right="113"/>
              <w:jc w:val="right"/>
              <w:rPr>
                <w:rFonts w:ascii="Calibri" w:hAnsi="Calibri" w:cs="Calibri"/>
                <w:color w:val="002B45"/>
              </w:rPr>
            </w:pPr>
            <w:r w:rsidRPr="00745A36">
              <w:rPr>
                <w:rFonts w:ascii="Calibri" w:hAnsi="Calibri" w:cs="Calibri"/>
                <w:color w:val="002B45"/>
              </w:rPr>
              <w:t>(6.5)</w:t>
            </w:r>
          </w:p>
        </w:tc>
      </w:tr>
      <w:tr w:rsidR="00871692" w:rsidRPr="000A48FD" w:rsidTr="00772C45">
        <w:trPr>
          <w:trHeight w:val="255"/>
        </w:trPr>
        <w:tc>
          <w:tcPr>
            <w:tcW w:w="6521" w:type="dxa"/>
            <w:vAlign w:val="bottom"/>
          </w:tcPr>
          <w:p w:rsidR="00871692" w:rsidRPr="00745A36" w:rsidRDefault="00871692" w:rsidP="009B4FC7">
            <w:pPr>
              <w:pStyle w:val="Tabletext0"/>
              <w:rPr>
                <w:rFonts w:ascii="Calibri" w:hAnsi="Calibri" w:cs="Calibri"/>
                <w:color w:val="002B45"/>
              </w:rPr>
            </w:pPr>
            <w:r w:rsidRPr="00745A36">
              <w:rPr>
                <w:rFonts w:ascii="Calibri" w:hAnsi="Calibri" w:cs="Calibri"/>
                <w:color w:val="002B45"/>
              </w:rPr>
              <w:t xml:space="preserve">Other reserves </w:t>
            </w:r>
          </w:p>
        </w:tc>
        <w:tc>
          <w:tcPr>
            <w:tcW w:w="709" w:type="dxa"/>
            <w:vAlign w:val="bottom"/>
          </w:tcPr>
          <w:p w:rsidR="00871692" w:rsidRPr="00787286" w:rsidRDefault="00871692" w:rsidP="00FE7B3C">
            <w:pPr>
              <w:pStyle w:val="Tabletext"/>
              <w:tabs>
                <w:tab w:val="decimal" w:pos="907"/>
              </w:tabs>
              <w:ind w:right="113"/>
              <w:jc w:val="right"/>
              <w:rPr>
                <w:rFonts w:ascii="Calibri" w:hAnsi="Calibri" w:cs="Calibri"/>
                <w:color w:val="00305C"/>
              </w:rPr>
            </w:pPr>
          </w:p>
        </w:tc>
        <w:tc>
          <w:tcPr>
            <w:tcW w:w="1105" w:type="dxa"/>
            <w:shd w:val="clear" w:color="auto" w:fill="E6E6E6"/>
            <w:vAlign w:val="bottom"/>
          </w:tcPr>
          <w:p w:rsidR="00871692" w:rsidRPr="00745A36" w:rsidRDefault="00871692" w:rsidP="00FE7B3C">
            <w:pPr>
              <w:pStyle w:val="Tabletext"/>
              <w:tabs>
                <w:tab w:val="decimal" w:pos="907"/>
              </w:tabs>
              <w:ind w:left="85" w:right="113"/>
              <w:jc w:val="right"/>
              <w:rPr>
                <w:rFonts w:ascii="Calibri" w:hAnsi="Calibri" w:cs="Calibri"/>
                <w:color w:val="002B45"/>
              </w:rPr>
            </w:pPr>
            <w:r w:rsidRPr="00745A36">
              <w:rPr>
                <w:rFonts w:ascii="Calibri" w:hAnsi="Calibri" w:cs="Calibri"/>
                <w:color w:val="002B45"/>
              </w:rPr>
              <w:t xml:space="preserve"> 740.9 </w:t>
            </w:r>
          </w:p>
        </w:tc>
        <w:tc>
          <w:tcPr>
            <w:tcW w:w="1163" w:type="dxa"/>
            <w:vAlign w:val="bottom"/>
          </w:tcPr>
          <w:p w:rsidR="00871692" w:rsidRPr="00745A36" w:rsidRDefault="00871692" w:rsidP="00FE7B3C">
            <w:pPr>
              <w:pStyle w:val="Tabletext"/>
              <w:tabs>
                <w:tab w:val="decimal" w:pos="907"/>
              </w:tabs>
              <w:ind w:left="85" w:right="113"/>
              <w:jc w:val="right"/>
              <w:rPr>
                <w:rFonts w:ascii="Calibri" w:hAnsi="Calibri" w:cs="Calibri"/>
                <w:color w:val="002B45"/>
              </w:rPr>
            </w:pPr>
            <w:r w:rsidRPr="00745A36">
              <w:rPr>
                <w:rFonts w:ascii="Calibri" w:hAnsi="Calibri" w:cs="Calibri"/>
                <w:color w:val="002B45"/>
              </w:rPr>
              <w:t xml:space="preserve"> 740.9 </w:t>
            </w:r>
          </w:p>
        </w:tc>
      </w:tr>
      <w:tr w:rsidR="00871692" w:rsidRPr="000A48FD" w:rsidTr="00772C45">
        <w:trPr>
          <w:trHeight w:val="255"/>
        </w:trPr>
        <w:tc>
          <w:tcPr>
            <w:tcW w:w="6521" w:type="dxa"/>
            <w:tcBorders>
              <w:bottom w:val="single" w:sz="4" w:space="0" w:color="999999"/>
            </w:tcBorders>
            <w:shd w:val="clear" w:color="auto" w:fill="auto"/>
            <w:vAlign w:val="bottom"/>
          </w:tcPr>
          <w:p w:rsidR="00871692" w:rsidRPr="00402154" w:rsidRDefault="00871692" w:rsidP="009B4FC7">
            <w:pPr>
              <w:pStyle w:val="Tabletext0"/>
              <w:ind w:right="85"/>
              <w:rPr>
                <w:rFonts w:ascii="Calibri" w:hAnsi="Calibri" w:cs="Calibri"/>
                <w:color w:val="002B45"/>
              </w:rPr>
            </w:pPr>
            <w:r w:rsidRPr="00402154">
              <w:rPr>
                <w:rFonts w:ascii="Calibri" w:hAnsi="Calibri" w:cs="Calibri"/>
                <w:color w:val="002B45"/>
              </w:rPr>
              <w:t xml:space="preserve">Retained earnings </w:t>
            </w:r>
          </w:p>
        </w:tc>
        <w:tc>
          <w:tcPr>
            <w:tcW w:w="709" w:type="dxa"/>
            <w:tcBorders>
              <w:bottom w:val="single" w:sz="4" w:space="0" w:color="999999"/>
            </w:tcBorders>
            <w:shd w:val="clear" w:color="auto" w:fill="auto"/>
            <w:vAlign w:val="bottom"/>
          </w:tcPr>
          <w:p w:rsidR="00871692" w:rsidRPr="00787286" w:rsidRDefault="00871692" w:rsidP="00FE7B3C">
            <w:pPr>
              <w:pStyle w:val="Tabletext"/>
              <w:tabs>
                <w:tab w:val="decimal" w:pos="907"/>
              </w:tabs>
              <w:ind w:right="113"/>
              <w:jc w:val="right"/>
              <w:rPr>
                <w:rFonts w:ascii="Calibri" w:hAnsi="Calibri" w:cs="Calibri"/>
                <w:color w:val="00305C"/>
              </w:rPr>
            </w:pPr>
          </w:p>
        </w:tc>
        <w:tc>
          <w:tcPr>
            <w:tcW w:w="1105" w:type="dxa"/>
            <w:tcBorders>
              <w:bottom w:val="single" w:sz="4" w:space="0" w:color="999999"/>
            </w:tcBorders>
            <w:shd w:val="clear" w:color="auto" w:fill="E6E6E6"/>
            <w:vAlign w:val="bottom"/>
          </w:tcPr>
          <w:p w:rsidR="00871692" w:rsidRPr="00745A36" w:rsidRDefault="00871692" w:rsidP="00FE7B3C">
            <w:pPr>
              <w:pStyle w:val="Tabletext"/>
              <w:tabs>
                <w:tab w:val="decimal" w:pos="907"/>
              </w:tabs>
              <w:ind w:left="85" w:right="113"/>
              <w:jc w:val="right"/>
              <w:rPr>
                <w:rFonts w:ascii="Calibri" w:hAnsi="Calibri" w:cs="Calibri"/>
                <w:color w:val="002B45"/>
              </w:rPr>
            </w:pPr>
            <w:r w:rsidRPr="00745A36">
              <w:rPr>
                <w:rFonts w:ascii="Calibri" w:hAnsi="Calibri" w:cs="Calibri"/>
                <w:color w:val="002B45"/>
              </w:rPr>
              <w:t xml:space="preserve"> 3,984.7 </w:t>
            </w:r>
          </w:p>
        </w:tc>
        <w:tc>
          <w:tcPr>
            <w:tcW w:w="1163" w:type="dxa"/>
            <w:tcBorders>
              <w:bottom w:val="single" w:sz="4" w:space="0" w:color="999999"/>
            </w:tcBorders>
            <w:shd w:val="clear" w:color="auto" w:fill="auto"/>
            <w:vAlign w:val="bottom"/>
          </w:tcPr>
          <w:p w:rsidR="00871692" w:rsidRPr="00745A36" w:rsidRDefault="00871692" w:rsidP="00FE7B3C">
            <w:pPr>
              <w:pStyle w:val="Tabletext"/>
              <w:tabs>
                <w:tab w:val="decimal" w:pos="907"/>
              </w:tabs>
              <w:ind w:left="85" w:right="113"/>
              <w:jc w:val="right"/>
              <w:rPr>
                <w:rFonts w:ascii="Calibri" w:hAnsi="Calibri" w:cs="Calibri"/>
                <w:color w:val="002B45"/>
              </w:rPr>
            </w:pPr>
            <w:r w:rsidRPr="00745A36">
              <w:rPr>
                <w:rFonts w:ascii="Calibri" w:hAnsi="Calibri" w:cs="Calibri"/>
                <w:color w:val="002B45"/>
              </w:rPr>
              <w:t xml:space="preserve"> 3,931.2 </w:t>
            </w:r>
          </w:p>
        </w:tc>
      </w:tr>
      <w:tr w:rsidR="00871692" w:rsidTr="00772C45">
        <w:trPr>
          <w:trHeight w:val="255"/>
        </w:trPr>
        <w:tc>
          <w:tcPr>
            <w:tcW w:w="6521" w:type="dxa"/>
            <w:tcBorders>
              <w:top w:val="single" w:sz="4" w:space="0" w:color="999999"/>
            </w:tcBorders>
            <w:vAlign w:val="bottom"/>
          </w:tcPr>
          <w:p w:rsidR="00871692" w:rsidRPr="00402154" w:rsidRDefault="00871692" w:rsidP="00EB5D64">
            <w:pPr>
              <w:pStyle w:val="Tabletext0"/>
              <w:ind w:right="85"/>
              <w:rPr>
                <w:rFonts w:ascii="Calibri" w:hAnsi="Calibri" w:cs="Calibri"/>
                <w:color w:val="002B45"/>
              </w:rPr>
            </w:pPr>
            <w:r w:rsidRPr="00402154">
              <w:rPr>
                <w:rFonts w:ascii="Calibri" w:hAnsi="Calibri" w:cs="Calibri"/>
                <w:color w:val="002B45"/>
              </w:rPr>
              <w:t xml:space="preserve">Equity attributable to equity holders of the </w:t>
            </w:r>
            <w:r w:rsidR="00EB5D64">
              <w:rPr>
                <w:rFonts w:ascii="Calibri" w:hAnsi="Calibri" w:cs="Calibri"/>
                <w:color w:val="002B45"/>
              </w:rPr>
              <w:t>Company</w:t>
            </w:r>
            <w:r w:rsidR="00EB5D64" w:rsidRPr="00402154">
              <w:rPr>
                <w:rFonts w:ascii="Calibri" w:hAnsi="Calibri" w:cs="Calibri"/>
                <w:color w:val="002B45"/>
              </w:rPr>
              <w:t xml:space="preserve"> </w:t>
            </w:r>
          </w:p>
        </w:tc>
        <w:tc>
          <w:tcPr>
            <w:tcW w:w="709" w:type="dxa"/>
            <w:tcBorders>
              <w:top w:val="single" w:sz="4" w:space="0" w:color="999999"/>
            </w:tcBorders>
            <w:vAlign w:val="bottom"/>
          </w:tcPr>
          <w:p w:rsidR="00871692" w:rsidRPr="00787286" w:rsidRDefault="00871692" w:rsidP="00FE7B3C">
            <w:pPr>
              <w:pStyle w:val="Tabletext"/>
              <w:tabs>
                <w:tab w:val="decimal" w:pos="907"/>
              </w:tabs>
              <w:ind w:right="113"/>
              <w:jc w:val="right"/>
              <w:rPr>
                <w:rFonts w:ascii="Calibri" w:hAnsi="Calibri" w:cs="Calibri"/>
                <w:color w:val="00305C"/>
              </w:rPr>
            </w:pPr>
          </w:p>
        </w:tc>
        <w:tc>
          <w:tcPr>
            <w:tcW w:w="1105" w:type="dxa"/>
            <w:tcBorders>
              <w:top w:val="single" w:sz="4" w:space="0" w:color="999999"/>
            </w:tcBorders>
            <w:shd w:val="clear" w:color="auto" w:fill="E6E6E6"/>
            <w:vAlign w:val="bottom"/>
          </w:tcPr>
          <w:p w:rsidR="00871692" w:rsidRPr="00745A36" w:rsidRDefault="00871692" w:rsidP="00FE7B3C">
            <w:pPr>
              <w:pStyle w:val="Tabletext"/>
              <w:tabs>
                <w:tab w:val="decimal" w:pos="907"/>
              </w:tabs>
              <w:ind w:left="85" w:right="113"/>
              <w:jc w:val="right"/>
              <w:rPr>
                <w:rFonts w:ascii="Calibri" w:hAnsi="Calibri" w:cs="Calibri"/>
                <w:color w:val="002B45"/>
              </w:rPr>
            </w:pPr>
            <w:r w:rsidRPr="00745A36">
              <w:rPr>
                <w:rFonts w:ascii="Calibri" w:hAnsi="Calibri" w:cs="Calibri"/>
                <w:color w:val="002B45"/>
              </w:rPr>
              <w:t xml:space="preserve"> 5,322.9 </w:t>
            </w:r>
          </w:p>
        </w:tc>
        <w:tc>
          <w:tcPr>
            <w:tcW w:w="1163" w:type="dxa"/>
            <w:tcBorders>
              <w:top w:val="single" w:sz="4" w:space="0" w:color="999999"/>
            </w:tcBorders>
            <w:vAlign w:val="bottom"/>
          </w:tcPr>
          <w:p w:rsidR="00871692" w:rsidRPr="00745A36" w:rsidRDefault="00871692" w:rsidP="00FE7B3C">
            <w:pPr>
              <w:pStyle w:val="Tabletext"/>
              <w:tabs>
                <w:tab w:val="decimal" w:pos="907"/>
              </w:tabs>
              <w:ind w:left="85" w:right="113"/>
              <w:jc w:val="right"/>
              <w:rPr>
                <w:rFonts w:ascii="Calibri" w:hAnsi="Calibri" w:cs="Calibri"/>
                <w:color w:val="002B45"/>
              </w:rPr>
            </w:pPr>
            <w:r w:rsidRPr="00745A36">
              <w:rPr>
                <w:rFonts w:ascii="Calibri" w:hAnsi="Calibri" w:cs="Calibri"/>
                <w:color w:val="002B45"/>
              </w:rPr>
              <w:t xml:space="preserve"> 5,229.2 </w:t>
            </w:r>
          </w:p>
        </w:tc>
      </w:tr>
      <w:tr w:rsidR="00871692" w:rsidRPr="000A48FD" w:rsidTr="00772C45">
        <w:trPr>
          <w:trHeight w:val="255"/>
        </w:trPr>
        <w:tc>
          <w:tcPr>
            <w:tcW w:w="6521" w:type="dxa"/>
            <w:tcBorders>
              <w:bottom w:val="single" w:sz="4" w:space="0" w:color="999999"/>
            </w:tcBorders>
            <w:shd w:val="clear" w:color="auto" w:fill="auto"/>
            <w:vAlign w:val="bottom"/>
          </w:tcPr>
          <w:p w:rsidR="00871692" w:rsidRPr="00402154" w:rsidRDefault="00871692" w:rsidP="009B4FC7">
            <w:pPr>
              <w:pStyle w:val="Tabletext0"/>
              <w:ind w:right="85"/>
              <w:rPr>
                <w:rFonts w:ascii="Calibri" w:hAnsi="Calibri" w:cs="Calibri"/>
                <w:color w:val="002B45"/>
              </w:rPr>
            </w:pPr>
            <w:r w:rsidRPr="00402154">
              <w:rPr>
                <w:rFonts w:ascii="Calibri" w:hAnsi="Calibri" w:cs="Calibri"/>
                <w:color w:val="002B45"/>
              </w:rPr>
              <w:t>Non-controlling interest</w:t>
            </w:r>
          </w:p>
        </w:tc>
        <w:tc>
          <w:tcPr>
            <w:tcW w:w="709" w:type="dxa"/>
            <w:tcBorders>
              <w:bottom w:val="single" w:sz="4" w:space="0" w:color="999999"/>
            </w:tcBorders>
            <w:shd w:val="clear" w:color="auto" w:fill="auto"/>
            <w:vAlign w:val="bottom"/>
          </w:tcPr>
          <w:p w:rsidR="00871692" w:rsidRPr="00787286" w:rsidRDefault="00871692" w:rsidP="00FE7B3C">
            <w:pPr>
              <w:pStyle w:val="Tabletext"/>
              <w:tabs>
                <w:tab w:val="decimal" w:pos="907"/>
              </w:tabs>
              <w:ind w:right="113"/>
              <w:jc w:val="right"/>
              <w:rPr>
                <w:rFonts w:ascii="Calibri" w:hAnsi="Calibri" w:cs="Calibri"/>
                <w:color w:val="00305C"/>
              </w:rPr>
            </w:pPr>
          </w:p>
        </w:tc>
        <w:tc>
          <w:tcPr>
            <w:tcW w:w="1105" w:type="dxa"/>
            <w:tcBorders>
              <w:bottom w:val="single" w:sz="4" w:space="0" w:color="999999"/>
            </w:tcBorders>
            <w:shd w:val="clear" w:color="auto" w:fill="E6E6E6"/>
            <w:vAlign w:val="bottom"/>
          </w:tcPr>
          <w:p w:rsidR="00871692" w:rsidRPr="00745A36" w:rsidRDefault="00871692" w:rsidP="00FE7B3C">
            <w:pPr>
              <w:pStyle w:val="TableFiguresBold"/>
              <w:ind w:right="113"/>
              <w:rPr>
                <w:rFonts w:ascii="Calibri" w:hAnsi="Calibri" w:cs="Calibri"/>
                <w:bCs w:val="0"/>
                <w:color w:val="002B45"/>
                <w:sz w:val="19"/>
                <w:szCs w:val="24"/>
                <w:lang w:val="en-US" w:eastAsia="en-US"/>
              </w:rPr>
            </w:pPr>
            <w:r w:rsidRPr="00745A36">
              <w:rPr>
                <w:rFonts w:ascii="Calibri" w:hAnsi="Calibri" w:cs="Calibri"/>
                <w:bCs w:val="0"/>
                <w:color w:val="002B45"/>
                <w:sz w:val="19"/>
                <w:szCs w:val="24"/>
                <w:lang w:val="en-US" w:eastAsia="en-US"/>
              </w:rPr>
              <w:t xml:space="preserve"> 123.5 </w:t>
            </w:r>
          </w:p>
        </w:tc>
        <w:tc>
          <w:tcPr>
            <w:tcW w:w="1163" w:type="dxa"/>
            <w:tcBorders>
              <w:bottom w:val="single" w:sz="4" w:space="0" w:color="999999"/>
            </w:tcBorders>
            <w:shd w:val="clear" w:color="auto" w:fill="auto"/>
            <w:vAlign w:val="bottom"/>
          </w:tcPr>
          <w:p w:rsidR="00871692" w:rsidRPr="00745A36" w:rsidRDefault="00871692" w:rsidP="00FE7B3C">
            <w:pPr>
              <w:pStyle w:val="TableFigures"/>
              <w:ind w:right="113"/>
              <w:rPr>
                <w:rFonts w:ascii="Calibri" w:hAnsi="Calibri" w:cs="Calibri"/>
                <w:color w:val="002B45"/>
                <w:sz w:val="19"/>
                <w:szCs w:val="24"/>
                <w:lang w:val="en-US" w:eastAsia="en-US"/>
              </w:rPr>
            </w:pPr>
            <w:r w:rsidRPr="00745A36">
              <w:rPr>
                <w:rFonts w:ascii="Calibri" w:hAnsi="Calibri" w:cs="Calibri"/>
                <w:color w:val="002B45"/>
                <w:sz w:val="19"/>
                <w:szCs w:val="24"/>
                <w:lang w:val="en-US" w:eastAsia="en-US"/>
              </w:rPr>
              <w:t xml:space="preserve"> 92.4 </w:t>
            </w:r>
          </w:p>
        </w:tc>
      </w:tr>
      <w:tr w:rsidR="00871692" w:rsidTr="00772C45">
        <w:trPr>
          <w:trHeight w:val="255"/>
        </w:trPr>
        <w:tc>
          <w:tcPr>
            <w:tcW w:w="6521" w:type="dxa"/>
            <w:tcBorders>
              <w:top w:val="single" w:sz="4" w:space="0" w:color="999999"/>
              <w:bottom w:val="single" w:sz="12" w:space="0" w:color="999999"/>
            </w:tcBorders>
            <w:shd w:val="clear" w:color="auto" w:fill="auto"/>
            <w:vAlign w:val="bottom"/>
          </w:tcPr>
          <w:p w:rsidR="00871692" w:rsidRPr="00402154" w:rsidRDefault="00871692" w:rsidP="009B4FC7">
            <w:pPr>
              <w:pStyle w:val="Tabletext0"/>
              <w:ind w:right="85"/>
              <w:rPr>
                <w:rFonts w:ascii="Calibri" w:hAnsi="Calibri" w:cs="Calibri"/>
                <w:color w:val="002B45"/>
              </w:rPr>
            </w:pPr>
            <w:r>
              <w:rPr>
                <w:rFonts w:ascii="Calibri" w:hAnsi="Calibri" w:cs="Calibri"/>
                <w:color w:val="002B45"/>
              </w:rPr>
              <w:br/>
            </w:r>
            <w:r w:rsidRPr="00402154">
              <w:rPr>
                <w:rFonts w:ascii="Calibri" w:hAnsi="Calibri" w:cs="Calibri"/>
                <w:color w:val="002B45"/>
              </w:rPr>
              <w:t>Total equity</w:t>
            </w:r>
          </w:p>
        </w:tc>
        <w:tc>
          <w:tcPr>
            <w:tcW w:w="709" w:type="dxa"/>
            <w:tcBorders>
              <w:top w:val="single" w:sz="4" w:space="0" w:color="999999"/>
              <w:bottom w:val="single" w:sz="12" w:space="0" w:color="999999"/>
            </w:tcBorders>
            <w:shd w:val="clear" w:color="auto" w:fill="auto"/>
            <w:vAlign w:val="bottom"/>
          </w:tcPr>
          <w:p w:rsidR="00871692" w:rsidRPr="00787286" w:rsidRDefault="00871692" w:rsidP="00FE7B3C">
            <w:pPr>
              <w:pStyle w:val="Tabletext"/>
              <w:tabs>
                <w:tab w:val="decimal" w:pos="907"/>
              </w:tabs>
              <w:ind w:right="113"/>
              <w:jc w:val="right"/>
              <w:rPr>
                <w:rFonts w:ascii="Calibri" w:hAnsi="Calibri" w:cs="Calibri"/>
                <w:color w:val="00305C"/>
              </w:rPr>
            </w:pPr>
          </w:p>
        </w:tc>
        <w:tc>
          <w:tcPr>
            <w:tcW w:w="1105" w:type="dxa"/>
            <w:tcBorders>
              <w:top w:val="single" w:sz="4" w:space="0" w:color="999999"/>
              <w:bottom w:val="single" w:sz="12" w:space="0" w:color="999999"/>
            </w:tcBorders>
            <w:shd w:val="clear" w:color="auto" w:fill="E6E6E6"/>
            <w:vAlign w:val="bottom"/>
          </w:tcPr>
          <w:p w:rsidR="00871692" w:rsidRPr="00745A36" w:rsidRDefault="00871692" w:rsidP="00FE7B3C">
            <w:pPr>
              <w:pStyle w:val="TableFiguresBold"/>
              <w:ind w:right="113"/>
              <w:rPr>
                <w:rFonts w:ascii="Calibri" w:hAnsi="Calibri" w:cs="Calibri"/>
                <w:bCs w:val="0"/>
                <w:color w:val="002B45"/>
                <w:sz w:val="19"/>
                <w:szCs w:val="24"/>
                <w:lang w:val="en-US" w:eastAsia="en-US"/>
              </w:rPr>
            </w:pPr>
            <w:r w:rsidRPr="00745A36">
              <w:rPr>
                <w:rFonts w:ascii="Calibri" w:hAnsi="Calibri" w:cs="Calibri"/>
                <w:bCs w:val="0"/>
                <w:color w:val="002B45"/>
                <w:sz w:val="19"/>
                <w:szCs w:val="24"/>
                <w:lang w:val="en-US" w:eastAsia="en-US"/>
              </w:rPr>
              <w:t xml:space="preserve"> 5,446.4 </w:t>
            </w:r>
          </w:p>
        </w:tc>
        <w:tc>
          <w:tcPr>
            <w:tcW w:w="1163" w:type="dxa"/>
            <w:tcBorders>
              <w:top w:val="single" w:sz="4" w:space="0" w:color="999999"/>
              <w:bottom w:val="single" w:sz="12" w:space="0" w:color="999999"/>
            </w:tcBorders>
            <w:shd w:val="clear" w:color="auto" w:fill="auto"/>
            <w:vAlign w:val="bottom"/>
          </w:tcPr>
          <w:p w:rsidR="00871692" w:rsidRPr="00745A36" w:rsidRDefault="00871692" w:rsidP="00FE7B3C">
            <w:pPr>
              <w:pStyle w:val="TableFigures"/>
              <w:ind w:right="113"/>
              <w:rPr>
                <w:rFonts w:ascii="Calibri" w:hAnsi="Calibri" w:cs="Calibri"/>
                <w:color w:val="002B45"/>
                <w:sz w:val="19"/>
                <w:szCs w:val="24"/>
                <w:lang w:val="en-US" w:eastAsia="en-US"/>
              </w:rPr>
            </w:pPr>
            <w:r w:rsidRPr="00745A36">
              <w:rPr>
                <w:rFonts w:ascii="Calibri" w:hAnsi="Calibri" w:cs="Calibri"/>
                <w:color w:val="002B45"/>
                <w:sz w:val="19"/>
                <w:szCs w:val="24"/>
                <w:lang w:val="en-US" w:eastAsia="en-US"/>
              </w:rPr>
              <w:t xml:space="preserve"> 5,321.6 </w:t>
            </w:r>
          </w:p>
        </w:tc>
      </w:tr>
    </w:tbl>
    <w:p w:rsidR="00871692" w:rsidRPr="009318F0" w:rsidRDefault="00871692" w:rsidP="00871692">
      <w:pPr>
        <w:rPr>
          <w:rFonts w:ascii="Calibri" w:hAnsi="Calibri" w:cs="Calibri"/>
        </w:rPr>
      </w:pPr>
    </w:p>
    <w:p w:rsidR="00871692" w:rsidRDefault="00871692" w:rsidP="00871692">
      <w:pPr>
        <w:pStyle w:val="Notes"/>
        <w:ind w:left="0" w:firstLine="0"/>
        <w:rPr>
          <w:rFonts w:ascii="Calibri" w:hAnsi="Calibri" w:cs="Calibri"/>
          <w:highlight w:val="yellow"/>
          <w:lang w:val="en-US"/>
        </w:rPr>
      </w:pPr>
    </w:p>
    <w:p w:rsidR="00772C45" w:rsidRDefault="00772C45" w:rsidP="00871692">
      <w:pPr>
        <w:pStyle w:val="Notes"/>
        <w:ind w:left="0" w:firstLine="0"/>
        <w:rPr>
          <w:rFonts w:ascii="Calibri" w:hAnsi="Calibri" w:cs="Calibri"/>
          <w:highlight w:val="yellow"/>
          <w:lang w:val="en-US"/>
        </w:rPr>
      </w:pPr>
    </w:p>
    <w:p w:rsidR="00772C45" w:rsidRDefault="00772C45" w:rsidP="00871692">
      <w:pPr>
        <w:pStyle w:val="Notes"/>
        <w:ind w:left="0" w:firstLine="0"/>
        <w:rPr>
          <w:rFonts w:ascii="Calibri" w:hAnsi="Calibri" w:cs="Calibri"/>
          <w:highlight w:val="yellow"/>
          <w:lang w:val="en-US"/>
        </w:rPr>
      </w:pPr>
    </w:p>
    <w:p w:rsidR="00772C45" w:rsidRDefault="00772C45" w:rsidP="00871692">
      <w:pPr>
        <w:pStyle w:val="Notes"/>
        <w:ind w:left="0" w:firstLine="0"/>
        <w:rPr>
          <w:rFonts w:ascii="Calibri" w:hAnsi="Calibri" w:cs="Calibri"/>
          <w:highlight w:val="yellow"/>
          <w:lang w:val="en-US"/>
        </w:rPr>
      </w:pPr>
    </w:p>
    <w:p w:rsidR="00772C45" w:rsidRDefault="00772C45" w:rsidP="00871692">
      <w:pPr>
        <w:pStyle w:val="Notes"/>
        <w:ind w:left="0" w:firstLine="0"/>
        <w:rPr>
          <w:rFonts w:ascii="Calibri" w:hAnsi="Calibri" w:cs="Calibri"/>
          <w:highlight w:val="yellow"/>
          <w:lang w:val="en-US"/>
        </w:rPr>
      </w:pPr>
    </w:p>
    <w:p w:rsidR="00772C45" w:rsidRDefault="00772C45" w:rsidP="00871692">
      <w:pPr>
        <w:pStyle w:val="Notes"/>
        <w:ind w:left="0" w:firstLine="0"/>
        <w:rPr>
          <w:rFonts w:ascii="Calibri" w:hAnsi="Calibri" w:cs="Calibri"/>
          <w:highlight w:val="yellow"/>
          <w:lang w:val="en-US"/>
        </w:rPr>
      </w:pPr>
    </w:p>
    <w:p w:rsidR="00772C45" w:rsidRPr="009318F0" w:rsidRDefault="00772C45" w:rsidP="00871692">
      <w:pPr>
        <w:pStyle w:val="Notes"/>
        <w:ind w:left="0" w:firstLine="0"/>
        <w:rPr>
          <w:rFonts w:ascii="Calibri" w:hAnsi="Calibri" w:cs="Calibri"/>
          <w:highlight w:val="yellow"/>
          <w:lang w:val="en-US"/>
        </w:rPr>
      </w:pPr>
    </w:p>
    <w:tbl>
      <w:tblPr>
        <w:tblW w:w="9498" w:type="dxa"/>
        <w:tblLayout w:type="fixed"/>
        <w:tblCellMar>
          <w:left w:w="0" w:type="dxa"/>
          <w:right w:w="57" w:type="dxa"/>
        </w:tblCellMar>
        <w:tblLook w:val="00A0" w:firstRow="1" w:lastRow="0" w:firstColumn="1" w:lastColumn="0" w:noHBand="0" w:noVBand="0"/>
      </w:tblPr>
      <w:tblGrid>
        <w:gridCol w:w="2977"/>
        <w:gridCol w:w="567"/>
        <w:gridCol w:w="851"/>
        <w:gridCol w:w="708"/>
        <w:gridCol w:w="709"/>
        <w:gridCol w:w="709"/>
        <w:gridCol w:w="709"/>
        <w:gridCol w:w="708"/>
        <w:gridCol w:w="851"/>
        <w:gridCol w:w="709"/>
      </w:tblGrid>
      <w:tr w:rsidR="00FE7B3C" w:rsidRPr="00E76D01" w:rsidTr="00BA6A1A">
        <w:tc>
          <w:tcPr>
            <w:tcW w:w="9498" w:type="dxa"/>
            <w:gridSpan w:val="10"/>
            <w:shd w:val="clear" w:color="auto" w:fill="auto"/>
            <w:vAlign w:val="bottom"/>
          </w:tcPr>
          <w:p w:rsidR="00FE7B3C" w:rsidRPr="009318F0" w:rsidRDefault="00871692" w:rsidP="00FE7B3C">
            <w:pPr>
              <w:pStyle w:val="StyleTableheadingCustomColorRGB1533154"/>
              <w:rPr>
                <w:rFonts w:ascii="Calibri" w:hAnsi="Calibri" w:cs="Calibri"/>
                <w:b/>
              </w:rPr>
            </w:pPr>
            <w:r w:rsidRPr="009318F0">
              <w:rPr>
                <w:rFonts w:ascii="Calibri" w:hAnsi="Calibri" w:cs="Calibri"/>
                <w:highlight w:val="yellow"/>
              </w:rPr>
              <w:br w:type="page"/>
            </w:r>
            <w:r w:rsidR="00263A06" w:rsidRPr="00E66978">
              <w:rPr>
                <w:rFonts w:ascii="Calibri" w:hAnsi="Calibri" w:cs="Calibri"/>
                <w:b/>
              </w:rPr>
              <w:t>C</w:t>
            </w:r>
            <w:r w:rsidR="00FE7B3C" w:rsidRPr="009318F0">
              <w:rPr>
                <w:rFonts w:ascii="Calibri" w:hAnsi="Calibri" w:cs="Calibri"/>
                <w:b/>
              </w:rPr>
              <w:t xml:space="preserve">ondensed statement of changes in equity </w:t>
            </w:r>
          </w:p>
          <w:p w:rsidR="00FE7B3C" w:rsidRPr="00FE7B3C" w:rsidRDefault="00FE7B3C" w:rsidP="00FE7B3C">
            <w:pPr>
              <w:pStyle w:val="Tablesub-haeding"/>
              <w:rPr>
                <w:rStyle w:val="Bold"/>
                <w:rFonts w:ascii="Calibri" w:hAnsi="Calibri" w:cs="Calibri"/>
                <w:color w:val="5F5F5F"/>
              </w:rPr>
            </w:pPr>
            <w:r w:rsidRPr="009318F0">
              <w:rPr>
                <w:rFonts w:ascii="Calibri" w:hAnsi="Calibri" w:cs="Calibri"/>
                <w:color w:val="5F5F5F"/>
              </w:rPr>
              <w:t>Year ended 31 Dece</w:t>
            </w:r>
            <w:r>
              <w:rPr>
                <w:rFonts w:ascii="Calibri" w:hAnsi="Calibri" w:cs="Calibri"/>
                <w:color w:val="5F5F5F"/>
              </w:rPr>
              <w:t>mber 2013</w:t>
            </w:r>
          </w:p>
        </w:tc>
      </w:tr>
      <w:tr w:rsidR="00871692" w:rsidRPr="00E76D01" w:rsidTr="00BA6A1A">
        <w:tc>
          <w:tcPr>
            <w:tcW w:w="2977" w:type="dxa"/>
            <w:tcBorders>
              <w:bottom w:val="single" w:sz="12" w:space="0" w:color="999999"/>
            </w:tcBorders>
            <w:shd w:val="clear" w:color="auto" w:fill="auto"/>
            <w:vAlign w:val="bottom"/>
          </w:tcPr>
          <w:p w:rsidR="00871692" w:rsidRDefault="00871692" w:rsidP="00A36FAF">
            <w:pPr>
              <w:pStyle w:val="TableColHeads"/>
              <w:spacing w:line="240" w:lineRule="auto"/>
              <w:jc w:val="left"/>
            </w:pPr>
          </w:p>
        </w:tc>
        <w:tc>
          <w:tcPr>
            <w:tcW w:w="567" w:type="dxa"/>
            <w:tcBorders>
              <w:bottom w:val="single" w:sz="12" w:space="0" w:color="999999"/>
            </w:tcBorders>
            <w:shd w:val="clear" w:color="auto" w:fill="auto"/>
            <w:vAlign w:val="bottom"/>
          </w:tcPr>
          <w:p w:rsidR="00871692" w:rsidRPr="00721877" w:rsidRDefault="00871692" w:rsidP="00A36FAF">
            <w:pPr>
              <w:spacing w:line="240" w:lineRule="auto"/>
              <w:jc w:val="right"/>
              <w:rPr>
                <w:rStyle w:val="Bold"/>
                <w:rFonts w:ascii="Calibri" w:hAnsi="Calibri" w:cs="Calibri"/>
                <w:b/>
                <w:color w:val="002B45"/>
                <w:sz w:val="15"/>
                <w:szCs w:val="15"/>
              </w:rPr>
            </w:pPr>
            <w:r w:rsidRPr="00721877">
              <w:rPr>
                <w:rStyle w:val="Bold"/>
                <w:rFonts w:ascii="Calibri" w:hAnsi="Calibri" w:cs="Calibri"/>
                <w:b/>
                <w:color w:val="002B45"/>
                <w:sz w:val="15"/>
                <w:szCs w:val="15"/>
              </w:rPr>
              <w:t xml:space="preserve">Share </w:t>
            </w:r>
            <w:r w:rsidRPr="00721877">
              <w:rPr>
                <w:rStyle w:val="Bold"/>
                <w:rFonts w:ascii="Calibri" w:hAnsi="Calibri" w:cs="Calibri"/>
                <w:b/>
                <w:color w:val="002B45"/>
                <w:sz w:val="15"/>
                <w:szCs w:val="15"/>
              </w:rPr>
              <w:br/>
              <w:t>capital</w:t>
            </w:r>
            <w:r w:rsidRPr="00721877">
              <w:rPr>
                <w:rStyle w:val="Bold"/>
                <w:rFonts w:ascii="Calibri" w:hAnsi="Calibri" w:cs="Calibri"/>
                <w:b/>
                <w:color w:val="002B45"/>
                <w:sz w:val="15"/>
                <w:szCs w:val="15"/>
              </w:rPr>
              <w:br/>
              <w:t>$m</w:t>
            </w:r>
          </w:p>
        </w:tc>
        <w:tc>
          <w:tcPr>
            <w:tcW w:w="851" w:type="dxa"/>
            <w:tcBorders>
              <w:bottom w:val="single" w:sz="12" w:space="0" w:color="999999"/>
            </w:tcBorders>
            <w:shd w:val="clear" w:color="auto" w:fill="auto"/>
            <w:vAlign w:val="bottom"/>
          </w:tcPr>
          <w:p w:rsidR="00871692" w:rsidRPr="00721877" w:rsidRDefault="00871692" w:rsidP="00A36FAF">
            <w:pPr>
              <w:spacing w:line="240" w:lineRule="auto"/>
              <w:jc w:val="right"/>
              <w:rPr>
                <w:rStyle w:val="Bold"/>
                <w:rFonts w:ascii="Calibri" w:hAnsi="Calibri" w:cs="Calibri"/>
                <w:b/>
                <w:color w:val="002B45"/>
                <w:sz w:val="15"/>
                <w:szCs w:val="15"/>
              </w:rPr>
            </w:pPr>
            <w:r w:rsidRPr="00721877">
              <w:rPr>
                <w:rStyle w:val="Bold"/>
                <w:rFonts w:ascii="Calibri" w:hAnsi="Calibri" w:cs="Calibri"/>
                <w:b/>
                <w:color w:val="002B45"/>
                <w:sz w:val="15"/>
                <w:szCs w:val="15"/>
              </w:rPr>
              <w:t>Share</w:t>
            </w:r>
            <w:r w:rsidRPr="00721877">
              <w:rPr>
                <w:rStyle w:val="Bold"/>
                <w:rFonts w:ascii="Calibri" w:hAnsi="Calibri" w:cs="Calibri"/>
                <w:b/>
                <w:color w:val="002B45"/>
                <w:sz w:val="15"/>
                <w:szCs w:val="15"/>
              </w:rPr>
              <w:br/>
              <w:t>premium</w:t>
            </w:r>
            <w:r w:rsidRPr="00721877">
              <w:rPr>
                <w:rStyle w:val="Bold"/>
                <w:rFonts w:ascii="Calibri" w:hAnsi="Calibri" w:cs="Calibri"/>
                <w:b/>
                <w:color w:val="002B45"/>
                <w:sz w:val="15"/>
                <w:szCs w:val="15"/>
              </w:rPr>
              <w:br/>
              <w:t>$m</w:t>
            </w:r>
          </w:p>
        </w:tc>
        <w:tc>
          <w:tcPr>
            <w:tcW w:w="708" w:type="dxa"/>
            <w:tcBorders>
              <w:bottom w:val="single" w:sz="12" w:space="0" w:color="999999"/>
            </w:tcBorders>
            <w:shd w:val="clear" w:color="auto" w:fill="auto"/>
            <w:vAlign w:val="bottom"/>
          </w:tcPr>
          <w:p w:rsidR="00871692" w:rsidRDefault="00871692" w:rsidP="00A36FAF">
            <w:pPr>
              <w:spacing w:line="240" w:lineRule="auto"/>
              <w:jc w:val="right"/>
              <w:rPr>
                <w:rStyle w:val="Bold"/>
                <w:rFonts w:ascii="Calibri" w:hAnsi="Calibri" w:cs="Calibri"/>
                <w:b/>
                <w:color w:val="002B45"/>
                <w:sz w:val="15"/>
                <w:szCs w:val="15"/>
              </w:rPr>
            </w:pPr>
            <w:r w:rsidRPr="00585C13">
              <w:rPr>
                <w:rStyle w:val="Bold"/>
                <w:rFonts w:ascii="Calibri" w:hAnsi="Calibri" w:cs="Calibri"/>
                <w:b/>
                <w:color w:val="002B45"/>
                <w:sz w:val="15"/>
                <w:szCs w:val="15"/>
              </w:rPr>
              <w:t xml:space="preserve">Foreign currency </w:t>
            </w:r>
            <w:r w:rsidRPr="00F72249">
              <w:rPr>
                <w:rStyle w:val="Bold"/>
                <w:rFonts w:ascii="Calibri" w:hAnsi="Calibri" w:cs="Calibri"/>
                <w:b/>
                <w:color w:val="002B45"/>
                <w:w w:val="90"/>
                <w:sz w:val="15"/>
                <w:szCs w:val="15"/>
              </w:rPr>
              <w:t>translatio</w:t>
            </w:r>
            <w:r w:rsidRPr="00585C13">
              <w:rPr>
                <w:rStyle w:val="Bold"/>
                <w:rFonts w:ascii="Calibri" w:hAnsi="Calibri" w:cs="Calibri"/>
                <w:b/>
                <w:color w:val="002B45"/>
                <w:sz w:val="15"/>
                <w:szCs w:val="15"/>
              </w:rPr>
              <w:t>n reserve</w:t>
            </w:r>
          </w:p>
          <w:p w:rsidR="00871692" w:rsidRPr="00585C13" w:rsidRDefault="00871692" w:rsidP="00A36FAF">
            <w:pPr>
              <w:spacing w:line="240" w:lineRule="auto"/>
              <w:jc w:val="right"/>
              <w:rPr>
                <w:rStyle w:val="Bold"/>
                <w:rFonts w:ascii="Calibri" w:hAnsi="Calibri" w:cs="Calibri"/>
                <w:b/>
                <w:color w:val="002B45"/>
                <w:sz w:val="15"/>
                <w:szCs w:val="15"/>
              </w:rPr>
            </w:pPr>
            <w:r>
              <w:rPr>
                <w:rStyle w:val="Bold"/>
                <w:rFonts w:ascii="Calibri" w:hAnsi="Calibri" w:cs="Calibri"/>
                <w:b/>
                <w:color w:val="002B45"/>
                <w:sz w:val="15"/>
                <w:szCs w:val="15"/>
              </w:rPr>
              <w:t>$m</w:t>
            </w:r>
          </w:p>
        </w:tc>
        <w:tc>
          <w:tcPr>
            <w:tcW w:w="709" w:type="dxa"/>
            <w:tcBorders>
              <w:bottom w:val="single" w:sz="12" w:space="0" w:color="999999"/>
            </w:tcBorders>
            <w:vAlign w:val="bottom"/>
          </w:tcPr>
          <w:p w:rsidR="00871692" w:rsidRDefault="00871692" w:rsidP="00A36FAF">
            <w:pPr>
              <w:spacing w:line="240" w:lineRule="auto"/>
              <w:jc w:val="right"/>
              <w:rPr>
                <w:rStyle w:val="Bold"/>
                <w:rFonts w:ascii="Calibri" w:hAnsi="Calibri" w:cs="Calibri"/>
                <w:b/>
                <w:color w:val="002B45"/>
                <w:sz w:val="15"/>
                <w:szCs w:val="15"/>
              </w:rPr>
            </w:pPr>
            <w:r w:rsidRPr="00585C13">
              <w:rPr>
                <w:rStyle w:val="Bold"/>
                <w:rFonts w:ascii="Calibri" w:hAnsi="Calibri" w:cs="Calibri"/>
                <w:b/>
                <w:color w:val="002B45"/>
                <w:sz w:val="15"/>
                <w:szCs w:val="15"/>
              </w:rPr>
              <w:t>Hedge Reserve</w:t>
            </w:r>
          </w:p>
          <w:p w:rsidR="00871692" w:rsidRPr="00585C13" w:rsidRDefault="00871692" w:rsidP="00A36FAF">
            <w:pPr>
              <w:spacing w:line="240" w:lineRule="auto"/>
              <w:jc w:val="right"/>
              <w:rPr>
                <w:rStyle w:val="Bold"/>
                <w:rFonts w:ascii="Calibri" w:hAnsi="Calibri" w:cs="Calibri"/>
                <w:b/>
                <w:color w:val="002B45"/>
                <w:sz w:val="15"/>
                <w:szCs w:val="15"/>
              </w:rPr>
            </w:pPr>
            <w:r w:rsidRPr="00585C13">
              <w:rPr>
                <w:rStyle w:val="Bold"/>
                <w:rFonts w:ascii="Calibri" w:hAnsi="Calibri" w:cs="Calibri"/>
                <w:b/>
                <w:color w:val="002B45"/>
                <w:sz w:val="15"/>
                <w:szCs w:val="15"/>
              </w:rPr>
              <w:t>$m</w:t>
            </w:r>
            <w:r w:rsidRPr="00585C13">
              <w:rPr>
                <w:rStyle w:val="Bold"/>
                <w:rFonts w:ascii="Calibri" w:hAnsi="Calibri" w:cs="Calibri"/>
                <w:b/>
                <w:color w:val="002B45"/>
                <w:sz w:val="15"/>
                <w:szCs w:val="15"/>
              </w:rPr>
              <w:tab/>
            </w:r>
          </w:p>
        </w:tc>
        <w:tc>
          <w:tcPr>
            <w:tcW w:w="709" w:type="dxa"/>
            <w:tcBorders>
              <w:bottom w:val="single" w:sz="12" w:space="0" w:color="999999"/>
            </w:tcBorders>
            <w:vAlign w:val="bottom"/>
          </w:tcPr>
          <w:p w:rsidR="00871692" w:rsidRDefault="00871692" w:rsidP="00A36FAF">
            <w:pPr>
              <w:spacing w:line="240" w:lineRule="auto"/>
              <w:jc w:val="right"/>
              <w:rPr>
                <w:rStyle w:val="Bold"/>
                <w:rFonts w:ascii="Calibri" w:hAnsi="Calibri" w:cs="Calibri"/>
                <w:b/>
                <w:color w:val="002B45"/>
                <w:sz w:val="15"/>
                <w:szCs w:val="15"/>
              </w:rPr>
            </w:pPr>
            <w:r w:rsidRPr="00585C13">
              <w:rPr>
                <w:rStyle w:val="Bold"/>
                <w:rFonts w:ascii="Calibri" w:hAnsi="Calibri" w:cs="Calibri"/>
                <w:b/>
                <w:color w:val="002B45"/>
                <w:sz w:val="15"/>
                <w:szCs w:val="15"/>
              </w:rPr>
              <w:tab/>
              <w:t>Other reserves</w:t>
            </w:r>
          </w:p>
          <w:p w:rsidR="00871692" w:rsidRPr="00585C13" w:rsidRDefault="00871692" w:rsidP="00A36FAF">
            <w:pPr>
              <w:spacing w:line="240" w:lineRule="auto"/>
              <w:jc w:val="right"/>
              <w:rPr>
                <w:rStyle w:val="Bold"/>
                <w:rFonts w:ascii="Calibri" w:hAnsi="Calibri" w:cs="Calibri"/>
                <w:b/>
                <w:color w:val="002B45"/>
                <w:sz w:val="15"/>
                <w:szCs w:val="15"/>
              </w:rPr>
            </w:pPr>
            <w:r>
              <w:rPr>
                <w:rStyle w:val="Bold"/>
                <w:rFonts w:ascii="Calibri" w:hAnsi="Calibri" w:cs="Calibri"/>
                <w:b/>
                <w:color w:val="002B45"/>
                <w:sz w:val="15"/>
                <w:szCs w:val="15"/>
              </w:rPr>
              <w:t>$m</w:t>
            </w:r>
            <w:r w:rsidRPr="00585C13">
              <w:rPr>
                <w:rStyle w:val="Bold"/>
                <w:rFonts w:ascii="Calibri" w:hAnsi="Calibri" w:cs="Calibri"/>
                <w:b/>
                <w:color w:val="002B45"/>
                <w:sz w:val="15"/>
                <w:szCs w:val="15"/>
              </w:rPr>
              <w:t xml:space="preserve"> </w:t>
            </w:r>
          </w:p>
        </w:tc>
        <w:tc>
          <w:tcPr>
            <w:tcW w:w="709" w:type="dxa"/>
            <w:tcBorders>
              <w:bottom w:val="single" w:sz="12" w:space="0" w:color="999999"/>
            </w:tcBorders>
            <w:shd w:val="clear" w:color="auto" w:fill="auto"/>
            <w:vAlign w:val="bottom"/>
          </w:tcPr>
          <w:p w:rsidR="00871692" w:rsidRPr="00721877" w:rsidRDefault="00871692" w:rsidP="00A36FAF">
            <w:pPr>
              <w:spacing w:line="240" w:lineRule="auto"/>
              <w:jc w:val="right"/>
              <w:rPr>
                <w:rStyle w:val="Bold"/>
                <w:rFonts w:ascii="Calibri" w:hAnsi="Calibri" w:cs="Calibri"/>
                <w:b/>
                <w:color w:val="002B45"/>
                <w:sz w:val="15"/>
                <w:szCs w:val="15"/>
              </w:rPr>
            </w:pPr>
            <w:r w:rsidRPr="00721877">
              <w:rPr>
                <w:rStyle w:val="Bold"/>
                <w:rFonts w:ascii="Calibri" w:hAnsi="Calibri" w:cs="Calibri"/>
                <w:b/>
                <w:color w:val="002B45"/>
                <w:sz w:val="15"/>
                <w:szCs w:val="15"/>
              </w:rPr>
              <w:t>Retained earnings</w:t>
            </w:r>
            <w:r w:rsidRPr="00721877">
              <w:rPr>
                <w:rStyle w:val="Bold"/>
                <w:rFonts w:ascii="Calibri" w:hAnsi="Calibri" w:cs="Calibri"/>
                <w:b/>
                <w:color w:val="002B45"/>
                <w:sz w:val="15"/>
                <w:szCs w:val="15"/>
              </w:rPr>
              <w:br/>
              <w:t>$m</w:t>
            </w:r>
          </w:p>
        </w:tc>
        <w:tc>
          <w:tcPr>
            <w:tcW w:w="708" w:type="dxa"/>
            <w:tcBorders>
              <w:bottom w:val="single" w:sz="12" w:space="0" w:color="999999"/>
            </w:tcBorders>
            <w:shd w:val="clear" w:color="auto" w:fill="auto"/>
            <w:vAlign w:val="bottom"/>
          </w:tcPr>
          <w:p w:rsidR="00871692" w:rsidRPr="00721877" w:rsidRDefault="00871692" w:rsidP="00A36FAF">
            <w:pPr>
              <w:spacing w:line="240" w:lineRule="auto"/>
              <w:jc w:val="right"/>
              <w:rPr>
                <w:rStyle w:val="Bold"/>
                <w:rFonts w:ascii="Calibri" w:hAnsi="Calibri" w:cs="Calibri"/>
                <w:b/>
                <w:color w:val="002B45"/>
                <w:sz w:val="15"/>
                <w:szCs w:val="15"/>
              </w:rPr>
            </w:pPr>
            <w:r w:rsidRPr="00721877">
              <w:rPr>
                <w:rStyle w:val="Bold"/>
                <w:rFonts w:ascii="Calibri" w:hAnsi="Calibri" w:cs="Calibri"/>
                <w:b/>
                <w:color w:val="002B45"/>
                <w:sz w:val="15"/>
                <w:szCs w:val="15"/>
              </w:rPr>
              <w:t>Total</w:t>
            </w:r>
            <w:r w:rsidRPr="00721877">
              <w:rPr>
                <w:rStyle w:val="Bold"/>
                <w:rFonts w:ascii="Calibri" w:hAnsi="Calibri" w:cs="Calibri"/>
                <w:b/>
                <w:color w:val="002B45"/>
                <w:sz w:val="15"/>
                <w:szCs w:val="15"/>
              </w:rPr>
              <w:br/>
              <w:t>$m</w:t>
            </w:r>
          </w:p>
        </w:tc>
        <w:tc>
          <w:tcPr>
            <w:tcW w:w="851" w:type="dxa"/>
            <w:tcBorders>
              <w:bottom w:val="single" w:sz="12" w:space="0" w:color="999999"/>
            </w:tcBorders>
            <w:shd w:val="clear" w:color="auto" w:fill="auto"/>
            <w:vAlign w:val="bottom"/>
          </w:tcPr>
          <w:p w:rsidR="00871692" w:rsidRPr="00721877" w:rsidRDefault="00871692" w:rsidP="00A36FAF">
            <w:pPr>
              <w:spacing w:line="240" w:lineRule="auto"/>
              <w:jc w:val="right"/>
              <w:rPr>
                <w:rStyle w:val="Bold"/>
                <w:rFonts w:ascii="Calibri" w:hAnsi="Calibri" w:cs="Calibri"/>
                <w:b/>
                <w:color w:val="002B45"/>
                <w:sz w:val="15"/>
                <w:szCs w:val="15"/>
              </w:rPr>
            </w:pPr>
            <w:r w:rsidRPr="00721877">
              <w:rPr>
                <w:rStyle w:val="Bold"/>
                <w:rFonts w:ascii="Calibri" w:hAnsi="Calibri" w:cs="Calibri"/>
                <w:b/>
                <w:color w:val="002B45"/>
                <w:sz w:val="15"/>
                <w:szCs w:val="15"/>
              </w:rPr>
              <w:t xml:space="preserve">Non-controlling interest </w:t>
            </w:r>
            <w:r w:rsidRPr="00721877">
              <w:rPr>
                <w:rStyle w:val="Bold"/>
                <w:rFonts w:ascii="Calibri" w:hAnsi="Calibri" w:cs="Calibri"/>
                <w:b/>
                <w:color w:val="002B45"/>
                <w:sz w:val="15"/>
                <w:szCs w:val="15"/>
              </w:rPr>
              <w:br/>
              <w:t>$m</w:t>
            </w:r>
          </w:p>
        </w:tc>
        <w:tc>
          <w:tcPr>
            <w:tcW w:w="709" w:type="dxa"/>
            <w:tcBorders>
              <w:bottom w:val="single" w:sz="12" w:space="0" w:color="999999"/>
            </w:tcBorders>
            <w:shd w:val="clear" w:color="auto" w:fill="auto"/>
            <w:vAlign w:val="bottom"/>
          </w:tcPr>
          <w:p w:rsidR="00871692" w:rsidRPr="00721877" w:rsidRDefault="00871692" w:rsidP="00A36FAF">
            <w:pPr>
              <w:spacing w:line="240" w:lineRule="auto"/>
              <w:jc w:val="right"/>
              <w:rPr>
                <w:rStyle w:val="Bold"/>
                <w:rFonts w:ascii="Calibri" w:hAnsi="Calibri" w:cs="Calibri"/>
                <w:b/>
                <w:color w:val="002B45"/>
                <w:sz w:val="15"/>
                <w:szCs w:val="15"/>
              </w:rPr>
            </w:pPr>
            <w:r w:rsidRPr="00721877">
              <w:rPr>
                <w:rStyle w:val="Bold"/>
                <w:rFonts w:ascii="Calibri" w:hAnsi="Calibri" w:cs="Calibri"/>
                <w:b/>
                <w:color w:val="002B45"/>
                <w:sz w:val="15"/>
                <w:szCs w:val="15"/>
              </w:rPr>
              <w:t xml:space="preserve">Total </w:t>
            </w:r>
            <w:r w:rsidRPr="00721877">
              <w:rPr>
                <w:rStyle w:val="Bold"/>
                <w:rFonts w:ascii="Calibri" w:hAnsi="Calibri" w:cs="Calibri"/>
                <w:b/>
                <w:color w:val="002B45"/>
                <w:sz w:val="15"/>
                <w:szCs w:val="15"/>
              </w:rPr>
              <w:br/>
              <w:t>Equity</w:t>
            </w:r>
            <w:r w:rsidRPr="00721877">
              <w:rPr>
                <w:rStyle w:val="Bold"/>
                <w:rFonts w:ascii="Calibri" w:hAnsi="Calibri" w:cs="Calibri"/>
                <w:b/>
                <w:color w:val="002B45"/>
                <w:sz w:val="15"/>
                <w:szCs w:val="15"/>
              </w:rPr>
              <w:br/>
              <w:t>$m</w:t>
            </w:r>
          </w:p>
        </w:tc>
      </w:tr>
      <w:tr w:rsidR="00871692" w:rsidRPr="00C44CA2" w:rsidTr="00BA6A1A">
        <w:trPr>
          <w:trHeight w:val="283"/>
        </w:trPr>
        <w:tc>
          <w:tcPr>
            <w:tcW w:w="2977" w:type="dxa"/>
            <w:tcBorders>
              <w:top w:val="single" w:sz="4" w:space="0" w:color="999999"/>
            </w:tcBorders>
            <w:vAlign w:val="center"/>
          </w:tcPr>
          <w:p w:rsidR="00871692" w:rsidRPr="00585C13" w:rsidRDefault="00871692" w:rsidP="00FE7B3C">
            <w:pPr>
              <w:pStyle w:val="Tabletext0"/>
              <w:ind w:right="85"/>
              <w:rPr>
                <w:rFonts w:ascii="Calibri" w:hAnsi="Calibri" w:cs="Calibri"/>
                <w:color w:val="002B45"/>
              </w:rPr>
            </w:pPr>
            <w:r w:rsidRPr="00585C13">
              <w:rPr>
                <w:rFonts w:ascii="Calibri" w:hAnsi="Calibri" w:cs="Calibri"/>
                <w:color w:val="002B45"/>
              </w:rPr>
              <w:t>At 1 January 2012</w:t>
            </w:r>
          </w:p>
        </w:tc>
        <w:tc>
          <w:tcPr>
            <w:tcW w:w="567" w:type="dxa"/>
            <w:tcBorders>
              <w:top w:val="single" w:sz="4" w:space="0" w:color="999999"/>
            </w:tcBorders>
            <w:vAlign w:val="center"/>
          </w:tcPr>
          <w:p w:rsidR="00871692" w:rsidRPr="00585C13" w:rsidRDefault="00871692" w:rsidP="00FE7B3C">
            <w:pPr>
              <w:jc w:val="right"/>
              <w:rPr>
                <w:rFonts w:ascii="Calibri" w:hAnsi="Calibri" w:cs="Calibri"/>
                <w:color w:val="002B45"/>
                <w:lang w:val="en-US"/>
              </w:rPr>
            </w:pPr>
            <w:r w:rsidRPr="00585C13">
              <w:rPr>
                <w:rFonts w:ascii="Calibri" w:hAnsi="Calibri" w:cs="Calibri"/>
                <w:color w:val="002B45"/>
                <w:lang w:val="en-US"/>
              </w:rPr>
              <w:t xml:space="preserve"> 146.2 </w:t>
            </w:r>
          </w:p>
        </w:tc>
        <w:tc>
          <w:tcPr>
            <w:tcW w:w="851" w:type="dxa"/>
            <w:tcBorders>
              <w:top w:val="single" w:sz="4" w:space="0" w:color="999999"/>
            </w:tcBorders>
            <w:vAlign w:val="center"/>
          </w:tcPr>
          <w:p w:rsidR="00871692" w:rsidRPr="00585C13" w:rsidRDefault="00871692" w:rsidP="00FE7B3C">
            <w:pPr>
              <w:jc w:val="right"/>
              <w:rPr>
                <w:rFonts w:ascii="Calibri" w:hAnsi="Calibri" w:cs="Calibri"/>
                <w:color w:val="002B45"/>
                <w:lang w:val="en-US"/>
              </w:rPr>
            </w:pPr>
            <w:r w:rsidRPr="00585C13">
              <w:rPr>
                <w:rFonts w:ascii="Calibri" w:hAnsi="Calibri" w:cs="Calibri"/>
                <w:color w:val="002B45"/>
                <w:lang w:val="en-US"/>
              </w:rPr>
              <w:t xml:space="preserve"> 551.8 </w:t>
            </w:r>
          </w:p>
        </w:tc>
        <w:tc>
          <w:tcPr>
            <w:tcW w:w="708" w:type="dxa"/>
            <w:tcBorders>
              <w:top w:val="single" w:sz="4" w:space="0" w:color="999999"/>
            </w:tcBorders>
            <w:vAlign w:val="center"/>
          </w:tcPr>
          <w:p w:rsidR="00871692" w:rsidRPr="00585C13" w:rsidRDefault="00871692" w:rsidP="00FE7B3C">
            <w:pPr>
              <w:jc w:val="right"/>
              <w:rPr>
                <w:rFonts w:ascii="Calibri" w:hAnsi="Calibri" w:cs="Calibri"/>
                <w:color w:val="002B45"/>
                <w:lang w:val="en-US"/>
              </w:rPr>
            </w:pPr>
            <w:r w:rsidRPr="00585C13">
              <w:rPr>
                <w:rFonts w:ascii="Calibri" w:hAnsi="Calibri" w:cs="Calibri"/>
                <w:color w:val="002B45"/>
                <w:lang w:val="en-US"/>
              </w:rPr>
              <w:t>(175.5)</w:t>
            </w:r>
          </w:p>
        </w:tc>
        <w:tc>
          <w:tcPr>
            <w:tcW w:w="709" w:type="dxa"/>
            <w:tcBorders>
              <w:top w:val="single" w:sz="4" w:space="0" w:color="999999"/>
            </w:tcBorders>
            <w:vAlign w:val="center"/>
          </w:tcPr>
          <w:p w:rsidR="00871692" w:rsidRPr="00585C13" w:rsidRDefault="00871692" w:rsidP="00FE7B3C">
            <w:pPr>
              <w:jc w:val="right"/>
              <w:rPr>
                <w:rFonts w:ascii="Calibri" w:hAnsi="Calibri" w:cs="Calibri"/>
                <w:color w:val="002B45"/>
                <w:lang w:val="en-US"/>
              </w:rPr>
            </w:pPr>
            <w:r w:rsidRPr="00585C13">
              <w:rPr>
                <w:rFonts w:ascii="Calibri" w:hAnsi="Calibri" w:cs="Calibri"/>
                <w:color w:val="002B45"/>
                <w:lang w:val="en-US"/>
              </w:rPr>
              <w:t>(14.3)</w:t>
            </w:r>
          </w:p>
        </w:tc>
        <w:tc>
          <w:tcPr>
            <w:tcW w:w="709" w:type="dxa"/>
            <w:tcBorders>
              <w:top w:val="single" w:sz="4" w:space="0" w:color="999999"/>
            </w:tcBorders>
            <w:vAlign w:val="center"/>
          </w:tcPr>
          <w:p w:rsidR="00871692" w:rsidRPr="00585C13" w:rsidRDefault="00871692" w:rsidP="00FE7B3C">
            <w:pPr>
              <w:jc w:val="right"/>
              <w:rPr>
                <w:rFonts w:ascii="Calibri" w:hAnsi="Calibri" w:cs="Calibri"/>
                <w:color w:val="002B45"/>
                <w:lang w:val="en-US"/>
              </w:rPr>
            </w:pPr>
            <w:r w:rsidRPr="00585C13">
              <w:rPr>
                <w:rFonts w:ascii="Calibri" w:hAnsi="Calibri" w:cs="Calibri"/>
                <w:color w:val="002B45"/>
                <w:lang w:val="en-US"/>
              </w:rPr>
              <w:t>740.9</w:t>
            </w:r>
          </w:p>
        </w:tc>
        <w:tc>
          <w:tcPr>
            <w:tcW w:w="709" w:type="dxa"/>
            <w:tcBorders>
              <w:top w:val="single" w:sz="4" w:space="0" w:color="999999"/>
            </w:tcBorders>
            <w:vAlign w:val="center"/>
          </w:tcPr>
          <w:p w:rsidR="00871692" w:rsidRPr="00585C13" w:rsidRDefault="00871692" w:rsidP="00FE7B3C">
            <w:pPr>
              <w:jc w:val="right"/>
              <w:rPr>
                <w:rFonts w:ascii="Calibri" w:hAnsi="Calibri" w:cs="Calibri"/>
                <w:color w:val="002B45"/>
                <w:lang w:val="en-US"/>
              </w:rPr>
            </w:pPr>
            <w:r w:rsidRPr="00585C13">
              <w:rPr>
                <w:rFonts w:ascii="Calibri" w:hAnsi="Calibri" w:cs="Calibri"/>
                <w:color w:val="002B45"/>
                <w:lang w:val="en-US"/>
              </w:rPr>
              <w:t xml:space="preserve"> 3,441.3 </w:t>
            </w:r>
          </w:p>
        </w:tc>
        <w:tc>
          <w:tcPr>
            <w:tcW w:w="708" w:type="dxa"/>
            <w:tcBorders>
              <w:top w:val="single" w:sz="4" w:space="0" w:color="999999"/>
            </w:tcBorders>
            <w:vAlign w:val="center"/>
          </w:tcPr>
          <w:p w:rsidR="00871692" w:rsidRPr="00585C13" w:rsidRDefault="00871692" w:rsidP="00FE7B3C">
            <w:pPr>
              <w:jc w:val="right"/>
              <w:rPr>
                <w:rFonts w:ascii="Calibri" w:hAnsi="Calibri" w:cs="Calibri"/>
                <w:color w:val="002B45"/>
                <w:lang w:val="en-US"/>
              </w:rPr>
            </w:pPr>
            <w:r w:rsidRPr="00585C13">
              <w:rPr>
                <w:rFonts w:ascii="Calibri" w:hAnsi="Calibri" w:cs="Calibri"/>
                <w:color w:val="002B45"/>
                <w:lang w:val="en-US"/>
              </w:rPr>
              <w:t xml:space="preserve"> 4,690.4 </w:t>
            </w:r>
          </w:p>
        </w:tc>
        <w:tc>
          <w:tcPr>
            <w:tcW w:w="851" w:type="dxa"/>
            <w:tcBorders>
              <w:top w:val="single" w:sz="4" w:space="0" w:color="999999"/>
            </w:tcBorders>
            <w:vAlign w:val="center"/>
          </w:tcPr>
          <w:p w:rsidR="00871692" w:rsidRPr="00585C13" w:rsidRDefault="00871692" w:rsidP="00FE7B3C">
            <w:pPr>
              <w:jc w:val="right"/>
              <w:rPr>
                <w:rFonts w:ascii="Calibri" w:hAnsi="Calibri" w:cs="Calibri"/>
                <w:color w:val="002B45"/>
                <w:lang w:val="en-US"/>
              </w:rPr>
            </w:pPr>
            <w:r w:rsidRPr="00585C13">
              <w:rPr>
                <w:rFonts w:ascii="Calibri" w:hAnsi="Calibri" w:cs="Calibri"/>
                <w:color w:val="002B45"/>
                <w:lang w:val="en-US"/>
              </w:rPr>
              <w:t xml:space="preserve"> 75.6 </w:t>
            </w:r>
          </w:p>
        </w:tc>
        <w:tc>
          <w:tcPr>
            <w:tcW w:w="709" w:type="dxa"/>
            <w:tcBorders>
              <w:top w:val="single" w:sz="4" w:space="0" w:color="999999"/>
            </w:tcBorders>
            <w:vAlign w:val="center"/>
          </w:tcPr>
          <w:p w:rsidR="00871692" w:rsidRPr="00585C13" w:rsidRDefault="00871692" w:rsidP="00FE7B3C">
            <w:pPr>
              <w:jc w:val="right"/>
              <w:rPr>
                <w:rFonts w:ascii="Calibri" w:hAnsi="Calibri" w:cs="Calibri"/>
                <w:color w:val="002B45"/>
                <w:lang w:val="en-US"/>
              </w:rPr>
            </w:pPr>
            <w:r w:rsidRPr="00585C13">
              <w:rPr>
                <w:rFonts w:ascii="Calibri" w:hAnsi="Calibri" w:cs="Calibri"/>
                <w:color w:val="002B45"/>
                <w:lang w:val="en-US"/>
              </w:rPr>
              <w:t xml:space="preserve"> 4,766.0 </w:t>
            </w:r>
          </w:p>
        </w:tc>
      </w:tr>
      <w:tr w:rsidR="00871692" w:rsidRPr="00C44CA2" w:rsidTr="00BA6A1A">
        <w:trPr>
          <w:trHeight w:val="283"/>
        </w:trPr>
        <w:tc>
          <w:tcPr>
            <w:tcW w:w="2977" w:type="dxa"/>
            <w:vAlign w:val="center"/>
          </w:tcPr>
          <w:p w:rsidR="00871692" w:rsidRPr="00585C13" w:rsidRDefault="00871692" w:rsidP="00FE7B3C">
            <w:pPr>
              <w:pStyle w:val="Tabletext0"/>
              <w:ind w:right="85"/>
              <w:rPr>
                <w:rFonts w:ascii="Calibri" w:hAnsi="Calibri" w:cs="Calibri"/>
                <w:color w:val="002B45"/>
              </w:rPr>
            </w:pPr>
            <w:r w:rsidRPr="00585C13">
              <w:rPr>
                <w:rFonts w:ascii="Calibri" w:hAnsi="Calibri" w:cs="Calibri"/>
                <w:color w:val="002B45"/>
              </w:rPr>
              <w:t>Profit for the year</w:t>
            </w:r>
          </w:p>
        </w:tc>
        <w:tc>
          <w:tcPr>
            <w:tcW w:w="567" w:type="dxa"/>
            <w:vAlign w:val="center"/>
          </w:tcPr>
          <w:p w:rsidR="00871692" w:rsidRPr="00585C13" w:rsidRDefault="00871692" w:rsidP="00FE7B3C">
            <w:pPr>
              <w:jc w:val="right"/>
              <w:rPr>
                <w:rFonts w:ascii="Calibri" w:hAnsi="Calibri" w:cs="Calibri"/>
                <w:color w:val="002B45"/>
                <w:lang w:val="en-US"/>
              </w:rPr>
            </w:pPr>
            <w:r w:rsidRPr="00585C13">
              <w:rPr>
                <w:rFonts w:ascii="Calibri" w:hAnsi="Calibri" w:cs="Calibri"/>
                <w:color w:val="002B45"/>
                <w:lang w:val="en-US"/>
              </w:rPr>
              <w:t xml:space="preserve"> – </w:t>
            </w:r>
          </w:p>
        </w:tc>
        <w:tc>
          <w:tcPr>
            <w:tcW w:w="851" w:type="dxa"/>
            <w:vAlign w:val="center"/>
          </w:tcPr>
          <w:p w:rsidR="00871692" w:rsidRPr="00585C13" w:rsidRDefault="00871692" w:rsidP="00FE7B3C">
            <w:pPr>
              <w:jc w:val="right"/>
              <w:rPr>
                <w:rFonts w:ascii="Calibri" w:hAnsi="Calibri" w:cs="Calibri"/>
                <w:color w:val="002B45"/>
                <w:lang w:val="en-US"/>
              </w:rPr>
            </w:pPr>
            <w:r w:rsidRPr="00585C13">
              <w:rPr>
                <w:rFonts w:ascii="Calibri" w:hAnsi="Calibri" w:cs="Calibri"/>
                <w:color w:val="002B45"/>
                <w:lang w:val="en-US"/>
              </w:rPr>
              <w:t xml:space="preserve"> – </w:t>
            </w:r>
          </w:p>
        </w:tc>
        <w:tc>
          <w:tcPr>
            <w:tcW w:w="708" w:type="dxa"/>
            <w:vAlign w:val="center"/>
          </w:tcPr>
          <w:p w:rsidR="00871692" w:rsidRPr="00585C13" w:rsidRDefault="00871692" w:rsidP="00FE7B3C">
            <w:pPr>
              <w:jc w:val="right"/>
              <w:rPr>
                <w:rFonts w:ascii="Calibri" w:hAnsi="Calibri" w:cs="Calibri"/>
                <w:color w:val="002B45"/>
                <w:lang w:val="en-US"/>
              </w:rPr>
            </w:pPr>
            <w:r w:rsidRPr="00585C13">
              <w:rPr>
                <w:rFonts w:ascii="Calibri" w:hAnsi="Calibri" w:cs="Calibri"/>
                <w:color w:val="002B45"/>
                <w:lang w:val="en-US"/>
              </w:rPr>
              <w:t xml:space="preserve"> – </w:t>
            </w:r>
          </w:p>
        </w:tc>
        <w:tc>
          <w:tcPr>
            <w:tcW w:w="709" w:type="dxa"/>
            <w:vAlign w:val="center"/>
          </w:tcPr>
          <w:p w:rsidR="00871692" w:rsidRPr="00585C13" w:rsidRDefault="00871692" w:rsidP="00FE7B3C">
            <w:pPr>
              <w:jc w:val="right"/>
              <w:rPr>
                <w:rFonts w:ascii="Calibri" w:hAnsi="Calibri" w:cs="Calibri"/>
                <w:color w:val="002B45"/>
                <w:lang w:val="en-US"/>
              </w:rPr>
            </w:pPr>
            <w:r w:rsidRPr="00585C13">
              <w:rPr>
                <w:rFonts w:ascii="Calibri" w:hAnsi="Calibri" w:cs="Calibri"/>
                <w:color w:val="002B45"/>
                <w:lang w:val="en-US"/>
              </w:rPr>
              <w:t xml:space="preserve"> – </w:t>
            </w:r>
          </w:p>
        </w:tc>
        <w:tc>
          <w:tcPr>
            <w:tcW w:w="709" w:type="dxa"/>
            <w:vAlign w:val="center"/>
          </w:tcPr>
          <w:p w:rsidR="00871692" w:rsidRPr="00585C13" w:rsidRDefault="00871692" w:rsidP="00FE7B3C">
            <w:pPr>
              <w:jc w:val="right"/>
              <w:rPr>
                <w:rFonts w:ascii="Calibri" w:hAnsi="Calibri" w:cs="Calibri"/>
                <w:color w:val="002B45"/>
                <w:lang w:val="en-US"/>
              </w:rPr>
            </w:pPr>
            <w:r w:rsidRPr="00585C13">
              <w:rPr>
                <w:rFonts w:ascii="Calibri" w:hAnsi="Calibri" w:cs="Calibri"/>
                <w:color w:val="002B45"/>
                <w:lang w:val="en-US"/>
              </w:rPr>
              <w:t>–</w:t>
            </w:r>
          </w:p>
        </w:tc>
        <w:tc>
          <w:tcPr>
            <w:tcW w:w="709" w:type="dxa"/>
            <w:vAlign w:val="center"/>
          </w:tcPr>
          <w:p w:rsidR="00871692" w:rsidRPr="00585C13" w:rsidRDefault="00871692" w:rsidP="00FE7B3C">
            <w:pPr>
              <w:jc w:val="right"/>
              <w:rPr>
                <w:rFonts w:ascii="Calibri" w:hAnsi="Calibri" w:cs="Calibri"/>
                <w:color w:val="002B45"/>
                <w:lang w:val="en-US"/>
              </w:rPr>
            </w:pPr>
            <w:r w:rsidRPr="00585C13">
              <w:rPr>
                <w:rFonts w:ascii="Calibri" w:hAnsi="Calibri" w:cs="Calibri"/>
                <w:color w:val="002B45"/>
                <w:lang w:val="en-US"/>
              </w:rPr>
              <w:t xml:space="preserve"> 624.3 </w:t>
            </w:r>
          </w:p>
        </w:tc>
        <w:tc>
          <w:tcPr>
            <w:tcW w:w="708" w:type="dxa"/>
            <w:vAlign w:val="center"/>
          </w:tcPr>
          <w:p w:rsidR="00871692" w:rsidRPr="00585C13" w:rsidRDefault="00871692" w:rsidP="00FE7B3C">
            <w:pPr>
              <w:jc w:val="right"/>
              <w:rPr>
                <w:rFonts w:ascii="Calibri" w:hAnsi="Calibri" w:cs="Calibri"/>
                <w:color w:val="002B45"/>
                <w:lang w:val="en-US"/>
              </w:rPr>
            </w:pPr>
            <w:r w:rsidRPr="00585C13">
              <w:rPr>
                <w:rFonts w:ascii="Calibri" w:hAnsi="Calibri" w:cs="Calibri"/>
                <w:color w:val="002B45"/>
                <w:lang w:val="en-US"/>
              </w:rPr>
              <w:t xml:space="preserve">624.3 </w:t>
            </w:r>
          </w:p>
        </w:tc>
        <w:tc>
          <w:tcPr>
            <w:tcW w:w="851" w:type="dxa"/>
            <w:vAlign w:val="center"/>
          </w:tcPr>
          <w:p w:rsidR="00871692" w:rsidRPr="00585C13" w:rsidRDefault="00871692" w:rsidP="00FE7B3C">
            <w:pPr>
              <w:jc w:val="right"/>
              <w:rPr>
                <w:rFonts w:ascii="Calibri" w:hAnsi="Calibri" w:cs="Calibri"/>
                <w:color w:val="002B45"/>
                <w:lang w:val="en-US"/>
              </w:rPr>
            </w:pPr>
            <w:r w:rsidRPr="00585C13">
              <w:rPr>
                <w:rFonts w:ascii="Calibri" w:hAnsi="Calibri" w:cs="Calibri"/>
                <w:color w:val="002B45"/>
                <w:lang w:val="en-US"/>
              </w:rPr>
              <w:t xml:space="preserve"> 41.9 </w:t>
            </w:r>
          </w:p>
        </w:tc>
        <w:tc>
          <w:tcPr>
            <w:tcW w:w="709" w:type="dxa"/>
            <w:vAlign w:val="center"/>
          </w:tcPr>
          <w:p w:rsidR="00871692" w:rsidRPr="00585C13" w:rsidRDefault="00871692" w:rsidP="00FE7B3C">
            <w:pPr>
              <w:jc w:val="right"/>
              <w:rPr>
                <w:rFonts w:ascii="Calibri" w:hAnsi="Calibri" w:cs="Calibri"/>
                <w:color w:val="002B45"/>
                <w:lang w:val="en-US"/>
              </w:rPr>
            </w:pPr>
            <w:r w:rsidRPr="00585C13">
              <w:rPr>
                <w:rFonts w:ascii="Calibri" w:hAnsi="Calibri" w:cs="Calibri"/>
                <w:color w:val="002B45"/>
                <w:lang w:val="en-US"/>
              </w:rPr>
              <w:t xml:space="preserve">666.2 </w:t>
            </w:r>
          </w:p>
        </w:tc>
      </w:tr>
      <w:tr w:rsidR="00871692" w:rsidRPr="00C44CA2" w:rsidTr="00BA6A1A">
        <w:trPr>
          <w:trHeight w:val="283"/>
        </w:trPr>
        <w:tc>
          <w:tcPr>
            <w:tcW w:w="2977" w:type="dxa"/>
            <w:vAlign w:val="center"/>
          </w:tcPr>
          <w:p w:rsidR="00871692" w:rsidRPr="00585C13" w:rsidRDefault="00871692" w:rsidP="00FE7B3C">
            <w:pPr>
              <w:pStyle w:val="Tabletext0"/>
              <w:ind w:right="85"/>
              <w:rPr>
                <w:rFonts w:ascii="Calibri" w:hAnsi="Calibri" w:cs="Calibri"/>
                <w:color w:val="002B45"/>
              </w:rPr>
            </w:pPr>
            <w:r w:rsidRPr="00585C13">
              <w:rPr>
                <w:rFonts w:ascii="Calibri" w:hAnsi="Calibri" w:cs="Calibri"/>
                <w:color w:val="002B45"/>
              </w:rPr>
              <w:t>Hedges, net of tax</w:t>
            </w:r>
          </w:p>
        </w:tc>
        <w:tc>
          <w:tcPr>
            <w:tcW w:w="567" w:type="dxa"/>
            <w:vAlign w:val="center"/>
          </w:tcPr>
          <w:p w:rsidR="00871692" w:rsidRPr="00585C13" w:rsidRDefault="00871692" w:rsidP="00FE7B3C">
            <w:pPr>
              <w:jc w:val="right"/>
              <w:rPr>
                <w:rFonts w:ascii="Calibri" w:hAnsi="Calibri" w:cs="Calibri"/>
                <w:color w:val="002B45"/>
                <w:lang w:val="en-US"/>
              </w:rPr>
            </w:pPr>
            <w:r w:rsidRPr="00585C13">
              <w:rPr>
                <w:rFonts w:ascii="Calibri" w:hAnsi="Calibri" w:cs="Calibri"/>
                <w:color w:val="002B45"/>
                <w:lang w:val="en-US"/>
              </w:rPr>
              <w:t xml:space="preserve"> – </w:t>
            </w:r>
          </w:p>
        </w:tc>
        <w:tc>
          <w:tcPr>
            <w:tcW w:w="851" w:type="dxa"/>
            <w:vAlign w:val="center"/>
          </w:tcPr>
          <w:p w:rsidR="00871692" w:rsidRPr="00585C13" w:rsidRDefault="00871692" w:rsidP="00FE7B3C">
            <w:pPr>
              <w:jc w:val="right"/>
              <w:rPr>
                <w:rFonts w:ascii="Calibri" w:hAnsi="Calibri" w:cs="Calibri"/>
                <w:color w:val="002B45"/>
                <w:lang w:val="en-US"/>
              </w:rPr>
            </w:pPr>
            <w:r w:rsidRPr="00585C13">
              <w:rPr>
                <w:rFonts w:ascii="Calibri" w:hAnsi="Calibri" w:cs="Calibri"/>
                <w:color w:val="002B45"/>
                <w:lang w:val="en-US"/>
              </w:rPr>
              <w:t xml:space="preserve"> – </w:t>
            </w:r>
          </w:p>
        </w:tc>
        <w:tc>
          <w:tcPr>
            <w:tcW w:w="708" w:type="dxa"/>
            <w:vAlign w:val="center"/>
          </w:tcPr>
          <w:p w:rsidR="00871692" w:rsidRPr="00585C13" w:rsidRDefault="00871692" w:rsidP="00FE7B3C">
            <w:pPr>
              <w:jc w:val="right"/>
              <w:rPr>
                <w:rFonts w:ascii="Calibri" w:hAnsi="Calibri" w:cs="Calibri"/>
                <w:color w:val="002B45"/>
                <w:lang w:val="en-US"/>
              </w:rPr>
            </w:pPr>
            <w:r w:rsidRPr="00585C13">
              <w:rPr>
                <w:rFonts w:ascii="Calibri" w:hAnsi="Calibri" w:cs="Calibri"/>
                <w:color w:val="002B45"/>
                <w:lang w:val="en-US"/>
              </w:rPr>
              <w:t xml:space="preserve"> – </w:t>
            </w:r>
          </w:p>
        </w:tc>
        <w:tc>
          <w:tcPr>
            <w:tcW w:w="709" w:type="dxa"/>
            <w:vAlign w:val="center"/>
          </w:tcPr>
          <w:p w:rsidR="00871692" w:rsidRPr="00585C13" w:rsidRDefault="00871692" w:rsidP="00FE7B3C">
            <w:pPr>
              <w:jc w:val="right"/>
              <w:rPr>
                <w:rFonts w:ascii="Calibri" w:hAnsi="Calibri" w:cs="Calibri"/>
                <w:color w:val="002B45"/>
                <w:lang w:val="en-US"/>
              </w:rPr>
            </w:pPr>
            <w:r w:rsidRPr="00585C13">
              <w:rPr>
                <w:rFonts w:ascii="Calibri" w:hAnsi="Calibri" w:cs="Calibri"/>
                <w:color w:val="002B45"/>
                <w:lang w:val="en-US"/>
              </w:rPr>
              <w:t xml:space="preserve">7.8 </w:t>
            </w:r>
          </w:p>
        </w:tc>
        <w:tc>
          <w:tcPr>
            <w:tcW w:w="709" w:type="dxa"/>
            <w:vAlign w:val="center"/>
          </w:tcPr>
          <w:p w:rsidR="00871692" w:rsidRPr="00585C13" w:rsidRDefault="00871692" w:rsidP="00FE7B3C">
            <w:pPr>
              <w:jc w:val="right"/>
              <w:rPr>
                <w:rFonts w:ascii="Calibri" w:hAnsi="Calibri" w:cs="Calibri"/>
                <w:color w:val="002B45"/>
                <w:lang w:val="en-US"/>
              </w:rPr>
            </w:pPr>
            <w:r w:rsidRPr="00585C13">
              <w:rPr>
                <w:rFonts w:ascii="Calibri" w:hAnsi="Calibri" w:cs="Calibri"/>
                <w:color w:val="002B45"/>
                <w:lang w:val="en-US"/>
              </w:rPr>
              <w:t>–</w:t>
            </w:r>
          </w:p>
        </w:tc>
        <w:tc>
          <w:tcPr>
            <w:tcW w:w="709" w:type="dxa"/>
            <w:vAlign w:val="center"/>
          </w:tcPr>
          <w:p w:rsidR="00871692" w:rsidRPr="00585C13" w:rsidRDefault="00871692" w:rsidP="00FE7B3C">
            <w:pPr>
              <w:jc w:val="right"/>
              <w:rPr>
                <w:rFonts w:ascii="Calibri" w:hAnsi="Calibri" w:cs="Calibri"/>
                <w:color w:val="002B45"/>
                <w:lang w:val="en-US"/>
              </w:rPr>
            </w:pPr>
            <w:r w:rsidRPr="00585C13">
              <w:rPr>
                <w:rFonts w:ascii="Calibri" w:hAnsi="Calibri" w:cs="Calibri"/>
                <w:color w:val="002B45"/>
                <w:lang w:val="en-US"/>
              </w:rPr>
              <w:t>–</w:t>
            </w:r>
          </w:p>
        </w:tc>
        <w:tc>
          <w:tcPr>
            <w:tcW w:w="708" w:type="dxa"/>
            <w:vAlign w:val="center"/>
          </w:tcPr>
          <w:p w:rsidR="00871692" w:rsidRPr="00585C13" w:rsidRDefault="00871692" w:rsidP="00FE7B3C">
            <w:pPr>
              <w:jc w:val="right"/>
              <w:rPr>
                <w:rFonts w:ascii="Calibri" w:hAnsi="Calibri" w:cs="Calibri"/>
                <w:color w:val="002B45"/>
                <w:lang w:val="en-US"/>
              </w:rPr>
            </w:pPr>
            <w:r w:rsidRPr="00585C13">
              <w:rPr>
                <w:rFonts w:ascii="Calibri" w:hAnsi="Calibri" w:cs="Calibri"/>
                <w:color w:val="002B45"/>
                <w:lang w:val="en-US"/>
              </w:rPr>
              <w:t>7.8</w:t>
            </w:r>
          </w:p>
        </w:tc>
        <w:tc>
          <w:tcPr>
            <w:tcW w:w="851" w:type="dxa"/>
            <w:vAlign w:val="center"/>
          </w:tcPr>
          <w:p w:rsidR="00871692" w:rsidRPr="00585C13" w:rsidRDefault="00871692" w:rsidP="00FE7B3C">
            <w:pPr>
              <w:jc w:val="right"/>
              <w:rPr>
                <w:rFonts w:ascii="Calibri" w:hAnsi="Calibri" w:cs="Calibri"/>
                <w:color w:val="002B45"/>
                <w:lang w:val="en-US"/>
              </w:rPr>
            </w:pPr>
            <w:r w:rsidRPr="00585C13">
              <w:rPr>
                <w:rFonts w:ascii="Calibri" w:hAnsi="Calibri" w:cs="Calibri"/>
                <w:color w:val="002B45"/>
                <w:lang w:val="en-US"/>
              </w:rPr>
              <w:t xml:space="preserve">– </w:t>
            </w:r>
          </w:p>
        </w:tc>
        <w:tc>
          <w:tcPr>
            <w:tcW w:w="709" w:type="dxa"/>
            <w:vAlign w:val="center"/>
          </w:tcPr>
          <w:p w:rsidR="00871692" w:rsidRPr="00585C13" w:rsidRDefault="00871692" w:rsidP="00FE7B3C">
            <w:pPr>
              <w:jc w:val="right"/>
              <w:rPr>
                <w:rFonts w:ascii="Calibri" w:hAnsi="Calibri" w:cs="Calibri"/>
                <w:color w:val="002B45"/>
                <w:lang w:val="en-US"/>
              </w:rPr>
            </w:pPr>
            <w:r w:rsidRPr="00585C13">
              <w:rPr>
                <w:rFonts w:ascii="Calibri" w:hAnsi="Calibri" w:cs="Calibri"/>
                <w:color w:val="002B45"/>
                <w:lang w:val="en-US"/>
              </w:rPr>
              <w:t>7.8</w:t>
            </w:r>
          </w:p>
        </w:tc>
      </w:tr>
      <w:tr w:rsidR="00871692" w:rsidRPr="00C44CA2" w:rsidTr="00BA6A1A">
        <w:trPr>
          <w:trHeight w:val="283"/>
        </w:trPr>
        <w:tc>
          <w:tcPr>
            <w:tcW w:w="2977" w:type="dxa"/>
            <w:vAlign w:val="center"/>
          </w:tcPr>
          <w:p w:rsidR="00871692" w:rsidRPr="00585C13" w:rsidRDefault="00871692" w:rsidP="00FE7B3C">
            <w:pPr>
              <w:pStyle w:val="Tabletext0"/>
              <w:ind w:right="85"/>
              <w:rPr>
                <w:rFonts w:ascii="Calibri" w:hAnsi="Calibri" w:cs="Calibri"/>
                <w:color w:val="002B45"/>
              </w:rPr>
            </w:pPr>
            <w:r w:rsidRPr="00585C13">
              <w:rPr>
                <w:rFonts w:ascii="Calibri" w:hAnsi="Calibri" w:cs="Calibri"/>
                <w:color w:val="002B45"/>
              </w:rPr>
              <w:t>Currency translation adjustments</w:t>
            </w:r>
          </w:p>
        </w:tc>
        <w:tc>
          <w:tcPr>
            <w:tcW w:w="567" w:type="dxa"/>
            <w:vAlign w:val="center"/>
          </w:tcPr>
          <w:p w:rsidR="00871692" w:rsidRPr="00585C13" w:rsidRDefault="00871692" w:rsidP="00FE7B3C">
            <w:pPr>
              <w:jc w:val="right"/>
              <w:rPr>
                <w:rFonts w:ascii="Calibri" w:hAnsi="Calibri" w:cs="Calibri"/>
                <w:color w:val="002B45"/>
                <w:lang w:val="en-US"/>
              </w:rPr>
            </w:pPr>
            <w:r w:rsidRPr="00585C13">
              <w:rPr>
                <w:rFonts w:ascii="Calibri" w:hAnsi="Calibri" w:cs="Calibri"/>
                <w:color w:val="002B45"/>
                <w:lang w:val="en-US"/>
              </w:rPr>
              <w:t xml:space="preserve"> – </w:t>
            </w:r>
          </w:p>
        </w:tc>
        <w:tc>
          <w:tcPr>
            <w:tcW w:w="851" w:type="dxa"/>
            <w:vAlign w:val="center"/>
          </w:tcPr>
          <w:p w:rsidR="00871692" w:rsidRPr="00585C13" w:rsidRDefault="00871692" w:rsidP="00FE7B3C">
            <w:pPr>
              <w:jc w:val="right"/>
              <w:rPr>
                <w:rFonts w:ascii="Calibri" w:hAnsi="Calibri" w:cs="Calibri"/>
                <w:color w:val="002B45"/>
                <w:lang w:val="en-US"/>
              </w:rPr>
            </w:pPr>
            <w:r w:rsidRPr="00585C13">
              <w:rPr>
                <w:rFonts w:ascii="Calibri" w:hAnsi="Calibri" w:cs="Calibri"/>
                <w:color w:val="002B45"/>
                <w:lang w:val="en-US"/>
              </w:rPr>
              <w:t xml:space="preserve"> – </w:t>
            </w:r>
          </w:p>
        </w:tc>
        <w:tc>
          <w:tcPr>
            <w:tcW w:w="708" w:type="dxa"/>
            <w:vAlign w:val="center"/>
          </w:tcPr>
          <w:p w:rsidR="00871692" w:rsidRPr="00585C13" w:rsidRDefault="00871692" w:rsidP="00FE7B3C">
            <w:pPr>
              <w:jc w:val="right"/>
              <w:rPr>
                <w:rFonts w:ascii="Calibri" w:hAnsi="Calibri" w:cs="Calibri"/>
                <w:color w:val="002B45"/>
                <w:lang w:val="en-US"/>
              </w:rPr>
            </w:pPr>
            <w:r w:rsidRPr="00585C13">
              <w:rPr>
                <w:rFonts w:ascii="Calibri" w:hAnsi="Calibri" w:cs="Calibri"/>
                <w:color w:val="002B45"/>
                <w:lang w:val="en-US"/>
              </w:rPr>
              <w:t>7.7</w:t>
            </w:r>
          </w:p>
        </w:tc>
        <w:tc>
          <w:tcPr>
            <w:tcW w:w="709" w:type="dxa"/>
            <w:vAlign w:val="center"/>
          </w:tcPr>
          <w:p w:rsidR="00871692" w:rsidRPr="00585C13" w:rsidRDefault="00871692" w:rsidP="00FE7B3C">
            <w:pPr>
              <w:jc w:val="right"/>
              <w:rPr>
                <w:rFonts w:ascii="Calibri" w:hAnsi="Calibri" w:cs="Calibri"/>
                <w:color w:val="002B45"/>
                <w:lang w:val="en-US"/>
              </w:rPr>
            </w:pPr>
            <w:r w:rsidRPr="00585C13">
              <w:rPr>
                <w:rFonts w:ascii="Calibri" w:hAnsi="Calibri" w:cs="Calibri"/>
                <w:color w:val="002B45"/>
                <w:lang w:val="en-US"/>
              </w:rPr>
              <w:t>–</w:t>
            </w:r>
          </w:p>
        </w:tc>
        <w:tc>
          <w:tcPr>
            <w:tcW w:w="709" w:type="dxa"/>
            <w:vAlign w:val="center"/>
          </w:tcPr>
          <w:p w:rsidR="00871692" w:rsidRPr="00585C13" w:rsidRDefault="00871692" w:rsidP="00FE7B3C">
            <w:pPr>
              <w:jc w:val="right"/>
              <w:rPr>
                <w:rFonts w:ascii="Calibri" w:hAnsi="Calibri" w:cs="Calibri"/>
                <w:color w:val="002B45"/>
                <w:lang w:val="en-US"/>
              </w:rPr>
            </w:pPr>
            <w:r w:rsidRPr="00585C13">
              <w:rPr>
                <w:rFonts w:ascii="Calibri" w:hAnsi="Calibri" w:cs="Calibri"/>
                <w:color w:val="002B45"/>
                <w:lang w:val="en-US"/>
              </w:rPr>
              <w:t>–</w:t>
            </w:r>
          </w:p>
        </w:tc>
        <w:tc>
          <w:tcPr>
            <w:tcW w:w="709" w:type="dxa"/>
            <w:vAlign w:val="center"/>
          </w:tcPr>
          <w:p w:rsidR="00871692" w:rsidRPr="00585C13" w:rsidRDefault="00871692" w:rsidP="00FE7B3C">
            <w:pPr>
              <w:jc w:val="right"/>
              <w:rPr>
                <w:rFonts w:ascii="Calibri" w:hAnsi="Calibri" w:cs="Calibri"/>
                <w:color w:val="002B45"/>
                <w:lang w:val="en-US"/>
              </w:rPr>
            </w:pPr>
            <w:r w:rsidRPr="00585C13">
              <w:rPr>
                <w:rFonts w:ascii="Calibri" w:hAnsi="Calibri" w:cs="Calibri"/>
                <w:color w:val="002B45"/>
                <w:lang w:val="en-US"/>
              </w:rPr>
              <w:t>–</w:t>
            </w:r>
          </w:p>
        </w:tc>
        <w:tc>
          <w:tcPr>
            <w:tcW w:w="708" w:type="dxa"/>
            <w:vAlign w:val="center"/>
          </w:tcPr>
          <w:p w:rsidR="00871692" w:rsidRPr="00585C13" w:rsidRDefault="00871692" w:rsidP="00FE7B3C">
            <w:pPr>
              <w:jc w:val="right"/>
              <w:rPr>
                <w:rFonts w:ascii="Calibri" w:hAnsi="Calibri" w:cs="Calibri"/>
                <w:color w:val="002B45"/>
                <w:lang w:val="en-US"/>
              </w:rPr>
            </w:pPr>
            <w:r w:rsidRPr="00585C13">
              <w:rPr>
                <w:rFonts w:ascii="Calibri" w:hAnsi="Calibri" w:cs="Calibri"/>
                <w:color w:val="002B45"/>
                <w:lang w:val="en-US"/>
              </w:rPr>
              <w:t>7.7</w:t>
            </w:r>
          </w:p>
        </w:tc>
        <w:tc>
          <w:tcPr>
            <w:tcW w:w="851" w:type="dxa"/>
            <w:vAlign w:val="center"/>
          </w:tcPr>
          <w:p w:rsidR="00871692" w:rsidRPr="00585C13" w:rsidRDefault="00871692" w:rsidP="00FE7B3C">
            <w:pPr>
              <w:jc w:val="right"/>
              <w:rPr>
                <w:rFonts w:ascii="Calibri" w:hAnsi="Calibri" w:cs="Calibri"/>
                <w:color w:val="002B45"/>
                <w:lang w:val="en-US"/>
              </w:rPr>
            </w:pPr>
            <w:r w:rsidRPr="00585C13">
              <w:rPr>
                <w:rFonts w:ascii="Calibri" w:hAnsi="Calibri" w:cs="Calibri"/>
                <w:color w:val="002B45"/>
                <w:lang w:val="en-US"/>
              </w:rPr>
              <w:t>–</w:t>
            </w:r>
          </w:p>
        </w:tc>
        <w:tc>
          <w:tcPr>
            <w:tcW w:w="709" w:type="dxa"/>
            <w:vAlign w:val="center"/>
          </w:tcPr>
          <w:p w:rsidR="00871692" w:rsidRPr="00585C13" w:rsidRDefault="00871692" w:rsidP="00FE7B3C">
            <w:pPr>
              <w:jc w:val="right"/>
              <w:rPr>
                <w:rFonts w:ascii="Calibri" w:hAnsi="Calibri" w:cs="Calibri"/>
                <w:color w:val="002B45"/>
                <w:lang w:val="en-US"/>
              </w:rPr>
            </w:pPr>
            <w:r w:rsidRPr="00585C13">
              <w:rPr>
                <w:rFonts w:ascii="Calibri" w:hAnsi="Calibri" w:cs="Calibri"/>
                <w:color w:val="002B45"/>
                <w:lang w:val="en-US"/>
              </w:rPr>
              <w:t>7.7</w:t>
            </w:r>
          </w:p>
        </w:tc>
      </w:tr>
      <w:tr w:rsidR="00871692" w:rsidRPr="00C44CA2" w:rsidTr="00BA6A1A">
        <w:trPr>
          <w:trHeight w:val="283"/>
        </w:trPr>
        <w:tc>
          <w:tcPr>
            <w:tcW w:w="2977" w:type="dxa"/>
            <w:vAlign w:val="center"/>
          </w:tcPr>
          <w:p w:rsidR="00871692" w:rsidRPr="00585C13" w:rsidRDefault="00871692" w:rsidP="00FE7B3C">
            <w:pPr>
              <w:pStyle w:val="Tabletext0"/>
              <w:ind w:right="85"/>
              <w:rPr>
                <w:rFonts w:ascii="Calibri" w:hAnsi="Calibri" w:cs="Calibri"/>
                <w:color w:val="002B45"/>
              </w:rPr>
            </w:pPr>
            <w:r w:rsidRPr="00585C13">
              <w:rPr>
                <w:rFonts w:ascii="Calibri" w:hAnsi="Calibri" w:cs="Calibri"/>
                <w:color w:val="002B45"/>
              </w:rPr>
              <w:t>Issue of shares</w:t>
            </w:r>
          </w:p>
        </w:tc>
        <w:tc>
          <w:tcPr>
            <w:tcW w:w="567" w:type="dxa"/>
            <w:vAlign w:val="center"/>
          </w:tcPr>
          <w:p w:rsidR="00871692" w:rsidRPr="00585C13" w:rsidRDefault="00871692" w:rsidP="00FE7B3C">
            <w:pPr>
              <w:jc w:val="right"/>
              <w:rPr>
                <w:rFonts w:ascii="Calibri" w:hAnsi="Calibri" w:cs="Calibri"/>
                <w:color w:val="002B45"/>
                <w:lang w:val="en-US"/>
              </w:rPr>
            </w:pPr>
            <w:r w:rsidRPr="00585C13">
              <w:rPr>
                <w:rFonts w:ascii="Calibri" w:hAnsi="Calibri" w:cs="Calibri"/>
                <w:color w:val="002B45"/>
                <w:lang w:val="en-US"/>
              </w:rPr>
              <w:t xml:space="preserve"> – </w:t>
            </w:r>
          </w:p>
        </w:tc>
        <w:tc>
          <w:tcPr>
            <w:tcW w:w="851" w:type="dxa"/>
            <w:vAlign w:val="center"/>
          </w:tcPr>
          <w:p w:rsidR="00871692" w:rsidRPr="00585C13" w:rsidRDefault="00871692" w:rsidP="00FE7B3C">
            <w:pPr>
              <w:jc w:val="right"/>
              <w:rPr>
                <w:rFonts w:ascii="Calibri" w:hAnsi="Calibri" w:cs="Calibri"/>
                <w:color w:val="002B45"/>
                <w:lang w:val="en-US"/>
              </w:rPr>
            </w:pPr>
            <w:r w:rsidRPr="00585C13">
              <w:rPr>
                <w:rFonts w:ascii="Calibri" w:hAnsi="Calibri" w:cs="Calibri"/>
                <w:color w:val="002B45"/>
                <w:lang w:val="en-US"/>
              </w:rPr>
              <w:t xml:space="preserve"> 4.9 </w:t>
            </w:r>
          </w:p>
        </w:tc>
        <w:tc>
          <w:tcPr>
            <w:tcW w:w="708" w:type="dxa"/>
            <w:vAlign w:val="center"/>
          </w:tcPr>
          <w:p w:rsidR="00871692" w:rsidRPr="00585C13" w:rsidRDefault="00871692" w:rsidP="00FE7B3C">
            <w:pPr>
              <w:jc w:val="right"/>
              <w:rPr>
                <w:rFonts w:ascii="Calibri" w:hAnsi="Calibri" w:cs="Calibri"/>
                <w:color w:val="002B45"/>
                <w:lang w:val="en-US"/>
              </w:rPr>
            </w:pPr>
            <w:r w:rsidRPr="00585C13">
              <w:rPr>
                <w:rFonts w:ascii="Calibri" w:hAnsi="Calibri" w:cs="Calibri"/>
                <w:color w:val="002B45"/>
                <w:lang w:val="en-US"/>
              </w:rPr>
              <w:t>–</w:t>
            </w:r>
          </w:p>
        </w:tc>
        <w:tc>
          <w:tcPr>
            <w:tcW w:w="709" w:type="dxa"/>
            <w:vAlign w:val="center"/>
          </w:tcPr>
          <w:p w:rsidR="00871692" w:rsidRPr="00585C13" w:rsidRDefault="00871692" w:rsidP="00FE7B3C">
            <w:pPr>
              <w:jc w:val="right"/>
              <w:rPr>
                <w:rFonts w:ascii="Calibri" w:hAnsi="Calibri" w:cs="Calibri"/>
                <w:color w:val="002B45"/>
                <w:lang w:val="en-US"/>
              </w:rPr>
            </w:pPr>
            <w:r w:rsidRPr="00585C13">
              <w:rPr>
                <w:rFonts w:ascii="Calibri" w:hAnsi="Calibri" w:cs="Calibri"/>
                <w:color w:val="002B45"/>
                <w:lang w:val="en-US"/>
              </w:rPr>
              <w:t>–</w:t>
            </w:r>
          </w:p>
        </w:tc>
        <w:tc>
          <w:tcPr>
            <w:tcW w:w="709" w:type="dxa"/>
            <w:vAlign w:val="center"/>
          </w:tcPr>
          <w:p w:rsidR="00871692" w:rsidRPr="00585C13" w:rsidRDefault="00871692" w:rsidP="00FE7B3C">
            <w:pPr>
              <w:jc w:val="right"/>
              <w:rPr>
                <w:rFonts w:ascii="Calibri" w:hAnsi="Calibri" w:cs="Calibri"/>
                <w:color w:val="002B45"/>
                <w:lang w:val="en-US"/>
              </w:rPr>
            </w:pPr>
            <w:r w:rsidRPr="00585C13">
              <w:rPr>
                <w:rFonts w:ascii="Calibri" w:hAnsi="Calibri" w:cs="Calibri"/>
                <w:color w:val="002B45"/>
                <w:lang w:val="en-US"/>
              </w:rPr>
              <w:t>–</w:t>
            </w:r>
          </w:p>
        </w:tc>
        <w:tc>
          <w:tcPr>
            <w:tcW w:w="709" w:type="dxa"/>
            <w:vAlign w:val="center"/>
          </w:tcPr>
          <w:p w:rsidR="00871692" w:rsidRPr="00585C13" w:rsidRDefault="00871692" w:rsidP="00FE7B3C">
            <w:pPr>
              <w:jc w:val="right"/>
              <w:rPr>
                <w:rFonts w:ascii="Calibri" w:hAnsi="Calibri" w:cs="Calibri"/>
                <w:color w:val="002B45"/>
                <w:lang w:val="en-US"/>
              </w:rPr>
            </w:pPr>
            <w:r w:rsidRPr="00585C13">
              <w:rPr>
                <w:rFonts w:ascii="Calibri" w:hAnsi="Calibri" w:cs="Calibri"/>
                <w:color w:val="002B45"/>
                <w:lang w:val="en-US"/>
              </w:rPr>
              <w:t xml:space="preserve"> – </w:t>
            </w:r>
          </w:p>
        </w:tc>
        <w:tc>
          <w:tcPr>
            <w:tcW w:w="708" w:type="dxa"/>
            <w:vAlign w:val="center"/>
          </w:tcPr>
          <w:p w:rsidR="00871692" w:rsidRPr="00585C13" w:rsidRDefault="00871692" w:rsidP="00FE7B3C">
            <w:pPr>
              <w:jc w:val="right"/>
              <w:rPr>
                <w:rFonts w:ascii="Calibri" w:hAnsi="Calibri" w:cs="Calibri"/>
                <w:color w:val="002B45"/>
                <w:lang w:val="en-US"/>
              </w:rPr>
            </w:pPr>
            <w:r w:rsidRPr="00585C13">
              <w:rPr>
                <w:rFonts w:ascii="Calibri" w:hAnsi="Calibri" w:cs="Calibri"/>
                <w:color w:val="002B45"/>
                <w:lang w:val="en-US"/>
              </w:rPr>
              <w:t xml:space="preserve"> 4.9 </w:t>
            </w:r>
          </w:p>
        </w:tc>
        <w:tc>
          <w:tcPr>
            <w:tcW w:w="851" w:type="dxa"/>
            <w:vAlign w:val="center"/>
          </w:tcPr>
          <w:p w:rsidR="00871692" w:rsidRPr="00585C13" w:rsidRDefault="00871692" w:rsidP="00FE7B3C">
            <w:pPr>
              <w:jc w:val="right"/>
              <w:rPr>
                <w:rFonts w:ascii="Calibri" w:hAnsi="Calibri" w:cs="Calibri"/>
                <w:color w:val="002B45"/>
                <w:lang w:val="en-US"/>
              </w:rPr>
            </w:pPr>
            <w:r w:rsidRPr="00585C13">
              <w:rPr>
                <w:rFonts w:ascii="Calibri" w:hAnsi="Calibri" w:cs="Calibri"/>
                <w:color w:val="002B45"/>
                <w:lang w:val="en-US"/>
              </w:rPr>
              <w:t xml:space="preserve"> – </w:t>
            </w:r>
          </w:p>
        </w:tc>
        <w:tc>
          <w:tcPr>
            <w:tcW w:w="709" w:type="dxa"/>
            <w:vAlign w:val="center"/>
          </w:tcPr>
          <w:p w:rsidR="00871692" w:rsidRPr="00585C13" w:rsidRDefault="00871692" w:rsidP="00FE7B3C">
            <w:pPr>
              <w:jc w:val="right"/>
              <w:rPr>
                <w:rFonts w:ascii="Calibri" w:hAnsi="Calibri" w:cs="Calibri"/>
                <w:color w:val="002B45"/>
                <w:lang w:val="en-US"/>
              </w:rPr>
            </w:pPr>
            <w:r w:rsidRPr="00585C13">
              <w:rPr>
                <w:rFonts w:ascii="Calibri" w:hAnsi="Calibri" w:cs="Calibri"/>
                <w:color w:val="002B45"/>
                <w:lang w:val="en-US"/>
              </w:rPr>
              <w:t xml:space="preserve"> 4.9 </w:t>
            </w:r>
          </w:p>
        </w:tc>
      </w:tr>
      <w:tr w:rsidR="00871692" w:rsidRPr="00C44CA2" w:rsidTr="00BA6A1A">
        <w:trPr>
          <w:trHeight w:val="283"/>
        </w:trPr>
        <w:tc>
          <w:tcPr>
            <w:tcW w:w="2977" w:type="dxa"/>
            <w:vAlign w:val="center"/>
          </w:tcPr>
          <w:p w:rsidR="00871692" w:rsidRPr="00585C13" w:rsidRDefault="00871692" w:rsidP="00FE7B3C">
            <w:pPr>
              <w:pStyle w:val="Tabletext0"/>
              <w:ind w:right="85"/>
              <w:rPr>
                <w:rFonts w:ascii="Calibri" w:hAnsi="Calibri" w:cs="Calibri"/>
                <w:color w:val="002B45"/>
              </w:rPr>
            </w:pPr>
            <w:r w:rsidRPr="00585C13">
              <w:rPr>
                <w:rFonts w:ascii="Calibri" w:hAnsi="Calibri" w:cs="Calibri"/>
                <w:color w:val="002B45"/>
              </w:rPr>
              <w:t>Issue of employee share options</w:t>
            </w:r>
          </w:p>
        </w:tc>
        <w:tc>
          <w:tcPr>
            <w:tcW w:w="567" w:type="dxa"/>
            <w:vAlign w:val="center"/>
          </w:tcPr>
          <w:p w:rsidR="00871692" w:rsidRPr="00585C13" w:rsidRDefault="00871692" w:rsidP="00FE7B3C">
            <w:pPr>
              <w:jc w:val="right"/>
              <w:rPr>
                <w:rFonts w:ascii="Calibri" w:hAnsi="Calibri" w:cs="Calibri"/>
                <w:color w:val="002B45"/>
                <w:lang w:val="en-US"/>
              </w:rPr>
            </w:pPr>
            <w:r w:rsidRPr="00585C13">
              <w:rPr>
                <w:rFonts w:ascii="Calibri" w:hAnsi="Calibri" w:cs="Calibri"/>
                <w:color w:val="002B45"/>
                <w:lang w:val="en-US"/>
              </w:rPr>
              <w:t xml:space="preserve"> 0.4 </w:t>
            </w:r>
          </w:p>
        </w:tc>
        <w:tc>
          <w:tcPr>
            <w:tcW w:w="851" w:type="dxa"/>
            <w:vAlign w:val="center"/>
          </w:tcPr>
          <w:p w:rsidR="00871692" w:rsidRPr="00585C13" w:rsidRDefault="00871692" w:rsidP="00FE7B3C">
            <w:pPr>
              <w:jc w:val="right"/>
              <w:rPr>
                <w:rFonts w:ascii="Calibri" w:hAnsi="Calibri" w:cs="Calibri"/>
                <w:color w:val="002B45"/>
                <w:lang w:val="en-US"/>
              </w:rPr>
            </w:pPr>
            <w:r w:rsidRPr="00585C13">
              <w:rPr>
                <w:rFonts w:ascii="Calibri" w:hAnsi="Calibri" w:cs="Calibri"/>
                <w:color w:val="002B45"/>
                <w:lang w:val="en-US"/>
              </w:rPr>
              <w:t xml:space="preserve"> 28.1 </w:t>
            </w:r>
          </w:p>
        </w:tc>
        <w:tc>
          <w:tcPr>
            <w:tcW w:w="708" w:type="dxa"/>
            <w:vAlign w:val="center"/>
          </w:tcPr>
          <w:p w:rsidR="00871692" w:rsidRPr="00585C13" w:rsidRDefault="00871692" w:rsidP="00FE7B3C">
            <w:pPr>
              <w:jc w:val="right"/>
              <w:rPr>
                <w:rFonts w:ascii="Calibri" w:hAnsi="Calibri" w:cs="Calibri"/>
                <w:color w:val="002B45"/>
                <w:lang w:val="en-US"/>
              </w:rPr>
            </w:pPr>
            <w:r w:rsidRPr="00585C13">
              <w:rPr>
                <w:rFonts w:ascii="Calibri" w:hAnsi="Calibri" w:cs="Calibri"/>
                <w:color w:val="002B45"/>
                <w:lang w:val="en-US"/>
              </w:rPr>
              <w:t>–</w:t>
            </w:r>
          </w:p>
        </w:tc>
        <w:tc>
          <w:tcPr>
            <w:tcW w:w="709" w:type="dxa"/>
            <w:vAlign w:val="center"/>
          </w:tcPr>
          <w:p w:rsidR="00871692" w:rsidRPr="00585C13" w:rsidRDefault="00871692" w:rsidP="00FE7B3C">
            <w:pPr>
              <w:jc w:val="right"/>
              <w:rPr>
                <w:rFonts w:ascii="Calibri" w:hAnsi="Calibri" w:cs="Calibri"/>
                <w:color w:val="002B45"/>
                <w:lang w:val="en-US"/>
              </w:rPr>
            </w:pPr>
            <w:r w:rsidRPr="00585C13">
              <w:rPr>
                <w:rFonts w:ascii="Calibri" w:hAnsi="Calibri" w:cs="Calibri"/>
                <w:color w:val="002B45"/>
                <w:lang w:val="en-US"/>
              </w:rPr>
              <w:t>–</w:t>
            </w:r>
          </w:p>
        </w:tc>
        <w:tc>
          <w:tcPr>
            <w:tcW w:w="709" w:type="dxa"/>
            <w:vAlign w:val="center"/>
          </w:tcPr>
          <w:p w:rsidR="00871692" w:rsidRPr="00585C13" w:rsidRDefault="00871692" w:rsidP="00FE7B3C">
            <w:pPr>
              <w:jc w:val="right"/>
              <w:rPr>
                <w:rFonts w:ascii="Calibri" w:hAnsi="Calibri" w:cs="Calibri"/>
                <w:color w:val="002B45"/>
                <w:lang w:val="en-US"/>
              </w:rPr>
            </w:pPr>
            <w:r w:rsidRPr="00585C13">
              <w:rPr>
                <w:rFonts w:ascii="Calibri" w:hAnsi="Calibri" w:cs="Calibri"/>
                <w:color w:val="002B45"/>
                <w:lang w:val="en-US"/>
              </w:rPr>
              <w:t>–</w:t>
            </w:r>
          </w:p>
        </w:tc>
        <w:tc>
          <w:tcPr>
            <w:tcW w:w="709" w:type="dxa"/>
            <w:vAlign w:val="center"/>
          </w:tcPr>
          <w:p w:rsidR="00871692" w:rsidRPr="00585C13" w:rsidRDefault="00871692" w:rsidP="00FE7B3C">
            <w:pPr>
              <w:jc w:val="right"/>
              <w:rPr>
                <w:rFonts w:ascii="Calibri" w:hAnsi="Calibri" w:cs="Calibri"/>
                <w:color w:val="002B45"/>
                <w:lang w:val="en-US"/>
              </w:rPr>
            </w:pPr>
            <w:r w:rsidRPr="00585C13">
              <w:rPr>
                <w:rFonts w:ascii="Calibri" w:hAnsi="Calibri" w:cs="Calibri"/>
                <w:color w:val="002B45"/>
                <w:lang w:val="en-US"/>
              </w:rPr>
              <w:t xml:space="preserve"> – </w:t>
            </w:r>
          </w:p>
        </w:tc>
        <w:tc>
          <w:tcPr>
            <w:tcW w:w="708" w:type="dxa"/>
            <w:vAlign w:val="center"/>
          </w:tcPr>
          <w:p w:rsidR="00871692" w:rsidRPr="00585C13" w:rsidRDefault="00871692" w:rsidP="00FE7B3C">
            <w:pPr>
              <w:jc w:val="right"/>
              <w:rPr>
                <w:rFonts w:ascii="Calibri" w:hAnsi="Calibri" w:cs="Calibri"/>
                <w:color w:val="002B45"/>
                <w:lang w:val="en-US"/>
              </w:rPr>
            </w:pPr>
            <w:r w:rsidRPr="00585C13">
              <w:rPr>
                <w:rFonts w:ascii="Calibri" w:hAnsi="Calibri" w:cs="Calibri"/>
                <w:color w:val="002B45"/>
                <w:lang w:val="en-US"/>
              </w:rPr>
              <w:t xml:space="preserve"> 28.5 </w:t>
            </w:r>
          </w:p>
        </w:tc>
        <w:tc>
          <w:tcPr>
            <w:tcW w:w="851" w:type="dxa"/>
            <w:vAlign w:val="center"/>
          </w:tcPr>
          <w:p w:rsidR="00871692" w:rsidRPr="00585C13" w:rsidRDefault="00871692" w:rsidP="00FE7B3C">
            <w:pPr>
              <w:jc w:val="right"/>
              <w:rPr>
                <w:rFonts w:ascii="Calibri" w:hAnsi="Calibri" w:cs="Calibri"/>
                <w:color w:val="002B45"/>
                <w:lang w:val="en-US"/>
              </w:rPr>
            </w:pPr>
            <w:r w:rsidRPr="00585C13">
              <w:rPr>
                <w:rFonts w:ascii="Calibri" w:hAnsi="Calibri" w:cs="Calibri"/>
                <w:color w:val="002B45"/>
                <w:lang w:val="en-US"/>
              </w:rPr>
              <w:t xml:space="preserve"> – </w:t>
            </w:r>
          </w:p>
        </w:tc>
        <w:tc>
          <w:tcPr>
            <w:tcW w:w="709" w:type="dxa"/>
            <w:vAlign w:val="center"/>
          </w:tcPr>
          <w:p w:rsidR="00871692" w:rsidRPr="00585C13" w:rsidRDefault="00871692" w:rsidP="00FE7B3C">
            <w:pPr>
              <w:jc w:val="right"/>
              <w:rPr>
                <w:rFonts w:ascii="Calibri" w:hAnsi="Calibri" w:cs="Calibri"/>
                <w:color w:val="002B45"/>
                <w:lang w:val="en-US"/>
              </w:rPr>
            </w:pPr>
            <w:r w:rsidRPr="00585C13">
              <w:rPr>
                <w:rFonts w:ascii="Calibri" w:hAnsi="Calibri" w:cs="Calibri"/>
                <w:color w:val="002B45"/>
                <w:lang w:val="en-US"/>
              </w:rPr>
              <w:t xml:space="preserve"> 28.5 </w:t>
            </w:r>
          </w:p>
        </w:tc>
      </w:tr>
      <w:tr w:rsidR="00871692" w:rsidRPr="00C44CA2" w:rsidTr="00BA6A1A">
        <w:trPr>
          <w:trHeight w:val="283"/>
        </w:trPr>
        <w:tc>
          <w:tcPr>
            <w:tcW w:w="2977" w:type="dxa"/>
            <w:shd w:val="clear" w:color="auto" w:fill="auto"/>
            <w:vAlign w:val="center"/>
          </w:tcPr>
          <w:p w:rsidR="00871692" w:rsidRPr="00585C13" w:rsidRDefault="00871692" w:rsidP="00FE7B3C">
            <w:pPr>
              <w:pStyle w:val="Tabletext0"/>
              <w:ind w:right="85"/>
              <w:rPr>
                <w:rFonts w:ascii="Calibri" w:hAnsi="Calibri" w:cs="Calibri"/>
                <w:color w:val="002B45"/>
              </w:rPr>
            </w:pPr>
            <w:r w:rsidRPr="00585C13">
              <w:rPr>
                <w:rFonts w:ascii="Calibri" w:hAnsi="Calibri" w:cs="Calibri"/>
                <w:color w:val="002B45"/>
              </w:rPr>
              <w:t>Vesting of PSP shares</w:t>
            </w:r>
          </w:p>
        </w:tc>
        <w:tc>
          <w:tcPr>
            <w:tcW w:w="567" w:type="dxa"/>
            <w:shd w:val="clear" w:color="auto" w:fill="auto"/>
            <w:vAlign w:val="center"/>
          </w:tcPr>
          <w:p w:rsidR="00871692" w:rsidRPr="00585C13" w:rsidRDefault="00871692" w:rsidP="00FE7B3C">
            <w:pPr>
              <w:jc w:val="right"/>
              <w:rPr>
                <w:rFonts w:ascii="Calibri" w:hAnsi="Calibri" w:cs="Calibri"/>
                <w:color w:val="002B45"/>
                <w:lang w:val="en-US"/>
              </w:rPr>
            </w:pPr>
            <w:r w:rsidRPr="00585C13">
              <w:rPr>
                <w:rFonts w:ascii="Calibri" w:hAnsi="Calibri" w:cs="Calibri"/>
                <w:color w:val="002B45"/>
                <w:lang w:val="en-US"/>
              </w:rPr>
              <w:t xml:space="preserve"> – </w:t>
            </w:r>
          </w:p>
        </w:tc>
        <w:tc>
          <w:tcPr>
            <w:tcW w:w="851" w:type="dxa"/>
            <w:shd w:val="clear" w:color="auto" w:fill="auto"/>
            <w:vAlign w:val="center"/>
          </w:tcPr>
          <w:p w:rsidR="00871692" w:rsidRPr="00585C13" w:rsidRDefault="00871692" w:rsidP="00FE7B3C">
            <w:pPr>
              <w:jc w:val="right"/>
              <w:rPr>
                <w:rFonts w:ascii="Calibri" w:hAnsi="Calibri" w:cs="Calibri"/>
                <w:color w:val="002B45"/>
                <w:lang w:val="en-US"/>
              </w:rPr>
            </w:pPr>
            <w:r w:rsidRPr="00585C13">
              <w:rPr>
                <w:rFonts w:ascii="Calibri" w:hAnsi="Calibri" w:cs="Calibri"/>
                <w:color w:val="002B45"/>
                <w:lang w:val="en-US"/>
              </w:rPr>
              <w:t xml:space="preserve"> – </w:t>
            </w:r>
          </w:p>
        </w:tc>
        <w:tc>
          <w:tcPr>
            <w:tcW w:w="708" w:type="dxa"/>
            <w:shd w:val="clear" w:color="auto" w:fill="auto"/>
            <w:vAlign w:val="center"/>
          </w:tcPr>
          <w:p w:rsidR="00871692" w:rsidRPr="00585C13" w:rsidRDefault="00871692" w:rsidP="00FE7B3C">
            <w:pPr>
              <w:jc w:val="right"/>
              <w:rPr>
                <w:rFonts w:ascii="Calibri" w:hAnsi="Calibri" w:cs="Calibri"/>
                <w:color w:val="002B45"/>
                <w:lang w:val="en-US"/>
              </w:rPr>
            </w:pPr>
            <w:r w:rsidRPr="00585C13">
              <w:rPr>
                <w:rFonts w:ascii="Calibri" w:hAnsi="Calibri" w:cs="Calibri"/>
                <w:color w:val="002B45"/>
                <w:lang w:val="en-US"/>
              </w:rPr>
              <w:t>–</w:t>
            </w:r>
          </w:p>
        </w:tc>
        <w:tc>
          <w:tcPr>
            <w:tcW w:w="709" w:type="dxa"/>
            <w:vAlign w:val="center"/>
          </w:tcPr>
          <w:p w:rsidR="00871692" w:rsidRPr="00585C13" w:rsidRDefault="00871692" w:rsidP="00FE7B3C">
            <w:pPr>
              <w:jc w:val="right"/>
              <w:rPr>
                <w:rFonts w:ascii="Calibri" w:hAnsi="Calibri" w:cs="Calibri"/>
                <w:color w:val="002B45"/>
                <w:lang w:val="en-US"/>
              </w:rPr>
            </w:pPr>
            <w:r w:rsidRPr="00585C13">
              <w:rPr>
                <w:rFonts w:ascii="Calibri" w:hAnsi="Calibri" w:cs="Calibri"/>
                <w:color w:val="002B45"/>
                <w:lang w:val="en-US"/>
              </w:rPr>
              <w:t>–</w:t>
            </w:r>
          </w:p>
        </w:tc>
        <w:tc>
          <w:tcPr>
            <w:tcW w:w="709" w:type="dxa"/>
            <w:vAlign w:val="center"/>
          </w:tcPr>
          <w:p w:rsidR="00871692" w:rsidRPr="00585C13" w:rsidRDefault="00871692" w:rsidP="00FE7B3C">
            <w:pPr>
              <w:jc w:val="right"/>
              <w:rPr>
                <w:rFonts w:ascii="Calibri" w:hAnsi="Calibri" w:cs="Calibri"/>
                <w:color w:val="002B45"/>
                <w:lang w:val="en-US"/>
              </w:rPr>
            </w:pPr>
            <w:r w:rsidRPr="00585C13">
              <w:rPr>
                <w:rFonts w:ascii="Calibri" w:hAnsi="Calibri" w:cs="Calibri"/>
                <w:color w:val="002B45"/>
                <w:lang w:val="en-US"/>
              </w:rPr>
              <w:t>–</w:t>
            </w:r>
          </w:p>
        </w:tc>
        <w:tc>
          <w:tcPr>
            <w:tcW w:w="709" w:type="dxa"/>
            <w:shd w:val="clear" w:color="auto" w:fill="auto"/>
            <w:vAlign w:val="center"/>
          </w:tcPr>
          <w:p w:rsidR="00871692" w:rsidRPr="00585C13" w:rsidRDefault="00871692" w:rsidP="00FE7B3C">
            <w:pPr>
              <w:jc w:val="right"/>
              <w:rPr>
                <w:rFonts w:ascii="Calibri" w:hAnsi="Calibri" w:cs="Calibri"/>
                <w:color w:val="002B45"/>
                <w:lang w:val="en-US"/>
              </w:rPr>
            </w:pPr>
            <w:r w:rsidRPr="00585C13">
              <w:rPr>
                <w:rFonts w:ascii="Calibri" w:hAnsi="Calibri" w:cs="Calibri"/>
                <w:color w:val="002B45"/>
                <w:lang w:val="en-US"/>
              </w:rPr>
              <w:t>(9.1)</w:t>
            </w:r>
          </w:p>
        </w:tc>
        <w:tc>
          <w:tcPr>
            <w:tcW w:w="708" w:type="dxa"/>
            <w:shd w:val="clear" w:color="auto" w:fill="auto"/>
            <w:vAlign w:val="center"/>
          </w:tcPr>
          <w:p w:rsidR="00871692" w:rsidRPr="00585C13" w:rsidRDefault="00871692" w:rsidP="00FE7B3C">
            <w:pPr>
              <w:jc w:val="right"/>
              <w:rPr>
                <w:rFonts w:ascii="Calibri" w:hAnsi="Calibri" w:cs="Calibri"/>
                <w:color w:val="002B45"/>
                <w:lang w:val="en-US"/>
              </w:rPr>
            </w:pPr>
            <w:r w:rsidRPr="00585C13">
              <w:rPr>
                <w:rFonts w:ascii="Calibri" w:hAnsi="Calibri" w:cs="Calibri"/>
                <w:color w:val="002B45"/>
                <w:lang w:val="en-US"/>
              </w:rPr>
              <w:t>(9.1)</w:t>
            </w:r>
          </w:p>
        </w:tc>
        <w:tc>
          <w:tcPr>
            <w:tcW w:w="851" w:type="dxa"/>
            <w:shd w:val="clear" w:color="auto" w:fill="auto"/>
            <w:vAlign w:val="center"/>
          </w:tcPr>
          <w:p w:rsidR="00871692" w:rsidRPr="00585C13" w:rsidRDefault="00871692" w:rsidP="00FE7B3C">
            <w:pPr>
              <w:jc w:val="right"/>
              <w:rPr>
                <w:rFonts w:ascii="Calibri" w:hAnsi="Calibri" w:cs="Calibri"/>
                <w:color w:val="002B45"/>
                <w:lang w:val="en-US"/>
              </w:rPr>
            </w:pPr>
            <w:r w:rsidRPr="00585C13">
              <w:rPr>
                <w:rFonts w:ascii="Calibri" w:hAnsi="Calibri" w:cs="Calibri"/>
                <w:color w:val="002B45"/>
                <w:lang w:val="en-US"/>
              </w:rPr>
              <w:t xml:space="preserve"> – </w:t>
            </w:r>
          </w:p>
        </w:tc>
        <w:tc>
          <w:tcPr>
            <w:tcW w:w="709" w:type="dxa"/>
            <w:shd w:val="clear" w:color="auto" w:fill="auto"/>
            <w:vAlign w:val="center"/>
          </w:tcPr>
          <w:p w:rsidR="00871692" w:rsidRPr="00585C13" w:rsidRDefault="00871692" w:rsidP="00FE7B3C">
            <w:pPr>
              <w:jc w:val="right"/>
              <w:rPr>
                <w:rFonts w:ascii="Calibri" w:hAnsi="Calibri" w:cs="Calibri"/>
                <w:color w:val="002B45"/>
                <w:lang w:val="en-US"/>
              </w:rPr>
            </w:pPr>
            <w:r w:rsidRPr="00585C13">
              <w:rPr>
                <w:rFonts w:ascii="Calibri" w:hAnsi="Calibri" w:cs="Calibri"/>
                <w:color w:val="002B45"/>
                <w:lang w:val="en-US"/>
              </w:rPr>
              <w:t>(9.1)</w:t>
            </w:r>
          </w:p>
        </w:tc>
      </w:tr>
      <w:tr w:rsidR="00871692" w:rsidRPr="00C44CA2" w:rsidTr="00BA6A1A">
        <w:trPr>
          <w:trHeight w:val="283"/>
        </w:trPr>
        <w:tc>
          <w:tcPr>
            <w:tcW w:w="2977" w:type="dxa"/>
            <w:shd w:val="clear" w:color="auto" w:fill="auto"/>
            <w:vAlign w:val="center"/>
          </w:tcPr>
          <w:p w:rsidR="00871692" w:rsidRPr="00585C13" w:rsidRDefault="00871692" w:rsidP="00FE7B3C">
            <w:pPr>
              <w:pStyle w:val="Tabletext0"/>
              <w:ind w:right="85"/>
              <w:rPr>
                <w:rFonts w:ascii="Calibri" w:hAnsi="Calibri" w:cs="Calibri"/>
                <w:color w:val="002B45"/>
              </w:rPr>
            </w:pPr>
            <w:r w:rsidRPr="00585C13">
              <w:rPr>
                <w:rFonts w:ascii="Calibri" w:hAnsi="Calibri" w:cs="Calibri"/>
                <w:color w:val="002B45"/>
              </w:rPr>
              <w:t xml:space="preserve">Share-based payment charges </w:t>
            </w:r>
          </w:p>
        </w:tc>
        <w:tc>
          <w:tcPr>
            <w:tcW w:w="567" w:type="dxa"/>
            <w:shd w:val="clear" w:color="auto" w:fill="auto"/>
            <w:vAlign w:val="center"/>
          </w:tcPr>
          <w:p w:rsidR="00871692" w:rsidRPr="00585C13" w:rsidRDefault="00871692" w:rsidP="00FE7B3C">
            <w:pPr>
              <w:jc w:val="right"/>
              <w:rPr>
                <w:rFonts w:ascii="Calibri" w:hAnsi="Calibri" w:cs="Calibri"/>
                <w:color w:val="002B45"/>
                <w:lang w:val="en-US"/>
              </w:rPr>
            </w:pPr>
            <w:r w:rsidRPr="00585C13">
              <w:rPr>
                <w:rFonts w:ascii="Calibri" w:hAnsi="Calibri" w:cs="Calibri"/>
                <w:color w:val="002B45"/>
                <w:lang w:val="en-US"/>
              </w:rPr>
              <w:t xml:space="preserve"> – </w:t>
            </w:r>
          </w:p>
        </w:tc>
        <w:tc>
          <w:tcPr>
            <w:tcW w:w="851" w:type="dxa"/>
            <w:shd w:val="clear" w:color="auto" w:fill="auto"/>
            <w:vAlign w:val="center"/>
          </w:tcPr>
          <w:p w:rsidR="00871692" w:rsidRPr="00585C13" w:rsidRDefault="00871692" w:rsidP="00FE7B3C">
            <w:pPr>
              <w:jc w:val="right"/>
              <w:rPr>
                <w:rFonts w:ascii="Calibri" w:hAnsi="Calibri" w:cs="Calibri"/>
                <w:color w:val="002B45"/>
                <w:lang w:val="en-US"/>
              </w:rPr>
            </w:pPr>
            <w:r w:rsidRPr="00585C13">
              <w:rPr>
                <w:rFonts w:ascii="Calibri" w:hAnsi="Calibri" w:cs="Calibri"/>
                <w:color w:val="002B45"/>
                <w:lang w:val="en-US"/>
              </w:rPr>
              <w:t xml:space="preserve"> – </w:t>
            </w:r>
          </w:p>
        </w:tc>
        <w:tc>
          <w:tcPr>
            <w:tcW w:w="708" w:type="dxa"/>
            <w:shd w:val="clear" w:color="auto" w:fill="auto"/>
            <w:vAlign w:val="center"/>
          </w:tcPr>
          <w:p w:rsidR="00871692" w:rsidRPr="00585C13" w:rsidRDefault="00871692" w:rsidP="00FE7B3C">
            <w:pPr>
              <w:jc w:val="right"/>
              <w:rPr>
                <w:rFonts w:ascii="Calibri" w:hAnsi="Calibri" w:cs="Calibri"/>
                <w:color w:val="002B45"/>
                <w:lang w:val="en-US"/>
              </w:rPr>
            </w:pPr>
            <w:r w:rsidRPr="00585C13">
              <w:rPr>
                <w:rFonts w:ascii="Calibri" w:hAnsi="Calibri" w:cs="Calibri"/>
                <w:color w:val="002B45"/>
                <w:lang w:val="en-US"/>
              </w:rPr>
              <w:t>–</w:t>
            </w:r>
          </w:p>
        </w:tc>
        <w:tc>
          <w:tcPr>
            <w:tcW w:w="709" w:type="dxa"/>
            <w:vAlign w:val="center"/>
          </w:tcPr>
          <w:p w:rsidR="00871692" w:rsidRPr="00585C13" w:rsidRDefault="00871692" w:rsidP="00FE7B3C">
            <w:pPr>
              <w:jc w:val="right"/>
              <w:rPr>
                <w:rFonts w:ascii="Calibri" w:hAnsi="Calibri" w:cs="Calibri"/>
                <w:color w:val="002B45"/>
                <w:lang w:val="en-US"/>
              </w:rPr>
            </w:pPr>
            <w:r w:rsidRPr="00585C13">
              <w:rPr>
                <w:rFonts w:ascii="Calibri" w:hAnsi="Calibri" w:cs="Calibri"/>
                <w:color w:val="002B45"/>
                <w:lang w:val="en-US"/>
              </w:rPr>
              <w:t>–</w:t>
            </w:r>
          </w:p>
        </w:tc>
        <w:tc>
          <w:tcPr>
            <w:tcW w:w="709" w:type="dxa"/>
            <w:vAlign w:val="center"/>
          </w:tcPr>
          <w:p w:rsidR="00871692" w:rsidRPr="00585C13" w:rsidRDefault="00871692" w:rsidP="00FE7B3C">
            <w:pPr>
              <w:jc w:val="right"/>
              <w:rPr>
                <w:rFonts w:ascii="Calibri" w:hAnsi="Calibri" w:cs="Calibri"/>
                <w:color w:val="002B45"/>
                <w:lang w:val="en-US"/>
              </w:rPr>
            </w:pPr>
            <w:r w:rsidRPr="00585C13">
              <w:rPr>
                <w:rFonts w:ascii="Calibri" w:hAnsi="Calibri" w:cs="Calibri"/>
                <w:color w:val="002B45"/>
                <w:lang w:val="en-US"/>
              </w:rPr>
              <w:t>–</w:t>
            </w:r>
          </w:p>
        </w:tc>
        <w:tc>
          <w:tcPr>
            <w:tcW w:w="709" w:type="dxa"/>
            <w:shd w:val="clear" w:color="auto" w:fill="auto"/>
            <w:vAlign w:val="center"/>
          </w:tcPr>
          <w:p w:rsidR="00871692" w:rsidRPr="00585C13" w:rsidRDefault="00871692" w:rsidP="00FE7B3C">
            <w:pPr>
              <w:jc w:val="right"/>
              <w:rPr>
                <w:rFonts w:ascii="Calibri" w:hAnsi="Calibri" w:cs="Calibri"/>
                <w:color w:val="002B45"/>
                <w:lang w:val="en-US"/>
              </w:rPr>
            </w:pPr>
            <w:r w:rsidRPr="00585C13">
              <w:rPr>
                <w:rFonts w:ascii="Calibri" w:hAnsi="Calibri" w:cs="Calibri"/>
                <w:color w:val="002B45"/>
                <w:lang w:val="en-US"/>
              </w:rPr>
              <w:t xml:space="preserve"> 47.9 </w:t>
            </w:r>
          </w:p>
        </w:tc>
        <w:tc>
          <w:tcPr>
            <w:tcW w:w="708" w:type="dxa"/>
            <w:shd w:val="clear" w:color="auto" w:fill="auto"/>
            <w:vAlign w:val="center"/>
          </w:tcPr>
          <w:p w:rsidR="00871692" w:rsidRPr="00585C13" w:rsidRDefault="00871692" w:rsidP="00FE7B3C">
            <w:pPr>
              <w:jc w:val="right"/>
              <w:rPr>
                <w:rFonts w:ascii="Calibri" w:hAnsi="Calibri" w:cs="Calibri"/>
                <w:color w:val="002B45"/>
                <w:lang w:val="en-US"/>
              </w:rPr>
            </w:pPr>
            <w:r w:rsidRPr="00585C13">
              <w:rPr>
                <w:rFonts w:ascii="Calibri" w:hAnsi="Calibri" w:cs="Calibri"/>
                <w:color w:val="002B45"/>
                <w:lang w:val="en-US"/>
              </w:rPr>
              <w:t xml:space="preserve"> 47.9 </w:t>
            </w:r>
          </w:p>
        </w:tc>
        <w:tc>
          <w:tcPr>
            <w:tcW w:w="851" w:type="dxa"/>
            <w:shd w:val="clear" w:color="auto" w:fill="auto"/>
            <w:vAlign w:val="center"/>
          </w:tcPr>
          <w:p w:rsidR="00871692" w:rsidRPr="00585C13" w:rsidRDefault="00871692" w:rsidP="00FE7B3C">
            <w:pPr>
              <w:jc w:val="right"/>
              <w:rPr>
                <w:rFonts w:ascii="Calibri" w:hAnsi="Calibri" w:cs="Calibri"/>
                <w:color w:val="002B45"/>
                <w:lang w:val="en-US"/>
              </w:rPr>
            </w:pPr>
            <w:r w:rsidRPr="00585C13">
              <w:rPr>
                <w:rFonts w:ascii="Calibri" w:hAnsi="Calibri" w:cs="Calibri"/>
                <w:color w:val="002B45"/>
                <w:lang w:val="en-US"/>
              </w:rPr>
              <w:t xml:space="preserve"> – </w:t>
            </w:r>
          </w:p>
        </w:tc>
        <w:tc>
          <w:tcPr>
            <w:tcW w:w="709" w:type="dxa"/>
            <w:shd w:val="clear" w:color="auto" w:fill="auto"/>
            <w:vAlign w:val="center"/>
          </w:tcPr>
          <w:p w:rsidR="00871692" w:rsidRPr="00585C13" w:rsidRDefault="00871692" w:rsidP="00FE7B3C">
            <w:pPr>
              <w:jc w:val="right"/>
              <w:rPr>
                <w:rFonts w:ascii="Calibri" w:hAnsi="Calibri" w:cs="Calibri"/>
                <w:color w:val="002B45"/>
                <w:lang w:val="en-US"/>
              </w:rPr>
            </w:pPr>
            <w:r w:rsidRPr="00585C13">
              <w:rPr>
                <w:rFonts w:ascii="Calibri" w:hAnsi="Calibri" w:cs="Calibri"/>
                <w:color w:val="002B45"/>
                <w:lang w:val="en-US"/>
              </w:rPr>
              <w:t xml:space="preserve"> 47.9 </w:t>
            </w:r>
          </w:p>
        </w:tc>
      </w:tr>
      <w:tr w:rsidR="00871692" w:rsidRPr="00C44CA2" w:rsidTr="00BA6A1A">
        <w:trPr>
          <w:trHeight w:val="283"/>
        </w:trPr>
        <w:tc>
          <w:tcPr>
            <w:tcW w:w="2977" w:type="dxa"/>
            <w:shd w:val="clear" w:color="auto" w:fill="auto"/>
            <w:vAlign w:val="center"/>
          </w:tcPr>
          <w:p w:rsidR="00871692" w:rsidRPr="00585C13" w:rsidRDefault="00871692" w:rsidP="00FE7B3C">
            <w:pPr>
              <w:pStyle w:val="Tabletext0"/>
              <w:ind w:right="85"/>
              <w:rPr>
                <w:rFonts w:ascii="Calibri" w:hAnsi="Calibri" w:cs="Calibri"/>
                <w:color w:val="002B45"/>
              </w:rPr>
            </w:pPr>
            <w:r w:rsidRPr="00585C13">
              <w:rPr>
                <w:rFonts w:ascii="Calibri" w:hAnsi="Calibri" w:cs="Calibri"/>
                <w:color w:val="002B45"/>
              </w:rPr>
              <w:t>Dividends paid</w:t>
            </w:r>
          </w:p>
        </w:tc>
        <w:tc>
          <w:tcPr>
            <w:tcW w:w="567" w:type="dxa"/>
            <w:shd w:val="clear" w:color="auto" w:fill="auto"/>
            <w:vAlign w:val="center"/>
          </w:tcPr>
          <w:p w:rsidR="00871692" w:rsidRPr="00585C13" w:rsidRDefault="00871692" w:rsidP="00FE7B3C">
            <w:pPr>
              <w:jc w:val="right"/>
              <w:rPr>
                <w:rFonts w:ascii="Calibri" w:hAnsi="Calibri" w:cs="Calibri"/>
                <w:color w:val="002B45"/>
                <w:lang w:val="en-US"/>
              </w:rPr>
            </w:pPr>
            <w:r w:rsidRPr="00585C13">
              <w:rPr>
                <w:rFonts w:ascii="Calibri" w:hAnsi="Calibri" w:cs="Calibri"/>
                <w:color w:val="002B45"/>
                <w:lang w:val="en-US"/>
              </w:rPr>
              <w:t xml:space="preserve"> – </w:t>
            </w:r>
          </w:p>
        </w:tc>
        <w:tc>
          <w:tcPr>
            <w:tcW w:w="851" w:type="dxa"/>
            <w:shd w:val="clear" w:color="auto" w:fill="auto"/>
            <w:vAlign w:val="center"/>
          </w:tcPr>
          <w:p w:rsidR="00871692" w:rsidRPr="00585C13" w:rsidRDefault="00871692" w:rsidP="00FE7B3C">
            <w:pPr>
              <w:jc w:val="right"/>
              <w:rPr>
                <w:rFonts w:ascii="Calibri" w:hAnsi="Calibri" w:cs="Calibri"/>
                <w:color w:val="002B45"/>
                <w:lang w:val="en-US"/>
              </w:rPr>
            </w:pPr>
            <w:r w:rsidRPr="00585C13">
              <w:rPr>
                <w:rFonts w:ascii="Calibri" w:hAnsi="Calibri" w:cs="Calibri"/>
                <w:color w:val="002B45"/>
                <w:lang w:val="en-US"/>
              </w:rPr>
              <w:t xml:space="preserve"> – </w:t>
            </w:r>
          </w:p>
        </w:tc>
        <w:tc>
          <w:tcPr>
            <w:tcW w:w="708" w:type="dxa"/>
            <w:shd w:val="clear" w:color="auto" w:fill="auto"/>
            <w:vAlign w:val="center"/>
          </w:tcPr>
          <w:p w:rsidR="00871692" w:rsidRPr="00585C13" w:rsidRDefault="00871692" w:rsidP="00FE7B3C">
            <w:pPr>
              <w:jc w:val="right"/>
              <w:rPr>
                <w:rFonts w:ascii="Calibri" w:hAnsi="Calibri" w:cs="Calibri"/>
                <w:color w:val="002B45"/>
                <w:lang w:val="en-US"/>
              </w:rPr>
            </w:pPr>
            <w:r w:rsidRPr="00585C13">
              <w:rPr>
                <w:rFonts w:ascii="Calibri" w:hAnsi="Calibri" w:cs="Calibri"/>
                <w:color w:val="002B45"/>
                <w:lang w:val="en-US"/>
              </w:rPr>
              <w:t>–</w:t>
            </w:r>
          </w:p>
        </w:tc>
        <w:tc>
          <w:tcPr>
            <w:tcW w:w="709" w:type="dxa"/>
            <w:vAlign w:val="center"/>
          </w:tcPr>
          <w:p w:rsidR="00871692" w:rsidRPr="00585C13" w:rsidRDefault="00871692" w:rsidP="00FE7B3C">
            <w:pPr>
              <w:jc w:val="right"/>
              <w:rPr>
                <w:rFonts w:ascii="Calibri" w:hAnsi="Calibri" w:cs="Calibri"/>
                <w:color w:val="002B45"/>
                <w:lang w:val="en-US"/>
              </w:rPr>
            </w:pPr>
            <w:r w:rsidRPr="00585C13">
              <w:rPr>
                <w:rFonts w:ascii="Calibri" w:hAnsi="Calibri" w:cs="Calibri"/>
                <w:color w:val="002B45"/>
                <w:lang w:val="en-US"/>
              </w:rPr>
              <w:t>–</w:t>
            </w:r>
          </w:p>
        </w:tc>
        <w:tc>
          <w:tcPr>
            <w:tcW w:w="709" w:type="dxa"/>
            <w:vAlign w:val="center"/>
          </w:tcPr>
          <w:p w:rsidR="00871692" w:rsidRPr="00585C13" w:rsidRDefault="00871692" w:rsidP="00FE7B3C">
            <w:pPr>
              <w:jc w:val="right"/>
              <w:rPr>
                <w:rFonts w:ascii="Calibri" w:hAnsi="Calibri" w:cs="Calibri"/>
                <w:color w:val="002B45"/>
                <w:lang w:val="en-US"/>
              </w:rPr>
            </w:pPr>
            <w:r w:rsidRPr="00585C13">
              <w:rPr>
                <w:rFonts w:ascii="Calibri" w:hAnsi="Calibri" w:cs="Calibri"/>
                <w:color w:val="002B45"/>
                <w:lang w:val="en-US"/>
              </w:rPr>
              <w:t>–</w:t>
            </w:r>
          </w:p>
        </w:tc>
        <w:tc>
          <w:tcPr>
            <w:tcW w:w="709" w:type="dxa"/>
            <w:shd w:val="clear" w:color="auto" w:fill="auto"/>
            <w:vAlign w:val="center"/>
          </w:tcPr>
          <w:p w:rsidR="00871692" w:rsidRPr="00585C13" w:rsidRDefault="00871692" w:rsidP="00FE7B3C">
            <w:pPr>
              <w:jc w:val="right"/>
              <w:rPr>
                <w:rFonts w:ascii="Calibri" w:hAnsi="Calibri" w:cs="Calibri"/>
                <w:color w:val="002B45"/>
                <w:lang w:val="en-US"/>
              </w:rPr>
            </w:pPr>
            <w:r w:rsidRPr="00585C13">
              <w:rPr>
                <w:rFonts w:ascii="Calibri" w:hAnsi="Calibri" w:cs="Calibri"/>
                <w:color w:val="002B45"/>
                <w:lang w:val="en-US"/>
              </w:rPr>
              <w:t>(173.2)</w:t>
            </w:r>
          </w:p>
        </w:tc>
        <w:tc>
          <w:tcPr>
            <w:tcW w:w="708" w:type="dxa"/>
            <w:shd w:val="clear" w:color="auto" w:fill="auto"/>
            <w:vAlign w:val="center"/>
          </w:tcPr>
          <w:p w:rsidR="00871692" w:rsidRPr="00585C13" w:rsidRDefault="00871692" w:rsidP="00FE7B3C">
            <w:pPr>
              <w:jc w:val="right"/>
              <w:rPr>
                <w:rFonts w:ascii="Calibri" w:hAnsi="Calibri" w:cs="Calibri"/>
                <w:color w:val="002B45"/>
                <w:lang w:val="en-US"/>
              </w:rPr>
            </w:pPr>
            <w:r w:rsidRPr="00585C13">
              <w:rPr>
                <w:rFonts w:ascii="Calibri" w:hAnsi="Calibri" w:cs="Calibri"/>
                <w:color w:val="002B45"/>
                <w:lang w:val="en-US"/>
              </w:rPr>
              <w:t>(173.2)</w:t>
            </w:r>
          </w:p>
        </w:tc>
        <w:tc>
          <w:tcPr>
            <w:tcW w:w="851" w:type="dxa"/>
            <w:shd w:val="clear" w:color="auto" w:fill="auto"/>
            <w:vAlign w:val="center"/>
          </w:tcPr>
          <w:p w:rsidR="00871692" w:rsidRPr="00585C13" w:rsidRDefault="00871692" w:rsidP="00FE7B3C">
            <w:pPr>
              <w:jc w:val="right"/>
              <w:rPr>
                <w:rFonts w:ascii="Calibri" w:hAnsi="Calibri" w:cs="Calibri"/>
                <w:color w:val="002B45"/>
                <w:lang w:val="en-US"/>
              </w:rPr>
            </w:pPr>
            <w:r w:rsidRPr="00585C13">
              <w:rPr>
                <w:rFonts w:ascii="Calibri" w:hAnsi="Calibri" w:cs="Calibri"/>
                <w:color w:val="002B45"/>
                <w:lang w:val="en-US"/>
              </w:rPr>
              <w:t xml:space="preserve"> – </w:t>
            </w:r>
          </w:p>
        </w:tc>
        <w:tc>
          <w:tcPr>
            <w:tcW w:w="709" w:type="dxa"/>
            <w:shd w:val="clear" w:color="auto" w:fill="auto"/>
            <w:vAlign w:val="center"/>
          </w:tcPr>
          <w:p w:rsidR="00871692" w:rsidRPr="00585C13" w:rsidRDefault="00871692" w:rsidP="00FE7B3C">
            <w:pPr>
              <w:jc w:val="right"/>
              <w:rPr>
                <w:rFonts w:ascii="Calibri" w:hAnsi="Calibri" w:cs="Calibri"/>
                <w:color w:val="002B45"/>
                <w:lang w:val="en-US"/>
              </w:rPr>
            </w:pPr>
            <w:r w:rsidRPr="00585C13">
              <w:rPr>
                <w:rFonts w:ascii="Calibri" w:hAnsi="Calibri" w:cs="Calibri"/>
                <w:color w:val="002B45"/>
                <w:lang w:val="en-US"/>
              </w:rPr>
              <w:t>(173.2)</w:t>
            </w:r>
          </w:p>
        </w:tc>
      </w:tr>
      <w:tr w:rsidR="00871692" w:rsidRPr="00C44CA2" w:rsidTr="00BA6A1A">
        <w:trPr>
          <w:trHeight w:val="283"/>
        </w:trPr>
        <w:tc>
          <w:tcPr>
            <w:tcW w:w="2977" w:type="dxa"/>
            <w:tcBorders>
              <w:bottom w:val="single" w:sz="8" w:space="0" w:color="A6A6A6" w:themeColor="background1" w:themeShade="A6"/>
            </w:tcBorders>
            <w:shd w:val="clear" w:color="auto" w:fill="auto"/>
            <w:vAlign w:val="center"/>
          </w:tcPr>
          <w:p w:rsidR="00871692" w:rsidRPr="00585C13" w:rsidRDefault="00871692" w:rsidP="00FE7B3C">
            <w:pPr>
              <w:pStyle w:val="Tabletext0"/>
              <w:ind w:right="85"/>
              <w:rPr>
                <w:rFonts w:ascii="Calibri" w:hAnsi="Calibri" w:cs="Calibri"/>
                <w:color w:val="002B45"/>
              </w:rPr>
            </w:pPr>
            <w:r w:rsidRPr="00585C13">
              <w:rPr>
                <w:rFonts w:ascii="Calibri" w:hAnsi="Calibri" w:cs="Calibri"/>
                <w:color w:val="002B45"/>
              </w:rPr>
              <w:t xml:space="preserve">Distribution to non-controlling interests </w:t>
            </w:r>
          </w:p>
        </w:tc>
        <w:tc>
          <w:tcPr>
            <w:tcW w:w="567" w:type="dxa"/>
            <w:tcBorders>
              <w:bottom w:val="single" w:sz="8" w:space="0" w:color="A6A6A6" w:themeColor="background1" w:themeShade="A6"/>
            </w:tcBorders>
            <w:shd w:val="clear" w:color="auto" w:fill="auto"/>
            <w:vAlign w:val="center"/>
          </w:tcPr>
          <w:p w:rsidR="00871692" w:rsidRPr="00585C13" w:rsidRDefault="00871692" w:rsidP="00FE7B3C">
            <w:pPr>
              <w:jc w:val="right"/>
              <w:rPr>
                <w:rFonts w:ascii="Calibri" w:hAnsi="Calibri" w:cs="Calibri"/>
                <w:color w:val="002B45"/>
                <w:lang w:val="en-US"/>
              </w:rPr>
            </w:pPr>
            <w:r w:rsidRPr="00585C13">
              <w:rPr>
                <w:rFonts w:ascii="Calibri" w:hAnsi="Calibri" w:cs="Calibri"/>
                <w:color w:val="002B45"/>
                <w:lang w:val="en-US"/>
              </w:rPr>
              <w:t xml:space="preserve"> – </w:t>
            </w:r>
          </w:p>
        </w:tc>
        <w:tc>
          <w:tcPr>
            <w:tcW w:w="851" w:type="dxa"/>
            <w:tcBorders>
              <w:bottom w:val="single" w:sz="8" w:space="0" w:color="A6A6A6" w:themeColor="background1" w:themeShade="A6"/>
            </w:tcBorders>
            <w:shd w:val="clear" w:color="auto" w:fill="auto"/>
            <w:vAlign w:val="center"/>
          </w:tcPr>
          <w:p w:rsidR="00871692" w:rsidRPr="00585C13" w:rsidRDefault="00871692" w:rsidP="00FE7B3C">
            <w:pPr>
              <w:jc w:val="right"/>
              <w:rPr>
                <w:rFonts w:ascii="Calibri" w:hAnsi="Calibri" w:cs="Calibri"/>
                <w:color w:val="002B45"/>
                <w:lang w:val="en-US"/>
              </w:rPr>
            </w:pPr>
            <w:r w:rsidRPr="00585C13">
              <w:rPr>
                <w:rFonts w:ascii="Calibri" w:hAnsi="Calibri" w:cs="Calibri"/>
                <w:color w:val="002B45"/>
                <w:lang w:val="en-US"/>
              </w:rPr>
              <w:t xml:space="preserve"> – </w:t>
            </w:r>
          </w:p>
        </w:tc>
        <w:tc>
          <w:tcPr>
            <w:tcW w:w="708" w:type="dxa"/>
            <w:tcBorders>
              <w:bottom w:val="single" w:sz="8" w:space="0" w:color="A6A6A6" w:themeColor="background1" w:themeShade="A6"/>
            </w:tcBorders>
            <w:shd w:val="clear" w:color="auto" w:fill="auto"/>
            <w:vAlign w:val="center"/>
          </w:tcPr>
          <w:p w:rsidR="00871692" w:rsidRPr="00585C13" w:rsidRDefault="00871692" w:rsidP="00FE7B3C">
            <w:pPr>
              <w:jc w:val="right"/>
              <w:rPr>
                <w:rFonts w:ascii="Calibri" w:hAnsi="Calibri" w:cs="Calibri"/>
                <w:color w:val="002B45"/>
                <w:lang w:val="en-US"/>
              </w:rPr>
            </w:pPr>
            <w:r w:rsidRPr="00585C13">
              <w:rPr>
                <w:rFonts w:ascii="Calibri" w:hAnsi="Calibri" w:cs="Calibri"/>
                <w:color w:val="002B45"/>
                <w:lang w:val="en-US"/>
              </w:rPr>
              <w:t>–</w:t>
            </w:r>
          </w:p>
        </w:tc>
        <w:tc>
          <w:tcPr>
            <w:tcW w:w="709" w:type="dxa"/>
            <w:tcBorders>
              <w:bottom w:val="single" w:sz="8" w:space="0" w:color="A6A6A6" w:themeColor="background1" w:themeShade="A6"/>
            </w:tcBorders>
            <w:vAlign w:val="center"/>
          </w:tcPr>
          <w:p w:rsidR="00871692" w:rsidRPr="00585C13" w:rsidRDefault="00871692" w:rsidP="00FE7B3C">
            <w:pPr>
              <w:jc w:val="right"/>
              <w:rPr>
                <w:rFonts w:ascii="Calibri" w:hAnsi="Calibri" w:cs="Calibri"/>
                <w:color w:val="002B45"/>
                <w:lang w:val="en-US"/>
              </w:rPr>
            </w:pPr>
            <w:r w:rsidRPr="00585C13">
              <w:rPr>
                <w:rFonts w:ascii="Calibri" w:hAnsi="Calibri" w:cs="Calibri"/>
                <w:color w:val="002B45"/>
                <w:lang w:val="en-US"/>
              </w:rPr>
              <w:t>–</w:t>
            </w:r>
          </w:p>
        </w:tc>
        <w:tc>
          <w:tcPr>
            <w:tcW w:w="709" w:type="dxa"/>
            <w:tcBorders>
              <w:bottom w:val="single" w:sz="8" w:space="0" w:color="A6A6A6" w:themeColor="background1" w:themeShade="A6"/>
            </w:tcBorders>
            <w:vAlign w:val="center"/>
          </w:tcPr>
          <w:p w:rsidR="00871692" w:rsidRPr="00585C13" w:rsidRDefault="00871692" w:rsidP="00FE7B3C">
            <w:pPr>
              <w:jc w:val="right"/>
              <w:rPr>
                <w:rFonts w:ascii="Calibri" w:hAnsi="Calibri" w:cs="Calibri"/>
                <w:color w:val="002B45"/>
                <w:lang w:val="en-US"/>
              </w:rPr>
            </w:pPr>
            <w:r w:rsidRPr="00585C13">
              <w:rPr>
                <w:rFonts w:ascii="Calibri" w:hAnsi="Calibri" w:cs="Calibri"/>
                <w:color w:val="002B45"/>
                <w:lang w:val="en-US"/>
              </w:rPr>
              <w:t>–</w:t>
            </w:r>
          </w:p>
        </w:tc>
        <w:tc>
          <w:tcPr>
            <w:tcW w:w="709" w:type="dxa"/>
            <w:tcBorders>
              <w:bottom w:val="single" w:sz="8" w:space="0" w:color="A6A6A6" w:themeColor="background1" w:themeShade="A6"/>
            </w:tcBorders>
            <w:shd w:val="clear" w:color="auto" w:fill="auto"/>
            <w:vAlign w:val="center"/>
          </w:tcPr>
          <w:p w:rsidR="00871692" w:rsidRPr="00585C13" w:rsidRDefault="00871692" w:rsidP="00FE7B3C">
            <w:pPr>
              <w:jc w:val="right"/>
              <w:rPr>
                <w:rFonts w:ascii="Calibri" w:hAnsi="Calibri" w:cs="Calibri"/>
                <w:color w:val="002B45"/>
                <w:lang w:val="en-US"/>
              </w:rPr>
            </w:pPr>
            <w:r w:rsidRPr="00585C13">
              <w:rPr>
                <w:rFonts w:ascii="Calibri" w:hAnsi="Calibri" w:cs="Calibri"/>
                <w:color w:val="002B45"/>
                <w:lang w:val="en-US"/>
              </w:rPr>
              <w:t xml:space="preserve"> – </w:t>
            </w:r>
          </w:p>
        </w:tc>
        <w:tc>
          <w:tcPr>
            <w:tcW w:w="708" w:type="dxa"/>
            <w:tcBorders>
              <w:bottom w:val="single" w:sz="8" w:space="0" w:color="A6A6A6" w:themeColor="background1" w:themeShade="A6"/>
            </w:tcBorders>
            <w:shd w:val="clear" w:color="auto" w:fill="auto"/>
            <w:vAlign w:val="center"/>
          </w:tcPr>
          <w:p w:rsidR="00871692" w:rsidRPr="00585C13" w:rsidRDefault="00871692" w:rsidP="00FE7B3C">
            <w:pPr>
              <w:jc w:val="right"/>
              <w:rPr>
                <w:rFonts w:ascii="Calibri" w:hAnsi="Calibri" w:cs="Calibri"/>
                <w:color w:val="002B45"/>
                <w:lang w:val="en-US"/>
              </w:rPr>
            </w:pPr>
            <w:r w:rsidRPr="00585C13">
              <w:rPr>
                <w:rFonts w:ascii="Calibri" w:hAnsi="Calibri" w:cs="Calibri"/>
                <w:color w:val="002B45"/>
                <w:lang w:val="en-US"/>
              </w:rPr>
              <w:t xml:space="preserve"> – </w:t>
            </w:r>
          </w:p>
        </w:tc>
        <w:tc>
          <w:tcPr>
            <w:tcW w:w="851" w:type="dxa"/>
            <w:tcBorders>
              <w:bottom w:val="single" w:sz="8" w:space="0" w:color="A6A6A6" w:themeColor="background1" w:themeShade="A6"/>
            </w:tcBorders>
            <w:shd w:val="clear" w:color="auto" w:fill="auto"/>
            <w:vAlign w:val="center"/>
          </w:tcPr>
          <w:p w:rsidR="00871692" w:rsidRPr="00585C13" w:rsidRDefault="00871692" w:rsidP="00FE7B3C">
            <w:pPr>
              <w:jc w:val="right"/>
              <w:rPr>
                <w:rFonts w:ascii="Calibri" w:hAnsi="Calibri" w:cs="Calibri"/>
                <w:color w:val="002B45"/>
                <w:lang w:val="en-US"/>
              </w:rPr>
            </w:pPr>
            <w:r w:rsidRPr="00585C13">
              <w:rPr>
                <w:rFonts w:ascii="Calibri" w:hAnsi="Calibri" w:cs="Calibri"/>
                <w:color w:val="002B45"/>
                <w:lang w:val="en-US"/>
              </w:rPr>
              <w:t>(25.1)</w:t>
            </w:r>
          </w:p>
        </w:tc>
        <w:tc>
          <w:tcPr>
            <w:tcW w:w="709" w:type="dxa"/>
            <w:tcBorders>
              <w:bottom w:val="single" w:sz="8" w:space="0" w:color="A6A6A6" w:themeColor="background1" w:themeShade="A6"/>
            </w:tcBorders>
            <w:shd w:val="clear" w:color="auto" w:fill="auto"/>
            <w:vAlign w:val="center"/>
          </w:tcPr>
          <w:p w:rsidR="00871692" w:rsidRPr="00585C13" w:rsidRDefault="00871692" w:rsidP="00FE7B3C">
            <w:pPr>
              <w:jc w:val="right"/>
              <w:rPr>
                <w:rFonts w:ascii="Calibri" w:hAnsi="Calibri" w:cs="Calibri"/>
                <w:color w:val="002B45"/>
                <w:lang w:val="en-US"/>
              </w:rPr>
            </w:pPr>
            <w:r w:rsidRPr="00585C13">
              <w:rPr>
                <w:rFonts w:ascii="Calibri" w:hAnsi="Calibri" w:cs="Calibri"/>
                <w:color w:val="002B45"/>
                <w:lang w:val="en-US"/>
              </w:rPr>
              <w:t>(25.1)</w:t>
            </w:r>
          </w:p>
        </w:tc>
      </w:tr>
      <w:tr w:rsidR="00871692" w:rsidRPr="00BB7D5E" w:rsidTr="00BA6A1A">
        <w:trPr>
          <w:trHeight w:val="283"/>
        </w:trPr>
        <w:tc>
          <w:tcPr>
            <w:tcW w:w="2977" w:type="dxa"/>
            <w:tcBorders>
              <w:top w:val="single" w:sz="8" w:space="0" w:color="A6A6A6" w:themeColor="background1" w:themeShade="A6"/>
            </w:tcBorders>
            <w:vAlign w:val="center"/>
          </w:tcPr>
          <w:p w:rsidR="00871692" w:rsidRPr="00585C13" w:rsidRDefault="00871692" w:rsidP="00FE7B3C">
            <w:pPr>
              <w:jc w:val="left"/>
              <w:rPr>
                <w:rFonts w:ascii="Calibri" w:hAnsi="Calibri" w:cs="Calibri"/>
                <w:color w:val="002B45"/>
                <w:lang w:val="en-US"/>
              </w:rPr>
            </w:pPr>
            <w:r w:rsidRPr="00585C13">
              <w:rPr>
                <w:rFonts w:ascii="Calibri" w:hAnsi="Calibri" w:cs="Calibri"/>
                <w:color w:val="002B45"/>
                <w:lang w:val="en-US"/>
              </w:rPr>
              <w:t>At 1 January 2013</w:t>
            </w:r>
          </w:p>
        </w:tc>
        <w:tc>
          <w:tcPr>
            <w:tcW w:w="567" w:type="dxa"/>
            <w:tcBorders>
              <w:top w:val="single" w:sz="8" w:space="0" w:color="A6A6A6" w:themeColor="background1" w:themeShade="A6"/>
            </w:tcBorders>
            <w:shd w:val="clear" w:color="auto" w:fill="E6E6E6"/>
            <w:vAlign w:val="center"/>
          </w:tcPr>
          <w:p w:rsidR="00871692" w:rsidRPr="00585C13" w:rsidRDefault="00871692" w:rsidP="00FE7B3C">
            <w:pPr>
              <w:jc w:val="right"/>
              <w:rPr>
                <w:rFonts w:ascii="Calibri" w:hAnsi="Calibri" w:cs="Calibri"/>
                <w:color w:val="002B45"/>
                <w:lang w:val="en-US"/>
              </w:rPr>
            </w:pPr>
            <w:r w:rsidRPr="00585C13">
              <w:rPr>
                <w:rFonts w:ascii="Calibri" w:hAnsi="Calibri" w:cs="Calibri"/>
                <w:color w:val="002B45"/>
                <w:lang w:val="en-US"/>
              </w:rPr>
              <w:t xml:space="preserve"> 146.6 </w:t>
            </w:r>
          </w:p>
        </w:tc>
        <w:tc>
          <w:tcPr>
            <w:tcW w:w="851" w:type="dxa"/>
            <w:tcBorders>
              <w:top w:val="single" w:sz="8" w:space="0" w:color="A6A6A6" w:themeColor="background1" w:themeShade="A6"/>
            </w:tcBorders>
            <w:shd w:val="clear" w:color="auto" w:fill="E6E6E6"/>
            <w:vAlign w:val="center"/>
          </w:tcPr>
          <w:p w:rsidR="00871692" w:rsidRPr="00585C13" w:rsidRDefault="00871692" w:rsidP="00FE7B3C">
            <w:pPr>
              <w:jc w:val="right"/>
              <w:rPr>
                <w:rFonts w:ascii="Calibri" w:hAnsi="Calibri" w:cs="Calibri"/>
                <w:color w:val="002B45"/>
                <w:lang w:val="en-US"/>
              </w:rPr>
            </w:pPr>
            <w:r w:rsidRPr="00585C13">
              <w:rPr>
                <w:rFonts w:ascii="Calibri" w:hAnsi="Calibri" w:cs="Calibri"/>
                <w:color w:val="002B45"/>
                <w:lang w:val="en-US"/>
              </w:rPr>
              <w:t xml:space="preserve"> 584.8 </w:t>
            </w:r>
          </w:p>
        </w:tc>
        <w:tc>
          <w:tcPr>
            <w:tcW w:w="708" w:type="dxa"/>
            <w:tcBorders>
              <w:top w:val="single" w:sz="8" w:space="0" w:color="A6A6A6" w:themeColor="background1" w:themeShade="A6"/>
            </w:tcBorders>
            <w:shd w:val="clear" w:color="auto" w:fill="E6E6E6"/>
            <w:vAlign w:val="center"/>
          </w:tcPr>
          <w:p w:rsidR="00871692" w:rsidRPr="00585C13" w:rsidRDefault="00871692" w:rsidP="00FE7B3C">
            <w:pPr>
              <w:jc w:val="right"/>
              <w:rPr>
                <w:rFonts w:ascii="Calibri" w:hAnsi="Calibri" w:cs="Calibri"/>
                <w:color w:val="002B45"/>
                <w:lang w:val="en-US"/>
              </w:rPr>
            </w:pPr>
            <w:r w:rsidRPr="00585C13">
              <w:rPr>
                <w:rFonts w:ascii="Calibri" w:hAnsi="Calibri" w:cs="Calibri"/>
                <w:color w:val="002B45"/>
                <w:lang w:val="en-US"/>
              </w:rPr>
              <w:t>(167.8)</w:t>
            </w:r>
          </w:p>
        </w:tc>
        <w:tc>
          <w:tcPr>
            <w:tcW w:w="709" w:type="dxa"/>
            <w:tcBorders>
              <w:top w:val="single" w:sz="8" w:space="0" w:color="A6A6A6" w:themeColor="background1" w:themeShade="A6"/>
            </w:tcBorders>
            <w:shd w:val="clear" w:color="auto" w:fill="E6E6E6"/>
            <w:vAlign w:val="center"/>
          </w:tcPr>
          <w:p w:rsidR="00871692" w:rsidRPr="00585C13" w:rsidRDefault="00871692" w:rsidP="00FE7B3C">
            <w:pPr>
              <w:jc w:val="right"/>
              <w:rPr>
                <w:rFonts w:ascii="Calibri" w:hAnsi="Calibri" w:cs="Calibri"/>
                <w:color w:val="002B45"/>
                <w:lang w:val="en-US"/>
              </w:rPr>
            </w:pPr>
            <w:r w:rsidRPr="00585C13">
              <w:rPr>
                <w:rFonts w:ascii="Calibri" w:hAnsi="Calibri" w:cs="Calibri"/>
                <w:color w:val="002B45"/>
                <w:lang w:val="en-US"/>
              </w:rPr>
              <w:t>(6.5)</w:t>
            </w:r>
          </w:p>
        </w:tc>
        <w:tc>
          <w:tcPr>
            <w:tcW w:w="709" w:type="dxa"/>
            <w:tcBorders>
              <w:top w:val="single" w:sz="8" w:space="0" w:color="A6A6A6" w:themeColor="background1" w:themeShade="A6"/>
            </w:tcBorders>
            <w:shd w:val="clear" w:color="auto" w:fill="E6E6E6"/>
            <w:vAlign w:val="center"/>
          </w:tcPr>
          <w:p w:rsidR="00871692" w:rsidRPr="00585C13" w:rsidRDefault="00871692" w:rsidP="00FE7B3C">
            <w:pPr>
              <w:jc w:val="right"/>
              <w:rPr>
                <w:rFonts w:ascii="Calibri" w:hAnsi="Calibri" w:cs="Calibri"/>
                <w:color w:val="002B45"/>
                <w:lang w:val="en-US"/>
              </w:rPr>
            </w:pPr>
            <w:r w:rsidRPr="00585C13">
              <w:rPr>
                <w:rFonts w:ascii="Calibri" w:hAnsi="Calibri" w:cs="Calibri"/>
                <w:color w:val="002B45"/>
                <w:lang w:val="en-US"/>
              </w:rPr>
              <w:t xml:space="preserve"> 740.9 </w:t>
            </w:r>
          </w:p>
        </w:tc>
        <w:tc>
          <w:tcPr>
            <w:tcW w:w="709" w:type="dxa"/>
            <w:tcBorders>
              <w:top w:val="single" w:sz="8" w:space="0" w:color="A6A6A6" w:themeColor="background1" w:themeShade="A6"/>
            </w:tcBorders>
            <w:shd w:val="clear" w:color="auto" w:fill="E6E6E6"/>
            <w:vAlign w:val="center"/>
          </w:tcPr>
          <w:p w:rsidR="00871692" w:rsidRPr="00585C13" w:rsidRDefault="00871692" w:rsidP="00FE7B3C">
            <w:pPr>
              <w:jc w:val="right"/>
              <w:rPr>
                <w:rFonts w:ascii="Calibri" w:hAnsi="Calibri" w:cs="Calibri"/>
                <w:color w:val="002B45"/>
                <w:lang w:val="en-US"/>
              </w:rPr>
            </w:pPr>
            <w:r w:rsidRPr="00585C13">
              <w:rPr>
                <w:rFonts w:ascii="Calibri" w:hAnsi="Calibri" w:cs="Calibri"/>
                <w:color w:val="002B45"/>
                <w:lang w:val="en-US"/>
              </w:rPr>
              <w:t xml:space="preserve"> 3,931.2 </w:t>
            </w:r>
          </w:p>
        </w:tc>
        <w:tc>
          <w:tcPr>
            <w:tcW w:w="708" w:type="dxa"/>
            <w:tcBorders>
              <w:top w:val="single" w:sz="8" w:space="0" w:color="A6A6A6" w:themeColor="background1" w:themeShade="A6"/>
            </w:tcBorders>
            <w:shd w:val="clear" w:color="auto" w:fill="E6E6E6"/>
            <w:vAlign w:val="center"/>
          </w:tcPr>
          <w:p w:rsidR="00871692" w:rsidRPr="00585C13" w:rsidRDefault="00871692" w:rsidP="00FE7B3C">
            <w:pPr>
              <w:jc w:val="right"/>
              <w:rPr>
                <w:rFonts w:ascii="Calibri" w:hAnsi="Calibri" w:cs="Calibri"/>
                <w:color w:val="002B45"/>
                <w:lang w:val="en-US"/>
              </w:rPr>
            </w:pPr>
            <w:r w:rsidRPr="00585C13">
              <w:rPr>
                <w:rFonts w:ascii="Calibri" w:hAnsi="Calibri" w:cs="Calibri"/>
                <w:color w:val="002B45"/>
                <w:lang w:val="en-US"/>
              </w:rPr>
              <w:t xml:space="preserve"> 5,229.2 </w:t>
            </w:r>
          </w:p>
        </w:tc>
        <w:tc>
          <w:tcPr>
            <w:tcW w:w="851" w:type="dxa"/>
            <w:tcBorders>
              <w:top w:val="single" w:sz="8" w:space="0" w:color="A6A6A6" w:themeColor="background1" w:themeShade="A6"/>
            </w:tcBorders>
            <w:shd w:val="clear" w:color="auto" w:fill="E6E6E6"/>
            <w:vAlign w:val="center"/>
          </w:tcPr>
          <w:p w:rsidR="00871692" w:rsidRPr="00585C13" w:rsidRDefault="00871692" w:rsidP="00FE7B3C">
            <w:pPr>
              <w:jc w:val="right"/>
              <w:rPr>
                <w:rFonts w:ascii="Calibri" w:hAnsi="Calibri" w:cs="Calibri"/>
                <w:color w:val="002B45"/>
                <w:lang w:val="en-US"/>
              </w:rPr>
            </w:pPr>
            <w:r w:rsidRPr="00585C13">
              <w:rPr>
                <w:rFonts w:ascii="Calibri" w:hAnsi="Calibri" w:cs="Calibri"/>
                <w:color w:val="002B45"/>
                <w:lang w:val="en-US"/>
              </w:rPr>
              <w:t xml:space="preserve"> 92.4 </w:t>
            </w:r>
          </w:p>
        </w:tc>
        <w:tc>
          <w:tcPr>
            <w:tcW w:w="709" w:type="dxa"/>
            <w:tcBorders>
              <w:top w:val="single" w:sz="8" w:space="0" w:color="A6A6A6" w:themeColor="background1" w:themeShade="A6"/>
            </w:tcBorders>
            <w:shd w:val="clear" w:color="auto" w:fill="E6E6E6"/>
            <w:vAlign w:val="center"/>
          </w:tcPr>
          <w:p w:rsidR="00871692" w:rsidRPr="00585C13" w:rsidRDefault="00871692" w:rsidP="00FE7B3C">
            <w:pPr>
              <w:jc w:val="right"/>
              <w:rPr>
                <w:rFonts w:ascii="Calibri" w:hAnsi="Calibri" w:cs="Calibri"/>
                <w:color w:val="002B45"/>
                <w:lang w:val="en-US"/>
              </w:rPr>
            </w:pPr>
            <w:r w:rsidRPr="00585C13">
              <w:rPr>
                <w:rFonts w:ascii="Calibri" w:hAnsi="Calibri" w:cs="Calibri"/>
                <w:color w:val="002B45"/>
                <w:lang w:val="en-US"/>
              </w:rPr>
              <w:t xml:space="preserve"> 5,321.6 </w:t>
            </w:r>
          </w:p>
        </w:tc>
      </w:tr>
      <w:tr w:rsidR="00871692" w:rsidRPr="00BB7D5E" w:rsidTr="00BA6A1A">
        <w:trPr>
          <w:trHeight w:val="283"/>
        </w:trPr>
        <w:tc>
          <w:tcPr>
            <w:tcW w:w="2977" w:type="dxa"/>
            <w:vAlign w:val="center"/>
          </w:tcPr>
          <w:p w:rsidR="00871692" w:rsidRPr="00585C13" w:rsidRDefault="00871692" w:rsidP="00FE7B3C">
            <w:pPr>
              <w:jc w:val="left"/>
              <w:rPr>
                <w:rFonts w:ascii="Calibri" w:hAnsi="Calibri" w:cs="Calibri"/>
                <w:color w:val="002B45"/>
                <w:lang w:val="en-US"/>
              </w:rPr>
            </w:pPr>
            <w:r w:rsidRPr="00585C13">
              <w:rPr>
                <w:rFonts w:ascii="Calibri" w:hAnsi="Calibri" w:cs="Calibri"/>
                <w:color w:val="002B45"/>
                <w:lang w:val="en-US"/>
              </w:rPr>
              <w:t>Profit for the year</w:t>
            </w:r>
          </w:p>
        </w:tc>
        <w:tc>
          <w:tcPr>
            <w:tcW w:w="567" w:type="dxa"/>
            <w:shd w:val="clear" w:color="auto" w:fill="E6E6E6"/>
            <w:vAlign w:val="center"/>
          </w:tcPr>
          <w:p w:rsidR="00871692" w:rsidRPr="00585C13" w:rsidRDefault="00871692" w:rsidP="00FE7B3C">
            <w:pPr>
              <w:jc w:val="right"/>
              <w:rPr>
                <w:rFonts w:ascii="Calibri" w:hAnsi="Calibri" w:cs="Calibri"/>
                <w:color w:val="002B45"/>
                <w:lang w:val="en-US"/>
              </w:rPr>
            </w:pPr>
            <w:r w:rsidRPr="00585C13">
              <w:rPr>
                <w:rFonts w:ascii="Calibri" w:hAnsi="Calibri" w:cs="Calibri"/>
                <w:color w:val="002B45"/>
                <w:lang w:val="en-US"/>
              </w:rPr>
              <w:t xml:space="preserve"> –  </w:t>
            </w:r>
          </w:p>
        </w:tc>
        <w:tc>
          <w:tcPr>
            <w:tcW w:w="851" w:type="dxa"/>
            <w:shd w:val="clear" w:color="auto" w:fill="E6E6E6"/>
            <w:vAlign w:val="center"/>
          </w:tcPr>
          <w:p w:rsidR="00871692" w:rsidRPr="00585C13" w:rsidRDefault="00871692" w:rsidP="00FE7B3C">
            <w:pPr>
              <w:jc w:val="right"/>
              <w:rPr>
                <w:rFonts w:ascii="Calibri" w:hAnsi="Calibri" w:cs="Calibri"/>
                <w:color w:val="002B45"/>
                <w:lang w:val="en-US"/>
              </w:rPr>
            </w:pPr>
            <w:r w:rsidRPr="00585C13">
              <w:rPr>
                <w:rFonts w:ascii="Calibri" w:hAnsi="Calibri" w:cs="Calibri"/>
                <w:color w:val="002B45"/>
                <w:lang w:val="en-US"/>
              </w:rPr>
              <w:t xml:space="preserve"> –  </w:t>
            </w:r>
          </w:p>
        </w:tc>
        <w:tc>
          <w:tcPr>
            <w:tcW w:w="708" w:type="dxa"/>
            <w:shd w:val="clear" w:color="auto" w:fill="E6E6E6"/>
            <w:vAlign w:val="center"/>
          </w:tcPr>
          <w:p w:rsidR="00871692" w:rsidRPr="00585C13" w:rsidRDefault="00871692" w:rsidP="00FE7B3C">
            <w:pPr>
              <w:jc w:val="right"/>
              <w:rPr>
                <w:rFonts w:ascii="Calibri" w:hAnsi="Calibri" w:cs="Calibri"/>
                <w:color w:val="002B45"/>
                <w:lang w:val="en-US"/>
              </w:rPr>
            </w:pPr>
            <w:r w:rsidRPr="00585C13">
              <w:rPr>
                <w:rFonts w:ascii="Calibri" w:hAnsi="Calibri" w:cs="Calibri"/>
                <w:color w:val="002B45"/>
                <w:lang w:val="en-US"/>
              </w:rPr>
              <w:t xml:space="preserve"> –  </w:t>
            </w:r>
          </w:p>
        </w:tc>
        <w:tc>
          <w:tcPr>
            <w:tcW w:w="709" w:type="dxa"/>
            <w:shd w:val="clear" w:color="auto" w:fill="E6E6E6"/>
            <w:vAlign w:val="center"/>
          </w:tcPr>
          <w:p w:rsidR="00871692" w:rsidRPr="00585C13" w:rsidRDefault="00871692" w:rsidP="00FE7B3C">
            <w:pPr>
              <w:jc w:val="right"/>
              <w:rPr>
                <w:rFonts w:ascii="Calibri" w:hAnsi="Calibri" w:cs="Calibri"/>
                <w:color w:val="002B45"/>
                <w:lang w:val="en-US"/>
              </w:rPr>
            </w:pPr>
            <w:r w:rsidRPr="00585C13">
              <w:rPr>
                <w:rFonts w:ascii="Calibri" w:hAnsi="Calibri" w:cs="Calibri"/>
                <w:color w:val="002B45"/>
                <w:lang w:val="en-US"/>
              </w:rPr>
              <w:t xml:space="preserve"> –  </w:t>
            </w:r>
          </w:p>
        </w:tc>
        <w:tc>
          <w:tcPr>
            <w:tcW w:w="709" w:type="dxa"/>
            <w:shd w:val="clear" w:color="auto" w:fill="E6E6E6"/>
            <w:vAlign w:val="center"/>
          </w:tcPr>
          <w:p w:rsidR="00871692" w:rsidRPr="00585C13" w:rsidRDefault="00871692" w:rsidP="00FE7B3C">
            <w:pPr>
              <w:jc w:val="right"/>
              <w:rPr>
                <w:rFonts w:ascii="Calibri" w:hAnsi="Calibri" w:cs="Calibri"/>
                <w:color w:val="002B45"/>
                <w:lang w:val="en-US"/>
              </w:rPr>
            </w:pPr>
            <w:r w:rsidRPr="00585C13">
              <w:rPr>
                <w:rFonts w:ascii="Calibri" w:hAnsi="Calibri" w:cs="Calibri"/>
                <w:color w:val="002B45"/>
                <w:lang w:val="en-US"/>
              </w:rPr>
              <w:t xml:space="preserve"> –  </w:t>
            </w:r>
          </w:p>
        </w:tc>
        <w:tc>
          <w:tcPr>
            <w:tcW w:w="709" w:type="dxa"/>
            <w:shd w:val="clear" w:color="auto" w:fill="E6E6E6"/>
            <w:vAlign w:val="center"/>
          </w:tcPr>
          <w:p w:rsidR="00871692" w:rsidRPr="00585C13" w:rsidRDefault="00871692" w:rsidP="00FE7B3C">
            <w:pPr>
              <w:jc w:val="right"/>
              <w:rPr>
                <w:rFonts w:ascii="Calibri" w:hAnsi="Calibri" w:cs="Calibri"/>
                <w:color w:val="002B45"/>
                <w:lang w:val="en-US"/>
              </w:rPr>
            </w:pPr>
            <w:r w:rsidRPr="00585C13">
              <w:rPr>
                <w:rFonts w:ascii="Calibri" w:hAnsi="Calibri" w:cs="Calibri"/>
                <w:color w:val="002B45"/>
                <w:lang w:val="en-US"/>
              </w:rPr>
              <w:t xml:space="preserve"> 169.0 </w:t>
            </w:r>
          </w:p>
        </w:tc>
        <w:tc>
          <w:tcPr>
            <w:tcW w:w="708" w:type="dxa"/>
            <w:shd w:val="clear" w:color="auto" w:fill="E6E6E6"/>
            <w:vAlign w:val="center"/>
          </w:tcPr>
          <w:p w:rsidR="00871692" w:rsidRPr="00585C13" w:rsidRDefault="00871692" w:rsidP="00FE7B3C">
            <w:pPr>
              <w:jc w:val="right"/>
              <w:rPr>
                <w:rFonts w:ascii="Calibri" w:hAnsi="Calibri" w:cs="Calibri"/>
                <w:color w:val="002B45"/>
                <w:lang w:val="en-US"/>
              </w:rPr>
            </w:pPr>
            <w:r w:rsidRPr="00585C13">
              <w:rPr>
                <w:rFonts w:ascii="Calibri" w:hAnsi="Calibri" w:cs="Calibri"/>
                <w:color w:val="002B45"/>
                <w:lang w:val="en-US"/>
              </w:rPr>
              <w:t xml:space="preserve"> 169.0 </w:t>
            </w:r>
          </w:p>
        </w:tc>
        <w:tc>
          <w:tcPr>
            <w:tcW w:w="851" w:type="dxa"/>
            <w:shd w:val="clear" w:color="auto" w:fill="E6E6E6"/>
            <w:vAlign w:val="center"/>
          </w:tcPr>
          <w:p w:rsidR="00871692" w:rsidRPr="00585C13" w:rsidRDefault="00871692" w:rsidP="00FE7B3C">
            <w:pPr>
              <w:jc w:val="right"/>
              <w:rPr>
                <w:rFonts w:ascii="Calibri" w:hAnsi="Calibri" w:cs="Calibri"/>
                <w:color w:val="002B45"/>
                <w:lang w:val="en-US"/>
              </w:rPr>
            </w:pPr>
            <w:r w:rsidRPr="00585C13">
              <w:rPr>
                <w:rFonts w:ascii="Calibri" w:hAnsi="Calibri" w:cs="Calibri"/>
                <w:color w:val="002B45"/>
                <w:lang w:val="en-US"/>
              </w:rPr>
              <w:t xml:space="preserve"> 47.1 </w:t>
            </w:r>
          </w:p>
        </w:tc>
        <w:tc>
          <w:tcPr>
            <w:tcW w:w="709" w:type="dxa"/>
            <w:shd w:val="clear" w:color="auto" w:fill="E6E6E6"/>
            <w:vAlign w:val="center"/>
          </w:tcPr>
          <w:p w:rsidR="00871692" w:rsidRPr="00585C13" w:rsidRDefault="00871692" w:rsidP="00FE7B3C">
            <w:pPr>
              <w:jc w:val="right"/>
              <w:rPr>
                <w:rFonts w:ascii="Calibri" w:hAnsi="Calibri" w:cs="Calibri"/>
                <w:color w:val="002B45"/>
                <w:lang w:val="en-US"/>
              </w:rPr>
            </w:pPr>
            <w:r w:rsidRPr="00585C13">
              <w:rPr>
                <w:rFonts w:ascii="Calibri" w:hAnsi="Calibri" w:cs="Calibri"/>
                <w:color w:val="002B45"/>
                <w:lang w:val="en-US"/>
              </w:rPr>
              <w:t xml:space="preserve"> 216.1 </w:t>
            </w:r>
          </w:p>
        </w:tc>
      </w:tr>
      <w:tr w:rsidR="00871692" w:rsidRPr="00BB7D5E" w:rsidTr="00BA6A1A">
        <w:trPr>
          <w:trHeight w:val="283"/>
        </w:trPr>
        <w:tc>
          <w:tcPr>
            <w:tcW w:w="2977" w:type="dxa"/>
            <w:vAlign w:val="center"/>
          </w:tcPr>
          <w:p w:rsidR="00871692" w:rsidRPr="00585C13" w:rsidRDefault="00871692" w:rsidP="00FE7B3C">
            <w:pPr>
              <w:jc w:val="left"/>
              <w:rPr>
                <w:rFonts w:ascii="Calibri" w:hAnsi="Calibri" w:cs="Calibri"/>
                <w:color w:val="002B45"/>
                <w:lang w:val="en-US"/>
              </w:rPr>
            </w:pPr>
            <w:r w:rsidRPr="00585C13">
              <w:rPr>
                <w:rFonts w:ascii="Calibri" w:hAnsi="Calibri" w:cs="Calibri"/>
                <w:color w:val="002B45"/>
                <w:lang w:val="en-US"/>
              </w:rPr>
              <w:t>Hedges, net of tax</w:t>
            </w:r>
          </w:p>
        </w:tc>
        <w:tc>
          <w:tcPr>
            <w:tcW w:w="567" w:type="dxa"/>
            <w:shd w:val="clear" w:color="auto" w:fill="E6E6E6"/>
            <w:vAlign w:val="center"/>
          </w:tcPr>
          <w:p w:rsidR="00871692" w:rsidRPr="00585C13" w:rsidRDefault="00871692" w:rsidP="00FE7B3C">
            <w:pPr>
              <w:jc w:val="right"/>
              <w:rPr>
                <w:rFonts w:ascii="Calibri" w:hAnsi="Calibri" w:cs="Calibri"/>
                <w:color w:val="002B45"/>
                <w:lang w:val="en-US"/>
              </w:rPr>
            </w:pPr>
            <w:r w:rsidRPr="00585C13">
              <w:rPr>
                <w:rFonts w:ascii="Calibri" w:hAnsi="Calibri" w:cs="Calibri"/>
                <w:color w:val="002B45"/>
                <w:lang w:val="en-US"/>
              </w:rPr>
              <w:t xml:space="preserve"> –  </w:t>
            </w:r>
          </w:p>
        </w:tc>
        <w:tc>
          <w:tcPr>
            <w:tcW w:w="851" w:type="dxa"/>
            <w:shd w:val="clear" w:color="auto" w:fill="E6E6E6"/>
            <w:vAlign w:val="center"/>
          </w:tcPr>
          <w:p w:rsidR="00871692" w:rsidRPr="00585C13" w:rsidRDefault="00871692" w:rsidP="00FE7B3C">
            <w:pPr>
              <w:jc w:val="right"/>
              <w:rPr>
                <w:rFonts w:ascii="Calibri" w:hAnsi="Calibri" w:cs="Calibri"/>
                <w:color w:val="002B45"/>
                <w:lang w:val="en-US"/>
              </w:rPr>
            </w:pPr>
            <w:r w:rsidRPr="00585C13">
              <w:rPr>
                <w:rFonts w:ascii="Calibri" w:hAnsi="Calibri" w:cs="Calibri"/>
                <w:color w:val="002B45"/>
                <w:lang w:val="en-US"/>
              </w:rPr>
              <w:t xml:space="preserve"> –  </w:t>
            </w:r>
          </w:p>
        </w:tc>
        <w:tc>
          <w:tcPr>
            <w:tcW w:w="708" w:type="dxa"/>
            <w:shd w:val="clear" w:color="auto" w:fill="E6E6E6"/>
            <w:vAlign w:val="center"/>
          </w:tcPr>
          <w:p w:rsidR="00871692" w:rsidRPr="00585C13" w:rsidRDefault="00871692" w:rsidP="00FE7B3C">
            <w:pPr>
              <w:jc w:val="right"/>
              <w:rPr>
                <w:rFonts w:ascii="Calibri" w:hAnsi="Calibri" w:cs="Calibri"/>
                <w:color w:val="002B45"/>
                <w:lang w:val="en-US"/>
              </w:rPr>
            </w:pPr>
            <w:r w:rsidRPr="00585C13">
              <w:rPr>
                <w:rFonts w:ascii="Calibri" w:hAnsi="Calibri" w:cs="Calibri"/>
                <w:color w:val="002B45"/>
                <w:lang w:val="en-US"/>
              </w:rPr>
              <w:t xml:space="preserve"> –  </w:t>
            </w:r>
          </w:p>
        </w:tc>
        <w:tc>
          <w:tcPr>
            <w:tcW w:w="709" w:type="dxa"/>
            <w:shd w:val="clear" w:color="auto" w:fill="E6E6E6"/>
            <w:vAlign w:val="center"/>
          </w:tcPr>
          <w:p w:rsidR="00871692" w:rsidRPr="00585C13" w:rsidRDefault="00871692" w:rsidP="00FE7B3C">
            <w:pPr>
              <w:jc w:val="right"/>
              <w:rPr>
                <w:rFonts w:ascii="Calibri" w:hAnsi="Calibri" w:cs="Calibri"/>
                <w:color w:val="002B45"/>
                <w:lang w:val="en-US"/>
              </w:rPr>
            </w:pPr>
            <w:r w:rsidRPr="00585C13">
              <w:rPr>
                <w:rFonts w:ascii="Calibri" w:hAnsi="Calibri" w:cs="Calibri"/>
                <w:color w:val="002B45"/>
                <w:lang w:val="en-US"/>
              </w:rPr>
              <w:t xml:space="preserve"> 8.8 </w:t>
            </w:r>
          </w:p>
        </w:tc>
        <w:tc>
          <w:tcPr>
            <w:tcW w:w="709" w:type="dxa"/>
            <w:shd w:val="clear" w:color="auto" w:fill="E6E6E6"/>
            <w:vAlign w:val="center"/>
          </w:tcPr>
          <w:p w:rsidR="00871692" w:rsidRPr="00585C13" w:rsidRDefault="00871692" w:rsidP="00FE7B3C">
            <w:pPr>
              <w:jc w:val="right"/>
              <w:rPr>
                <w:rFonts w:ascii="Calibri" w:hAnsi="Calibri" w:cs="Calibri"/>
                <w:color w:val="002B45"/>
                <w:lang w:val="en-US"/>
              </w:rPr>
            </w:pPr>
            <w:r w:rsidRPr="00585C13">
              <w:rPr>
                <w:rFonts w:ascii="Calibri" w:hAnsi="Calibri" w:cs="Calibri"/>
                <w:color w:val="002B45"/>
                <w:lang w:val="en-US"/>
              </w:rPr>
              <w:t xml:space="preserve"> –  </w:t>
            </w:r>
          </w:p>
        </w:tc>
        <w:tc>
          <w:tcPr>
            <w:tcW w:w="709" w:type="dxa"/>
            <w:shd w:val="clear" w:color="auto" w:fill="E6E6E6"/>
            <w:vAlign w:val="center"/>
          </w:tcPr>
          <w:p w:rsidR="00871692" w:rsidRPr="00585C13" w:rsidRDefault="00871692" w:rsidP="00FE7B3C">
            <w:pPr>
              <w:jc w:val="right"/>
              <w:rPr>
                <w:rFonts w:ascii="Calibri" w:hAnsi="Calibri" w:cs="Calibri"/>
                <w:color w:val="002B45"/>
                <w:lang w:val="en-US"/>
              </w:rPr>
            </w:pPr>
            <w:r w:rsidRPr="00585C13">
              <w:rPr>
                <w:rFonts w:ascii="Calibri" w:hAnsi="Calibri" w:cs="Calibri"/>
                <w:color w:val="002B45"/>
                <w:lang w:val="en-US"/>
              </w:rPr>
              <w:t xml:space="preserve"> –  </w:t>
            </w:r>
          </w:p>
        </w:tc>
        <w:tc>
          <w:tcPr>
            <w:tcW w:w="708" w:type="dxa"/>
            <w:shd w:val="clear" w:color="auto" w:fill="E6E6E6"/>
            <w:vAlign w:val="center"/>
          </w:tcPr>
          <w:p w:rsidR="00871692" w:rsidRPr="00585C13" w:rsidRDefault="00871692" w:rsidP="00FE7B3C">
            <w:pPr>
              <w:jc w:val="right"/>
              <w:rPr>
                <w:rFonts w:ascii="Calibri" w:hAnsi="Calibri" w:cs="Calibri"/>
                <w:color w:val="002B45"/>
                <w:lang w:val="en-US"/>
              </w:rPr>
            </w:pPr>
            <w:r w:rsidRPr="00585C13">
              <w:rPr>
                <w:rFonts w:ascii="Calibri" w:hAnsi="Calibri" w:cs="Calibri"/>
                <w:color w:val="002B45"/>
                <w:lang w:val="en-US"/>
              </w:rPr>
              <w:t xml:space="preserve"> 8.8 </w:t>
            </w:r>
          </w:p>
        </w:tc>
        <w:tc>
          <w:tcPr>
            <w:tcW w:w="851" w:type="dxa"/>
            <w:shd w:val="clear" w:color="auto" w:fill="E6E6E6"/>
            <w:vAlign w:val="center"/>
          </w:tcPr>
          <w:p w:rsidR="00871692" w:rsidRPr="00585C13" w:rsidRDefault="00871692" w:rsidP="00FE7B3C">
            <w:pPr>
              <w:jc w:val="right"/>
              <w:rPr>
                <w:rFonts w:ascii="Calibri" w:hAnsi="Calibri" w:cs="Calibri"/>
                <w:color w:val="002B45"/>
                <w:lang w:val="en-US"/>
              </w:rPr>
            </w:pPr>
            <w:r w:rsidRPr="00585C13">
              <w:rPr>
                <w:rFonts w:ascii="Calibri" w:hAnsi="Calibri" w:cs="Calibri"/>
                <w:color w:val="002B45"/>
                <w:lang w:val="en-US"/>
              </w:rPr>
              <w:t xml:space="preserve"> –  </w:t>
            </w:r>
          </w:p>
        </w:tc>
        <w:tc>
          <w:tcPr>
            <w:tcW w:w="709" w:type="dxa"/>
            <w:shd w:val="clear" w:color="auto" w:fill="E6E6E6"/>
            <w:vAlign w:val="center"/>
          </w:tcPr>
          <w:p w:rsidR="00871692" w:rsidRPr="00585C13" w:rsidRDefault="00871692" w:rsidP="00FE7B3C">
            <w:pPr>
              <w:jc w:val="right"/>
              <w:rPr>
                <w:rFonts w:ascii="Calibri" w:hAnsi="Calibri" w:cs="Calibri"/>
                <w:color w:val="002B45"/>
                <w:lang w:val="en-US"/>
              </w:rPr>
            </w:pPr>
            <w:r w:rsidRPr="00585C13">
              <w:rPr>
                <w:rFonts w:ascii="Calibri" w:hAnsi="Calibri" w:cs="Calibri"/>
                <w:color w:val="002B45"/>
                <w:lang w:val="en-US"/>
              </w:rPr>
              <w:t xml:space="preserve"> 8.8 </w:t>
            </w:r>
          </w:p>
        </w:tc>
      </w:tr>
      <w:tr w:rsidR="00871692" w:rsidTr="00BA6A1A">
        <w:trPr>
          <w:trHeight w:val="283"/>
        </w:trPr>
        <w:tc>
          <w:tcPr>
            <w:tcW w:w="2977" w:type="dxa"/>
            <w:vAlign w:val="center"/>
          </w:tcPr>
          <w:p w:rsidR="00871692" w:rsidRPr="00585C13" w:rsidRDefault="00871692" w:rsidP="00FE7B3C">
            <w:pPr>
              <w:jc w:val="left"/>
              <w:rPr>
                <w:rFonts w:ascii="Calibri" w:hAnsi="Calibri" w:cs="Calibri"/>
                <w:color w:val="002B45"/>
                <w:lang w:val="en-US"/>
              </w:rPr>
            </w:pPr>
            <w:r>
              <w:rPr>
                <w:rFonts w:ascii="Calibri" w:hAnsi="Calibri" w:cs="Calibri"/>
                <w:color w:val="002B45"/>
                <w:lang w:val="en-US"/>
              </w:rPr>
              <w:t xml:space="preserve">Currency </w:t>
            </w:r>
            <w:r w:rsidRPr="00585C13">
              <w:rPr>
                <w:rFonts w:ascii="Calibri" w:hAnsi="Calibri" w:cs="Calibri"/>
                <w:color w:val="002B45"/>
                <w:lang w:val="en-US"/>
              </w:rPr>
              <w:t>translation adjustments</w:t>
            </w:r>
          </w:p>
        </w:tc>
        <w:tc>
          <w:tcPr>
            <w:tcW w:w="567" w:type="dxa"/>
            <w:shd w:val="clear" w:color="auto" w:fill="E6E6E6"/>
            <w:vAlign w:val="center"/>
          </w:tcPr>
          <w:p w:rsidR="00871692" w:rsidRPr="00585C13" w:rsidRDefault="00871692" w:rsidP="00FE7B3C">
            <w:pPr>
              <w:jc w:val="right"/>
              <w:rPr>
                <w:rFonts w:ascii="Calibri" w:hAnsi="Calibri" w:cs="Calibri"/>
                <w:color w:val="002B45"/>
                <w:lang w:val="en-US"/>
              </w:rPr>
            </w:pPr>
            <w:r w:rsidRPr="00585C13">
              <w:rPr>
                <w:rFonts w:ascii="Calibri" w:hAnsi="Calibri" w:cs="Calibri"/>
                <w:color w:val="002B45"/>
                <w:lang w:val="en-US"/>
              </w:rPr>
              <w:t xml:space="preserve"> –  </w:t>
            </w:r>
          </w:p>
        </w:tc>
        <w:tc>
          <w:tcPr>
            <w:tcW w:w="851" w:type="dxa"/>
            <w:shd w:val="clear" w:color="auto" w:fill="E6E6E6"/>
            <w:vAlign w:val="center"/>
          </w:tcPr>
          <w:p w:rsidR="00871692" w:rsidRPr="00585C13" w:rsidRDefault="00871692" w:rsidP="00FE7B3C">
            <w:pPr>
              <w:jc w:val="right"/>
              <w:rPr>
                <w:rFonts w:ascii="Calibri" w:hAnsi="Calibri" w:cs="Calibri"/>
                <w:color w:val="002B45"/>
                <w:lang w:val="en-US"/>
              </w:rPr>
            </w:pPr>
            <w:r w:rsidRPr="00585C13">
              <w:rPr>
                <w:rFonts w:ascii="Calibri" w:hAnsi="Calibri" w:cs="Calibri"/>
                <w:color w:val="002B45"/>
                <w:lang w:val="en-US"/>
              </w:rPr>
              <w:t xml:space="preserve"> –  </w:t>
            </w:r>
          </w:p>
        </w:tc>
        <w:tc>
          <w:tcPr>
            <w:tcW w:w="708" w:type="dxa"/>
            <w:shd w:val="clear" w:color="auto" w:fill="E6E6E6"/>
            <w:vAlign w:val="center"/>
          </w:tcPr>
          <w:p w:rsidR="00871692" w:rsidRPr="00585C13" w:rsidRDefault="00871692" w:rsidP="00FE7B3C">
            <w:pPr>
              <w:jc w:val="right"/>
              <w:rPr>
                <w:rFonts w:ascii="Calibri" w:hAnsi="Calibri" w:cs="Calibri"/>
                <w:color w:val="002B45"/>
                <w:lang w:val="en-US"/>
              </w:rPr>
            </w:pPr>
            <w:r w:rsidRPr="00585C13">
              <w:rPr>
                <w:rFonts w:ascii="Calibri" w:hAnsi="Calibri" w:cs="Calibri"/>
                <w:color w:val="002B45"/>
                <w:lang w:val="en-US"/>
              </w:rPr>
              <w:t xml:space="preserve"> </w:t>
            </w:r>
            <w:r w:rsidR="00EB5D64">
              <w:rPr>
                <w:rFonts w:ascii="Calibri" w:hAnsi="Calibri" w:cs="Calibri"/>
                <w:color w:val="002B45"/>
                <w:lang w:val="en-US"/>
              </w:rPr>
              <w:t>12</w:t>
            </w:r>
            <w:r w:rsidRPr="00585C13">
              <w:rPr>
                <w:rFonts w:ascii="Calibri" w:hAnsi="Calibri" w:cs="Calibri"/>
                <w:color w:val="002B45"/>
                <w:lang w:val="en-US"/>
              </w:rPr>
              <w:t xml:space="preserve">.7 </w:t>
            </w:r>
          </w:p>
        </w:tc>
        <w:tc>
          <w:tcPr>
            <w:tcW w:w="709" w:type="dxa"/>
            <w:shd w:val="clear" w:color="auto" w:fill="E6E6E6"/>
            <w:vAlign w:val="center"/>
          </w:tcPr>
          <w:p w:rsidR="00871692" w:rsidRPr="00585C13" w:rsidRDefault="00871692" w:rsidP="00FE7B3C">
            <w:pPr>
              <w:jc w:val="right"/>
              <w:rPr>
                <w:rFonts w:ascii="Calibri" w:hAnsi="Calibri" w:cs="Calibri"/>
                <w:color w:val="002B45"/>
                <w:lang w:val="en-US"/>
              </w:rPr>
            </w:pPr>
            <w:r w:rsidRPr="00585C13">
              <w:rPr>
                <w:rFonts w:ascii="Calibri" w:hAnsi="Calibri" w:cs="Calibri"/>
                <w:color w:val="002B45"/>
                <w:lang w:val="en-US"/>
              </w:rPr>
              <w:t xml:space="preserve"> –  </w:t>
            </w:r>
          </w:p>
        </w:tc>
        <w:tc>
          <w:tcPr>
            <w:tcW w:w="709" w:type="dxa"/>
            <w:shd w:val="clear" w:color="auto" w:fill="E6E6E6"/>
            <w:vAlign w:val="center"/>
          </w:tcPr>
          <w:p w:rsidR="00871692" w:rsidRPr="00585C13" w:rsidRDefault="00871692" w:rsidP="00FE7B3C">
            <w:pPr>
              <w:jc w:val="right"/>
              <w:rPr>
                <w:rFonts w:ascii="Calibri" w:hAnsi="Calibri" w:cs="Calibri"/>
                <w:color w:val="002B45"/>
                <w:lang w:val="en-US"/>
              </w:rPr>
            </w:pPr>
            <w:r w:rsidRPr="00585C13">
              <w:rPr>
                <w:rFonts w:ascii="Calibri" w:hAnsi="Calibri" w:cs="Calibri"/>
                <w:color w:val="002B45"/>
                <w:lang w:val="en-US"/>
              </w:rPr>
              <w:t xml:space="preserve"> –  </w:t>
            </w:r>
          </w:p>
        </w:tc>
        <w:tc>
          <w:tcPr>
            <w:tcW w:w="709" w:type="dxa"/>
            <w:shd w:val="clear" w:color="auto" w:fill="E6E6E6"/>
            <w:vAlign w:val="center"/>
          </w:tcPr>
          <w:p w:rsidR="00871692" w:rsidRPr="00585C13" w:rsidRDefault="00871692" w:rsidP="00FE7B3C">
            <w:pPr>
              <w:jc w:val="right"/>
              <w:rPr>
                <w:rFonts w:ascii="Calibri" w:hAnsi="Calibri" w:cs="Calibri"/>
                <w:color w:val="002B45"/>
                <w:lang w:val="en-US"/>
              </w:rPr>
            </w:pPr>
            <w:r w:rsidRPr="00585C13">
              <w:rPr>
                <w:rFonts w:ascii="Calibri" w:hAnsi="Calibri" w:cs="Calibri"/>
                <w:color w:val="002B45"/>
                <w:lang w:val="en-US"/>
              </w:rPr>
              <w:t xml:space="preserve"> –  </w:t>
            </w:r>
          </w:p>
        </w:tc>
        <w:tc>
          <w:tcPr>
            <w:tcW w:w="708" w:type="dxa"/>
            <w:shd w:val="clear" w:color="auto" w:fill="E6E6E6"/>
            <w:vAlign w:val="center"/>
          </w:tcPr>
          <w:p w:rsidR="00871692" w:rsidRPr="00585C13" w:rsidRDefault="00871692" w:rsidP="001F3658">
            <w:pPr>
              <w:jc w:val="right"/>
              <w:rPr>
                <w:rFonts w:ascii="Calibri" w:hAnsi="Calibri" w:cs="Calibri"/>
                <w:color w:val="002B45"/>
                <w:lang w:val="en-US"/>
              </w:rPr>
            </w:pPr>
            <w:r w:rsidRPr="00585C13">
              <w:rPr>
                <w:rFonts w:ascii="Calibri" w:hAnsi="Calibri" w:cs="Calibri"/>
                <w:color w:val="002B45"/>
                <w:lang w:val="en-US"/>
              </w:rPr>
              <w:t xml:space="preserve"> </w:t>
            </w:r>
            <w:r w:rsidR="001F3658">
              <w:rPr>
                <w:rFonts w:ascii="Calibri" w:hAnsi="Calibri" w:cs="Calibri"/>
                <w:color w:val="002B45"/>
                <w:lang w:val="en-US"/>
              </w:rPr>
              <w:t>12</w:t>
            </w:r>
            <w:r w:rsidRPr="00585C13">
              <w:rPr>
                <w:rFonts w:ascii="Calibri" w:hAnsi="Calibri" w:cs="Calibri"/>
                <w:color w:val="002B45"/>
                <w:lang w:val="en-US"/>
              </w:rPr>
              <w:t xml:space="preserve">.7 </w:t>
            </w:r>
          </w:p>
        </w:tc>
        <w:tc>
          <w:tcPr>
            <w:tcW w:w="851" w:type="dxa"/>
            <w:shd w:val="clear" w:color="auto" w:fill="E6E6E6"/>
            <w:vAlign w:val="center"/>
          </w:tcPr>
          <w:p w:rsidR="00871692" w:rsidRPr="00585C13" w:rsidRDefault="00871692" w:rsidP="00FE7B3C">
            <w:pPr>
              <w:jc w:val="right"/>
              <w:rPr>
                <w:rFonts w:ascii="Calibri" w:hAnsi="Calibri" w:cs="Calibri"/>
                <w:color w:val="002B45"/>
                <w:lang w:val="en-US"/>
              </w:rPr>
            </w:pPr>
            <w:r w:rsidRPr="00585C13">
              <w:rPr>
                <w:rFonts w:ascii="Calibri" w:hAnsi="Calibri" w:cs="Calibri"/>
                <w:color w:val="002B45"/>
                <w:lang w:val="en-US"/>
              </w:rPr>
              <w:t xml:space="preserve"> –  </w:t>
            </w:r>
          </w:p>
        </w:tc>
        <w:tc>
          <w:tcPr>
            <w:tcW w:w="709" w:type="dxa"/>
            <w:shd w:val="clear" w:color="auto" w:fill="E6E6E6"/>
            <w:vAlign w:val="center"/>
          </w:tcPr>
          <w:p w:rsidR="00871692" w:rsidRPr="00585C13" w:rsidRDefault="00871692" w:rsidP="001F3658">
            <w:pPr>
              <w:jc w:val="right"/>
              <w:rPr>
                <w:rFonts w:ascii="Calibri" w:hAnsi="Calibri" w:cs="Calibri"/>
                <w:color w:val="002B45"/>
                <w:lang w:val="en-US"/>
              </w:rPr>
            </w:pPr>
            <w:r w:rsidRPr="00585C13">
              <w:rPr>
                <w:rFonts w:ascii="Calibri" w:hAnsi="Calibri" w:cs="Calibri"/>
                <w:color w:val="002B45"/>
                <w:lang w:val="en-US"/>
              </w:rPr>
              <w:t xml:space="preserve"> </w:t>
            </w:r>
            <w:r w:rsidR="001F3658">
              <w:rPr>
                <w:rFonts w:ascii="Calibri" w:hAnsi="Calibri" w:cs="Calibri"/>
                <w:color w:val="002B45"/>
                <w:lang w:val="en-US"/>
              </w:rPr>
              <w:t>12</w:t>
            </w:r>
            <w:r w:rsidRPr="00585C13">
              <w:rPr>
                <w:rFonts w:ascii="Calibri" w:hAnsi="Calibri" w:cs="Calibri"/>
                <w:color w:val="002B45"/>
                <w:lang w:val="en-US"/>
              </w:rPr>
              <w:t xml:space="preserve">.7 </w:t>
            </w:r>
          </w:p>
        </w:tc>
      </w:tr>
      <w:tr w:rsidR="00871692" w:rsidRPr="00BB7D5E" w:rsidTr="00BA6A1A">
        <w:trPr>
          <w:trHeight w:val="283"/>
        </w:trPr>
        <w:tc>
          <w:tcPr>
            <w:tcW w:w="2977" w:type="dxa"/>
            <w:vAlign w:val="center"/>
          </w:tcPr>
          <w:p w:rsidR="00871692" w:rsidRPr="00585C13" w:rsidRDefault="00871692" w:rsidP="00FE7B3C">
            <w:pPr>
              <w:jc w:val="left"/>
              <w:rPr>
                <w:rFonts w:ascii="Calibri" w:hAnsi="Calibri" w:cs="Calibri"/>
                <w:color w:val="002B45"/>
                <w:lang w:val="en-US"/>
              </w:rPr>
            </w:pPr>
            <w:r w:rsidRPr="00585C13">
              <w:rPr>
                <w:rFonts w:ascii="Calibri" w:hAnsi="Calibri" w:cs="Calibri"/>
                <w:color w:val="002B45"/>
                <w:lang w:val="en-US"/>
              </w:rPr>
              <w:t>Issue of employee share options</w:t>
            </w:r>
          </w:p>
        </w:tc>
        <w:tc>
          <w:tcPr>
            <w:tcW w:w="567" w:type="dxa"/>
            <w:shd w:val="clear" w:color="auto" w:fill="E6E6E6"/>
            <w:vAlign w:val="center"/>
          </w:tcPr>
          <w:p w:rsidR="00871692" w:rsidRPr="00585C13" w:rsidRDefault="00871692" w:rsidP="00FE7B3C">
            <w:pPr>
              <w:jc w:val="right"/>
              <w:rPr>
                <w:rFonts w:ascii="Calibri" w:hAnsi="Calibri" w:cs="Calibri"/>
                <w:color w:val="002B45"/>
                <w:lang w:val="en-US"/>
              </w:rPr>
            </w:pPr>
            <w:r w:rsidRPr="00585C13">
              <w:rPr>
                <w:rFonts w:ascii="Calibri" w:hAnsi="Calibri" w:cs="Calibri"/>
                <w:color w:val="002B45"/>
                <w:lang w:val="en-US"/>
              </w:rPr>
              <w:t xml:space="preserve"> 0.3 </w:t>
            </w:r>
          </w:p>
        </w:tc>
        <w:tc>
          <w:tcPr>
            <w:tcW w:w="851" w:type="dxa"/>
            <w:shd w:val="clear" w:color="auto" w:fill="E6E6E6"/>
            <w:vAlign w:val="center"/>
          </w:tcPr>
          <w:p w:rsidR="00871692" w:rsidRPr="00585C13" w:rsidRDefault="00871692" w:rsidP="00FE7B3C">
            <w:pPr>
              <w:jc w:val="right"/>
              <w:rPr>
                <w:rFonts w:ascii="Calibri" w:hAnsi="Calibri" w:cs="Calibri"/>
                <w:color w:val="002B45"/>
                <w:lang w:val="en-US"/>
              </w:rPr>
            </w:pPr>
            <w:r w:rsidRPr="00585C13">
              <w:rPr>
                <w:rFonts w:ascii="Calibri" w:hAnsi="Calibri" w:cs="Calibri"/>
                <w:color w:val="002B45"/>
                <w:lang w:val="en-US"/>
              </w:rPr>
              <w:t xml:space="preserve"> 18.4 </w:t>
            </w:r>
          </w:p>
        </w:tc>
        <w:tc>
          <w:tcPr>
            <w:tcW w:w="708" w:type="dxa"/>
            <w:shd w:val="clear" w:color="auto" w:fill="E6E6E6"/>
            <w:vAlign w:val="center"/>
          </w:tcPr>
          <w:p w:rsidR="00871692" w:rsidRPr="00585C13" w:rsidRDefault="00871692" w:rsidP="00FE7B3C">
            <w:pPr>
              <w:jc w:val="right"/>
              <w:rPr>
                <w:rFonts w:ascii="Calibri" w:hAnsi="Calibri" w:cs="Calibri"/>
                <w:color w:val="002B45"/>
                <w:lang w:val="en-US"/>
              </w:rPr>
            </w:pPr>
            <w:r w:rsidRPr="00585C13">
              <w:rPr>
                <w:rFonts w:ascii="Calibri" w:hAnsi="Calibri" w:cs="Calibri"/>
                <w:color w:val="002B45"/>
                <w:lang w:val="en-US"/>
              </w:rPr>
              <w:t xml:space="preserve"> –  </w:t>
            </w:r>
          </w:p>
        </w:tc>
        <w:tc>
          <w:tcPr>
            <w:tcW w:w="709" w:type="dxa"/>
            <w:shd w:val="clear" w:color="auto" w:fill="E6E6E6"/>
            <w:vAlign w:val="center"/>
          </w:tcPr>
          <w:p w:rsidR="00871692" w:rsidRPr="00585C13" w:rsidRDefault="00871692" w:rsidP="00FE7B3C">
            <w:pPr>
              <w:jc w:val="right"/>
              <w:rPr>
                <w:rFonts w:ascii="Calibri" w:hAnsi="Calibri" w:cs="Calibri"/>
                <w:color w:val="002B45"/>
                <w:lang w:val="en-US"/>
              </w:rPr>
            </w:pPr>
            <w:r w:rsidRPr="00585C13">
              <w:rPr>
                <w:rFonts w:ascii="Calibri" w:hAnsi="Calibri" w:cs="Calibri"/>
                <w:color w:val="002B45"/>
                <w:lang w:val="en-US"/>
              </w:rPr>
              <w:t xml:space="preserve"> –  </w:t>
            </w:r>
          </w:p>
        </w:tc>
        <w:tc>
          <w:tcPr>
            <w:tcW w:w="709" w:type="dxa"/>
            <w:shd w:val="clear" w:color="auto" w:fill="E6E6E6"/>
            <w:vAlign w:val="center"/>
          </w:tcPr>
          <w:p w:rsidR="00871692" w:rsidRPr="00585C13" w:rsidRDefault="00871692" w:rsidP="00FE7B3C">
            <w:pPr>
              <w:jc w:val="right"/>
              <w:rPr>
                <w:rFonts w:ascii="Calibri" w:hAnsi="Calibri" w:cs="Calibri"/>
                <w:color w:val="002B45"/>
                <w:lang w:val="en-US"/>
              </w:rPr>
            </w:pPr>
            <w:r w:rsidRPr="00585C13">
              <w:rPr>
                <w:rFonts w:ascii="Calibri" w:hAnsi="Calibri" w:cs="Calibri"/>
                <w:color w:val="002B45"/>
                <w:lang w:val="en-US"/>
              </w:rPr>
              <w:t xml:space="preserve"> –  </w:t>
            </w:r>
          </w:p>
        </w:tc>
        <w:tc>
          <w:tcPr>
            <w:tcW w:w="709" w:type="dxa"/>
            <w:shd w:val="clear" w:color="auto" w:fill="E6E6E6"/>
            <w:vAlign w:val="center"/>
          </w:tcPr>
          <w:p w:rsidR="00871692" w:rsidRPr="00585C13" w:rsidRDefault="00871692" w:rsidP="00FE7B3C">
            <w:pPr>
              <w:jc w:val="right"/>
              <w:rPr>
                <w:rFonts w:ascii="Calibri" w:hAnsi="Calibri" w:cs="Calibri"/>
                <w:color w:val="002B45"/>
                <w:lang w:val="en-US"/>
              </w:rPr>
            </w:pPr>
            <w:r w:rsidRPr="00585C13">
              <w:rPr>
                <w:rFonts w:ascii="Calibri" w:hAnsi="Calibri" w:cs="Calibri"/>
                <w:color w:val="002B45"/>
                <w:lang w:val="en-US"/>
              </w:rPr>
              <w:t xml:space="preserve"> –  </w:t>
            </w:r>
          </w:p>
        </w:tc>
        <w:tc>
          <w:tcPr>
            <w:tcW w:w="708" w:type="dxa"/>
            <w:shd w:val="clear" w:color="auto" w:fill="E6E6E6"/>
            <w:vAlign w:val="center"/>
          </w:tcPr>
          <w:p w:rsidR="00871692" w:rsidRPr="00585C13" w:rsidRDefault="00871692" w:rsidP="00FE7B3C">
            <w:pPr>
              <w:jc w:val="right"/>
              <w:rPr>
                <w:rFonts w:ascii="Calibri" w:hAnsi="Calibri" w:cs="Calibri"/>
                <w:color w:val="002B45"/>
                <w:lang w:val="en-US"/>
              </w:rPr>
            </w:pPr>
            <w:r w:rsidRPr="00585C13">
              <w:rPr>
                <w:rFonts w:ascii="Calibri" w:hAnsi="Calibri" w:cs="Calibri"/>
                <w:color w:val="002B45"/>
                <w:lang w:val="en-US"/>
              </w:rPr>
              <w:t xml:space="preserve"> 18.7 </w:t>
            </w:r>
          </w:p>
        </w:tc>
        <w:tc>
          <w:tcPr>
            <w:tcW w:w="851" w:type="dxa"/>
            <w:shd w:val="clear" w:color="auto" w:fill="E6E6E6"/>
            <w:vAlign w:val="center"/>
          </w:tcPr>
          <w:p w:rsidR="00871692" w:rsidRPr="00585C13" w:rsidRDefault="00871692" w:rsidP="00FE7B3C">
            <w:pPr>
              <w:jc w:val="right"/>
              <w:rPr>
                <w:rFonts w:ascii="Calibri" w:hAnsi="Calibri" w:cs="Calibri"/>
                <w:color w:val="002B45"/>
                <w:lang w:val="en-US"/>
              </w:rPr>
            </w:pPr>
            <w:r w:rsidRPr="00585C13">
              <w:rPr>
                <w:rFonts w:ascii="Calibri" w:hAnsi="Calibri" w:cs="Calibri"/>
                <w:color w:val="002B45"/>
                <w:lang w:val="en-US"/>
              </w:rPr>
              <w:t xml:space="preserve"> –  </w:t>
            </w:r>
          </w:p>
        </w:tc>
        <w:tc>
          <w:tcPr>
            <w:tcW w:w="709" w:type="dxa"/>
            <w:shd w:val="clear" w:color="auto" w:fill="E6E6E6"/>
            <w:vAlign w:val="center"/>
          </w:tcPr>
          <w:p w:rsidR="00871692" w:rsidRPr="00585C13" w:rsidRDefault="00871692" w:rsidP="00FE7B3C">
            <w:pPr>
              <w:jc w:val="right"/>
              <w:rPr>
                <w:rFonts w:ascii="Calibri" w:hAnsi="Calibri" w:cs="Calibri"/>
                <w:color w:val="002B45"/>
                <w:lang w:val="en-US"/>
              </w:rPr>
            </w:pPr>
            <w:r w:rsidRPr="00585C13">
              <w:rPr>
                <w:rFonts w:ascii="Calibri" w:hAnsi="Calibri" w:cs="Calibri"/>
                <w:color w:val="002B45"/>
                <w:lang w:val="en-US"/>
              </w:rPr>
              <w:t xml:space="preserve"> 18.7 </w:t>
            </w:r>
          </w:p>
        </w:tc>
      </w:tr>
      <w:tr w:rsidR="00871692" w:rsidTr="00BA6A1A">
        <w:trPr>
          <w:trHeight w:val="283"/>
        </w:trPr>
        <w:tc>
          <w:tcPr>
            <w:tcW w:w="2977" w:type="dxa"/>
            <w:vAlign w:val="center"/>
          </w:tcPr>
          <w:p w:rsidR="00871692" w:rsidRPr="00585C13" w:rsidRDefault="00871692" w:rsidP="00FE7B3C">
            <w:pPr>
              <w:jc w:val="left"/>
              <w:rPr>
                <w:rFonts w:ascii="Calibri" w:hAnsi="Calibri" w:cs="Calibri"/>
                <w:color w:val="002B45"/>
                <w:lang w:val="en-US"/>
              </w:rPr>
            </w:pPr>
            <w:r w:rsidRPr="00585C13">
              <w:rPr>
                <w:rFonts w:ascii="Calibri" w:hAnsi="Calibri" w:cs="Calibri"/>
                <w:color w:val="002B45"/>
                <w:lang w:val="en-US"/>
              </w:rPr>
              <w:t>Vesting of PSP shares</w:t>
            </w:r>
          </w:p>
        </w:tc>
        <w:tc>
          <w:tcPr>
            <w:tcW w:w="567" w:type="dxa"/>
            <w:shd w:val="clear" w:color="auto" w:fill="E6E6E6"/>
            <w:vAlign w:val="center"/>
          </w:tcPr>
          <w:p w:rsidR="00871692" w:rsidRPr="00585C13" w:rsidRDefault="00871692" w:rsidP="00FE7B3C">
            <w:pPr>
              <w:jc w:val="right"/>
              <w:rPr>
                <w:rFonts w:ascii="Calibri" w:hAnsi="Calibri" w:cs="Calibri"/>
                <w:color w:val="002B45"/>
                <w:lang w:val="en-US"/>
              </w:rPr>
            </w:pPr>
            <w:r w:rsidRPr="00585C13">
              <w:rPr>
                <w:rFonts w:ascii="Calibri" w:hAnsi="Calibri" w:cs="Calibri"/>
                <w:color w:val="002B45"/>
                <w:lang w:val="en-US"/>
              </w:rPr>
              <w:t xml:space="preserve"> –  </w:t>
            </w:r>
          </w:p>
        </w:tc>
        <w:tc>
          <w:tcPr>
            <w:tcW w:w="851" w:type="dxa"/>
            <w:shd w:val="clear" w:color="auto" w:fill="E6E6E6"/>
            <w:vAlign w:val="center"/>
          </w:tcPr>
          <w:p w:rsidR="00871692" w:rsidRPr="00585C13" w:rsidRDefault="00871692" w:rsidP="00FE7B3C">
            <w:pPr>
              <w:jc w:val="right"/>
              <w:rPr>
                <w:rFonts w:ascii="Calibri" w:hAnsi="Calibri" w:cs="Calibri"/>
                <w:color w:val="002B45"/>
                <w:lang w:val="en-US"/>
              </w:rPr>
            </w:pPr>
            <w:r w:rsidRPr="00585C13">
              <w:rPr>
                <w:rFonts w:ascii="Calibri" w:hAnsi="Calibri" w:cs="Calibri"/>
                <w:color w:val="002B45"/>
                <w:lang w:val="en-US"/>
              </w:rPr>
              <w:t xml:space="preserve"> –  </w:t>
            </w:r>
          </w:p>
        </w:tc>
        <w:tc>
          <w:tcPr>
            <w:tcW w:w="708" w:type="dxa"/>
            <w:shd w:val="clear" w:color="auto" w:fill="E6E6E6"/>
            <w:vAlign w:val="center"/>
          </w:tcPr>
          <w:p w:rsidR="00871692" w:rsidRPr="00585C13" w:rsidRDefault="00871692" w:rsidP="00FE7B3C">
            <w:pPr>
              <w:jc w:val="right"/>
              <w:rPr>
                <w:rFonts w:ascii="Calibri" w:hAnsi="Calibri" w:cs="Calibri"/>
                <w:color w:val="002B45"/>
                <w:lang w:val="en-US"/>
              </w:rPr>
            </w:pPr>
            <w:r w:rsidRPr="00585C13">
              <w:rPr>
                <w:rFonts w:ascii="Calibri" w:hAnsi="Calibri" w:cs="Calibri"/>
                <w:color w:val="002B45"/>
                <w:lang w:val="en-US"/>
              </w:rPr>
              <w:t xml:space="preserve"> –  </w:t>
            </w:r>
          </w:p>
        </w:tc>
        <w:tc>
          <w:tcPr>
            <w:tcW w:w="709" w:type="dxa"/>
            <w:shd w:val="clear" w:color="auto" w:fill="E6E6E6"/>
            <w:vAlign w:val="center"/>
          </w:tcPr>
          <w:p w:rsidR="00871692" w:rsidRPr="00585C13" w:rsidRDefault="00871692" w:rsidP="00FE7B3C">
            <w:pPr>
              <w:jc w:val="right"/>
              <w:rPr>
                <w:rFonts w:ascii="Calibri" w:hAnsi="Calibri" w:cs="Calibri"/>
                <w:color w:val="002B45"/>
                <w:lang w:val="en-US"/>
              </w:rPr>
            </w:pPr>
            <w:r w:rsidRPr="00585C13">
              <w:rPr>
                <w:rFonts w:ascii="Calibri" w:hAnsi="Calibri" w:cs="Calibri"/>
                <w:color w:val="002B45"/>
                <w:lang w:val="en-US"/>
              </w:rPr>
              <w:t xml:space="preserve"> –  </w:t>
            </w:r>
          </w:p>
        </w:tc>
        <w:tc>
          <w:tcPr>
            <w:tcW w:w="709" w:type="dxa"/>
            <w:shd w:val="clear" w:color="auto" w:fill="E6E6E6"/>
            <w:vAlign w:val="center"/>
          </w:tcPr>
          <w:p w:rsidR="00871692" w:rsidRPr="00585C13" w:rsidRDefault="00871692" w:rsidP="00FE7B3C">
            <w:pPr>
              <w:jc w:val="right"/>
              <w:rPr>
                <w:rFonts w:ascii="Calibri" w:hAnsi="Calibri" w:cs="Calibri"/>
                <w:color w:val="002B45"/>
                <w:lang w:val="en-US"/>
              </w:rPr>
            </w:pPr>
            <w:r w:rsidRPr="00585C13">
              <w:rPr>
                <w:rFonts w:ascii="Calibri" w:hAnsi="Calibri" w:cs="Calibri"/>
                <w:color w:val="002B45"/>
                <w:lang w:val="en-US"/>
              </w:rPr>
              <w:t xml:space="preserve"> –  </w:t>
            </w:r>
          </w:p>
        </w:tc>
        <w:tc>
          <w:tcPr>
            <w:tcW w:w="709" w:type="dxa"/>
            <w:shd w:val="clear" w:color="auto" w:fill="E6E6E6"/>
            <w:vAlign w:val="center"/>
          </w:tcPr>
          <w:p w:rsidR="00871692" w:rsidRPr="00585C13" w:rsidRDefault="00871692" w:rsidP="00FE7B3C">
            <w:pPr>
              <w:jc w:val="right"/>
              <w:rPr>
                <w:rFonts w:ascii="Calibri" w:hAnsi="Calibri" w:cs="Calibri"/>
                <w:color w:val="002B45"/>
                <w:lang w:val="en-US"/>
              </w:rPr>
            </w:pPr>
            <w:r w:rsidRPr="00585C13">
              <w:rPr>
                <w:rFonts w:ascii="Calibri" w:hAnsi="Calibri" w:cs="Calibri"/>
                <w:color w:val="002B45"/>
                <w:lang w:val="en-US"/>
              </w:rPr>
              <w:t>(12.7)</w:t>
            </w:r>
          </w:p>
        </w:tc>
        <w:tc>
          <w:tcPr>
            <w:tcW w:w="708" w:type="dxa"/>
            <w:shd w:val="clear" w:color="auto" w:fill="E6E6E6"/>
            <w:vAlign w:val="center"/>
          </w:tcPr>
          <w:p w:rsidR="00871692" w:rsidRPr="00585C13" w:rsidRDefault="00871692" w:rsidP="00FE7B3C">
            <w:pPr>
              <w:jc w:val="right"/>
              <w:rPr>
                <w:rFonts w:ascii="Calibri" w:hAnsi="Calibri" w:cs="Calibri"/>
                <w:color w:val="002B45"/>
                <w:lang w:val="en-US"/>
              </w:rPr>
            </w:pPr>
            <w:r w:rsidRPr="00585C13">
              <w:rPr>
                <w:rFonts w:ascii="Calibri" w:hAnsi="Calibri" w:cs="Calibri"/>
                <w:color w:val="002B45"/>
                <w:lang w:val="en-US"/>
              </w:rPr>
              <w:t>(12.7)</w:t>
            </w:r>
          </w:p>
        </w:tc>
        <w:tc>
          <w:tcPr>
            <w:tcW w:w="851" w:type="dxa"/>
            <w:shd w:val="clear" w:color="auto" w:fill="E6E6E6"/>
            <w:vAlign w:val="center"/>
          </w:tcPr>
          <w:p w:rsidR="00871692" w:rsidRPr="00585C13" w:rsidRDefault="00871692" w:rsidP="00FE7B3C">
            <w:pPr>
              <w:jc w:val="right"/>
              <w:rPr>
                <w:rFonts w:ascii="Calibri" w:hAnsi="Calibri" w:cs="Calibri"/>
                <w:color w:val="002B45"/>
                <w:lang w:val="en-US"/>
              </w:rPr>
            </w:pPr>
            <w:r w:rsidRPr="00585C13">
              <w:rPr>
                <w:rFonts w:ascii="Calibri" w:hAnsi="Calibri" w:cs="Calibri"/>
                <w:color w:val="002B45"/>
                <w:lang w:val="en-US"/>
              </w:rPr>
              <w:t xml:space="preserve"> –  </w:t>
            </w:r>
          </w:p>
        </w:tc>
        <w:tc>
          <w:tcPr>
            <w:tcW w:w="709" w:type="dxa"/>
            <w:shd w:val="clear" w:color="auto" w:fill="E6E6E6"/>
            <w:vAlign w:val="center"/>
          </w:tcPr>
          <w:p w:rsidR="00871692" w:rsidRPr="00585C13" w:rsidRDefault="00871692" w:rsidP="00FE7B3C">
            <w:pPr>
              <w:jc w:val="right"/>
              <w:rPr>
                <w:rFonts w:ascii="Calibri" w:hAnsi="Calibri" w:cs="Calibri"/>
                <w:color w:val="002B45"/>
                <w:lang w:val="en-US"/>
              </w:rPr>
            </w:pPr>
            <w:r w:rsidRPr="00585C13">
              <w:rPr>
                <w:rFonts w:ascii="Calibri" w:hAnsi="Calibri" w:cs="Calibri"/>
                <w:color w:val="002B45"/>
                <w:lang w:val="en-US"/>
              </w:rPr>
              <w:t>(12.7)</w:t>
            </w:r>
          </w:p>
        </w:tc>
      </w:tr>
      <w:tr w:rsidR="00871692" w:rsidTr="00BA6A1A">
        <w:trPr>
          <w:trHeight w:val="283"/>
        </w:trPr>
        <w:tc>
          <w:tcPr>
            <w:tcW w:w="2977" w:type="dxa"/>
            <w:vAlign w:val="center"/>
          </w:tcPr>
          <w:p w:rsidR="00871692" w:rsidRPr="00585C13" w:rsidRDefault="00871692" w:rsidP="00FE7B3C">
            <w:pPr>
              <w:jc w:val="left"/>
              <w:rPr>
                <w:rFonts w:ascii="Calibri" w:hAnsi="Calibri" w:cs="Calibri"/>
                <w:color w:val="002B45"/>
                <w:lang w:val="en-US"/>
              </w:rPr>
            </w:pPr>
            <w:r w:rsidRPr="00585C13">
              <w:rPr>
                <w:rFonts w:ascii="Calibri" w:hAnsi="Calibri" w:cs="Calibri"/>
                <w:color w:val="002B45"/>
                <w:lang w:val="en-US"/>
              </w:rPr>
              <w:t xml:space="preserve">Share-based payment charges </w:t>
            </w:r>
          </w:p>
        </w:tc>
        <w:tc>
          <w:tcPr>
            <w:tcW w:w="567" w:type="dxa"/>
            <w:shd w:val="clear" w:color="auto" w:fill="E6E6E6"/>
            <w:vAlign w:val="center"/>
          </w:tcPr>
          <w:p w:rsidR="00871692" w:rsidRPr="00585C13" w:rsidRDefault="00871692" w:rsidP="00FE7B3C">
            <w:pPr>
              <w:jc w:val="right"/>
              <w:rPr>
                <w:rFonts w:ascii="Calibri" w:hAnsi="Calibri" w:cs="Calibri"/>
                <w:color w:val="002B45"/>
                <w:lang w:val="en-US"/>
              </w:rPr>
            </w:pPr>
            <w:r w:rsidRPr="00585C13">
              <w:rPr>
                <w:rFonts w:ascii="Calibri" w:hAnsi="Calibri" w:cs="Calibri"/>
                <w:color w:val="002B45"/>
                <w:lang w:val="en-US"/>
              </w:rPr>
              <w:t xml:space="preserve"> –  </w:t>
            </w:r>
          </w:p>
        </w:tc>
        <w:tc>
          <w:tcPr>
            <w:tcW w:w="851" w:type="dxa"/>
            <w:shd w:val="clear" w:color="auto" w:fill="E6E6E6"/>
            <w:vAlign w:val="center"/>
          </w:tcPr>
          <w:p w:rsidR="00871692" w:rsidRPr="00585C13" w:rsidRDefault="00871692" w:rsidP="00FE7B3C">
            <w:pPr>
              <w:jc w:val="right"/>
              <w:rPr>
                <w:rFonts w:ascii="Calibri" w:hAnsi="Calibri" w:cs="Calibri"/>
                <w:color w:val="002B45"/>
                <w:lang w:val="en-US"/>
              </w:rPr>
            </w:pPr>
            <w:r w:rsidRPr="00585C13">
              <w:rPr>
                <w:rFonts w:ascii="Calibri" w:hAnsi="Calibri" w:cs="Calibri"/>
                <w:color w:val="002B45"/>
                <w:lang w:val="en-US"/>
              </w:rPr>
              <w:t xml:space="preserve"> –  </w:t>
            </w:r>
          </w:p>
        </w:tc>
        <w:tc>
          <w:tcPr>
            <w:tcW w:w="708" w:type="dxa"/>
            <w:shd w:val="clear" w:color="auto" w:fill="E6E6E6"/>
            <w:vAlign w:val="center"/>
          </w:tcPr>
          <w:p w:rsidR="00871692" w:rsidRPr="00585C13" w:rsidRDefault="00871692" w:rsidP="00FE7B3C">
            <w:pPr>
              <w:jc w:val="right"/>
              <w:rPr>
                <w:rFonts w:ascii="Calibri" w:hAnsi="Calibri" w:cs="Calibri"/>
                <w:color w:val="002B45"/>
                <w:lang w:val="en-US"/>
              </w:rPr>
            </w:pPr>
            <w:r w:rsidRPr="00585C13">
              <w:rPr>
                <w:rFonts w:ascii="Calibri" w:hAnsi="Calibri" w:cs="Calibri"/>
                <w:color w:val="002B45"/>
                <w:lang w:val="en-US"/>
              </w:rPr>
              <w:t xml:space="preserve"> –  </w:t>
            </w:r>
          </w:p>
        </w:tc>
        <w:tc>
          <w:tcPr>
            <w:tcW w:w="709" w:type="dxa"/>
            <w:shd w:val="clear" w:color="auto" w:fill="E6E6E6"/>
            <w:vAlign w:val="center"/>
          </w:tcPr>
          <w:p w:rsidR="00871692" w:rsidRPr="00585C13" w:rsidRDefault="00871692" w:rsidP="00FE7B3C">
            <w:pPr>
              <w:jc w:val="right"/>
              <w:rPr>
                <w:rFonts w:ascii="Calibri" w:hAnsi="Calibri" w:cs="Calibri"/>
                <w:color w:val="002B45"/>
                <w:lang w:val="en-US"/>
              </w:rPr>
            </w:pPr>
            <w:r w:rsidRPr="00585C13">
              <w:rPr>
                <w:rFonts w:ascii="Calibri" w:hAnsi="Calibri" w:cs="Calibri"/>
                <w:color w:val="002B45"/>
                <w:lang w:val="en-US"/>
              </w:rPr>
              <w:t xml:space="preserve"> –  </w:t>
            </w:r>
          </w:p>
        </w:tc>
        <w:tc>
          <w:tcPr>
            <w:tcW w:w="709" w:type="dxa"/>
            <w:shd w:val="clear" w:color="auto" w:fill="E6E6E6"/>
            <w:vAlign w:val="center"/>
          </w:tcPr>
          <w:p w:rsidR="00871692" w:rsidRPr="00585C13" w:rsidRDefault="00871692" w:rsidP="00FE7B3C">
            <w:pPr>
              <w:jc w:val="right"/>
              <w:rPr>
                <w:rFonts w:ascii="Calibri" w:hAnsi="Calibri" w:cs="Calibri"/>
                <w:color w:val="002B45"/>
                <w:lang w:val="en-US"/>
              </w:rPr>
            </w:pPr>
            <w:r w:rsidRPr="00585C13">
              <w:rPr>
                <w:rFonts w:ascii="Calibri" w:hAnsi="Calibri" w:cs="Calibri"/>
                <w:color w:val="002B45"/>
                <w:lang w:val="en-US"/>
              </w:rPr>
              <w:t xml:space="preserve"> –  </w:t>
            </w:r>
          </w:p>
        </w:tc>
        <w:tc>
          <w:tcPr>
            <w:tcW w:w="709" w:type="dxa"/>
            <w:shd w:val="clear" w:color="auto" w:fill="E6E6E6"/>
            <w:vAlign w:val="center"/>
          </w:tcPr>
          <w:p w:rsidR="00871692" w:rsidRPr="00585C13" w:rsidRDefault="00871692" w:rsidP="00FE7B3C">
            <w:pPr>
              <w:jc w:val="right"/>
              <w:rPr>
                <w:rFonts w:ascii="Calibri" w:hAnsi="Calibri" w:cs="Calibri"/>
                <w:color w:val="002B45"/>
                <w:lang w:val="en-US"/>
              </w:rPr>
            </w:pPr>
            <w:r w:rsidRPr="00585C13">
              <w:rPr>
                <w:rFonts w:ascii="Calibri" w:hAnsi="Calibri" w:cs="Calibri"/>
                <w:color w:val="002B45"/>
                <w:lang w:val="en-US"/>
              </w:rPr>
              <w:t xml:space="preserve"> 64.6 </w:t>
            </w:r>
          </w:p>
        </w:tc>
        <w:tc>
          <w:tcPr>
            <w:tcW w:w="708" w:type="dxa"/>
            <w:shd w:val="clear" w:color="auto" w:fill="E6E6E6"/>
            <w:vAlign w:val="center"/>
          </w:tcPr>
          <w:p w:rsidR="00871692" w:rsidRPr="00585C13" w:rsidRDefault="00871692" w:rsidP="00FE7B3C">
            <w:pPr>
              <w:jc w:val="right"/>
              <w:rPr>
                <w:rFonts w:ascii="Calibri" w:hAnsi="Calibri" w:cs="Calibri"/>
                <w:color w:val="002B45"/>
                <w:lang w:val="en-US"/>
              </w:rPr>
            </w:pPr>
            <w:r w:rsidRPr="00585C13">
              <w:rPr>
                <w:rFonts w:ascii="Calibri" w:hAnsi="Calibri" w:cs="Calibri"/>
                <w:color w:val="002B45"/>
                <w:lang w:val="en-US"/>
              </w:rPr>
              <w:t xml:space="preserve"> 64.6 </w:t>
            </w:r>
          </w:p>
        </w:tc>
        <w:tc>
          <w:tcPr>
            <w:tcW w:w="851" w:type="dxa"/>
            <w:shd w:val="clear" w:color="auto" w:fill="E6E6E6"/>
            <w:vAlign w:val="center"/>
          </w:tcPr>
          <w:p w:rsidR="00871692" w:rsidRPr="00585C13" w:rsidRDefault="00871692" w:rsidP="00FE7B3C">
            <w:pPr>
              <w:jc w:val="right"/>
              <w:rPr>
                <w:rFonts w:ascii="Calibri" w:hAnsi="Calibri" w:cs="Calibri"/>
                <w:color w:val="002B45"/>
                <w:lang w:val="en-US"/>
              </w:rPr>
            </w:pPr>
            <w:r w:rsidRPr="00585C13">
              <w:rPr>
                <w:rFonts w:ascii="Calibri" w:hAnsi="Calibri" w:cs="Calibri"/>
                <w:color w:val="002B45"/>
                <w:lang w:val="en-US"/>
              </w:rPr>
              <w:t xml:space="preserve"> –  </w:t>
            </w:r>
          </w:p>
        </w:tc>
        <w:tc>
          <w:tcPr>
            <w:tcW w:w="709" w:type="dxa"/>
            <w:shd w:val="clear" w:color="auto" w:fill="E6E6E6"/>
            <w:vAlign w:val="center"/>
          </w:tcPr>
          <w:p w:rsidR="00871692" w:rsidRPr="00585C13" w:rsidRDefault="00871692" w:rsidP="00FE7B3C">
            <w:pPr>
              <w:jc w:val="right"/>
              <w:rPr>
                <w:rFonts w:ascii="Calibri" w:hAnsi="Calibri" w:cs="Calibri"/>
                <w:color w:val="002B45"/>
                <w:lang w:val="en-US"/>
              </w:rPr>
            </w:pPr>
            <w:r w:rsidRPr="00585C13">
              <w:rPr>
                <w:rFonts w:ascii="Calibri" w:hAnsi="Calibri" w:cs="Calibri"/>
                <w:color w:val="002B45"/>
                <w:lang w:val="en-US"/>
              </w:rPr>
              <w:t xml:space="preserve"> 64.6 </w:t>
            </w:r>
          </w:p>
        </w:tc>
      </w:tr>
      <w:tr w:rsidR="00871692" w:rsidRPr="00BB7D5E" w:rsidTr="00BA6A1A">
        <w:trPr>
          <w:trHeight w:val="283"/>
        </w:trPr>
        <w:tc>
          <w:tcPr>
            <w:tcW w:w="2977" w:type="dxa"/>
            <w:vAlign w:val="center"/>
          </w:tcPr>
          <w:p w:rsidR="00871692" w:rsidRPr="00585C13" w:rsidRDefault="00871692" w:rsidP="00FE7B3C">
            <w:pPr>
              <w:jc w:val="left"/>
              <w:rPr>
                <w:rFonts w:ascii="Calibri" w:hAnsi="Calibri" w:cs="Calibri"/>
                <w:color w:val="002B45"/>
                <w:lang w:val="en-US"/>
              </w:rPr>
            </w:pPr>
            <w:r w:rsidRPr="00585C13">
              <w:rPr>
                <w:rFonts w:ascii="Calibri" w:hAnsi="Calibri" w:cs="Calibri"/>
                <w:color w:val="002B45"/>
                <w:lang w:val="en-US"/>
              </w:rPr>
              <w:t>Dividends paid</w:t>
            </w:r>
          </w:p>
        </w:tc>
        <w:tc>
          <w:tcPr>
            <w:tcW w:w="567" w:type="dxa"/>
            <w:shd w:val="clear" w:color="auto" w:fill="E6E6E6"/>
            <w:vAlign w:val="center"/>
          </w:tcPr>
          <w:p w:rsidR="00871692" w:rsidRPr="00585C13" w:rsidRDefault="00871692" w:rsidP="00FE7B3C">
            <w:pPr>
              <w:jc w:val="right"/>
              <w:rPr>
                <w:rFonts w:ascii="Calibri" w:hAnsi="Calibri" w:cs="Calibri"/>
                <w:color w:val="002B45"/>
                <w:lang w:val="en-US"/>
              </w:rPr>
            </w:pPr>
            <w:r w:rsidRPr="00585C13">
              <w:rPr>
                <w:rFonts w:ascii="Calibri" w:hAnsi="Calibri" w:cs="Calibri"/>
                <w:color w:val="002B45"/>
                <w:lang w:val="en-US"/>
              </w:rPr>
              <w:t xml:space="preserve"> –  </w:t>
            </w:r>
          </w:p>
        </w:tc>
        <w:tc>
          <w:tcPr>
            <w:tcW w:w="851" w:type="dxa"/>
            <w:shd w:val="clear" w:color="auto" w:fill="E6E6E6"/>
            <w:vAlign w:val="center"/>
          </w:tcPr>
          <w:p w:rsidR="00871692" w:rsidRPr="00585C13" w:rsidRDefault="00871692" w:rsidP="00FE7B3C">
            <w:pPr>
              <w:jc w:val="right"/>
              <w:rPr>
                <w:rFonts w:ascii="Calibri" w:hAnsi="Calibri" w:cs="Calibri"/>
                <w:color w:val="002B45"/>
                <w:lang w:val="en-US"/>
              </w:rPr>
            </w:pPr>
            <w:r w:rsidRPr="00585C13">
              <w:rPr>
                <w:rFonts w:ascii="Calibri" w:hAnsi="Calibri" w:cs="Calibri"/>
                <w:color w:val="002B45"/>
                <w:lang w:val="en-US"/>
              </w:rPr>
              <w:t xml:space="preserve"> –  </w:t>
            </w:r>
          </w:p>
        </w:tc>
        <w:tc>
          <w:tcPr>
            <w:tcW w:w="708" w:type="dxa"/>
            <w:shd w:val="clear" w:color="auto" w:fill="E6E6E6"/>
            <w:vAlign w:val="center"/>
          </w:tcPr>
          <w:p w:rsidR="00871692" w:rsidRPr="00585C13" w:rsidRDefault="00871692" w:rsidP="00FE7B3C">
            <w:pPr>
              <w:jc w:val="right"/>
              <w:rPr>
                <w:rFonts w:ascii="Calibri" w:hAnsi="Calibri" w:cs="Calibri"/>
                <w:color w:val="002B45"/>
                <w:lang w:val="en-US"/>
              </w:rPr>
            </w:pPr>
            <w:r w:rsidRPr="00585C13">
              <w:rPr>
                <w:rFonts w:ascii="Calibri" w:hAnsi="Calibri" w:cs="Calibri"/>
                <w:color w:val="002B45"/>
                <w:lang w:val="en-US"/>
              </w:rPr>
              <w:t xml:space="preserve"> –  </w:t>
            </w:r>
          </w:p>
        </w:tc>
        <w:tc>
          <w:tcPr>
            <w:tcW w:w="709" w:type="dxa"/>
            <w:shd w:val="clear" w:color="auto" w:fill="E6E6E6"/>
            <w:vAlign w:val="center"/>
          </w:tcPr>
          <w:p w:rsidR="00871692" w:rsidRPr="00585C13" w:rsidRDefault="00871692" w:rsidP="00FE7B3C">
            <w:pPr>
              <w:jc w:val="right"/>
              <w:rPr>
                <w:rFonts w:ascii="Calibri" w:hAnsi="Calibri" w:cs="Calibri"/>
                <w:color w:val="002B45"/>
                <w:lang w:val="en-US"/>
              </w:rPr>
            </w:pPr>
            <w:r w:rsidRPr="00585C13">
              <w:rPr>
                <w:rFonts w:ascii="Calibri" w:hAnsi="Calibri" w:cs="Calibri"/>
                <w:color w:val="002B45"/>
                <w:lang w:val="en-US"/>
              </w:rPr>
              <w:t xml:space="preserve"> –  </w:t>
            </w:r>
          </w:p>
        </w:tc>
        <w:tc>
          <w:tcPr>
            <w:tcW w:w="709" w:type="dxa"/>
            <w:shd w:val="clear" w:color="auto" w:fill="E6E6E6"/>
            <w:vAlign w:val="center"/>
          </w:tcPr>
          <w:p w:rsidR="00871692" w:rsidRPr="00585C13" w:rsidRDefault="00871692" w:rsidP="00FE7B3C">
            <w:pPr>
              <w:jc w:val="right"/>
              <w:rPr>
                <w:rFonts w:ascii="Calibri" w:hAnsi="Calibri" w:cs="Calibri"/>
                <w:color w:val="002B45"/>
                <w:lang w:val="en-US"/>
              </w:rPr>
            </w:pPr>
            <w:r w:rsidRPr="00585C13">
              <w:rPr>
                <w:rFonts w:ascii="Calibri" w:hAnsi="Calibri" w:cs="Calibri"/>
                <w:color w:val="002B45"/>
                <w:lang w:val="en-US"/>
              </w:rPr>
              <w:t xml:space="preserve"> –  </w:t>
            </w:r>
          </w:p>
        </w:tc>
        <w:tc>
          <w:tcPr>
            <w:tcW w:w="709" w:type="dxa"/>
            <w:shd w:val="clear" w:color="auto" w:fill="E6E6E6"/>
            <w:vAlign w:val="center"/>
          </w:tcPr>
          <w:p w:rsidR="00871692" w:rsidRPr="00585C13" w:rsidRDefault="00871692" w:rsidP="00FE7B3C">
            <w:pPr>
              <w:jc w:val="right"/>
              <w:rPr>
                <w:rFonts w:ascii="Calibri" w:hAnsi="Calibri" w:cs="Calibri"/>
                <w:color w:val="002B45"/>
                <w:lang w:val="en-US"/>
              </w:rPr>
            </w:pPr>
            <w:r w:rsidRPr="00585C13">
              <w:rPr>
                <w:rFonts w:ascii="Calibri" w:hAnsi="Calibri" w:cs="Calibri"/>
                <w:color w:val="002B45"/>
                <w:lang w:val="en-US"/>
              </w:rPr>
              <w:t>(167.4)</w:t>
            </w:r>
          </w:p>
        </w:tc>
        <w:tc>
          <w:tcPr>
            <w:tcW w:w="708" w:type="dxa"/>
            <w:shd w:val="clear" w:color="auto" w:fill="E6E6E6"/>
            <w:vAlign w:val="center"/>
          </w:tcPr>
          <w:p w:rsidR="00871692" w:rsidRPr="00585C13" w:rsidRDefault="00871692" w:rsidP="00FE7B3C">
            <w:pPr>
              <w:jc w:val="right"/>
              <w:rPr>
                <w:rFonts w:ascii="Calibri" w:hAnsi="Calibri" w:cs="Calibri"/>
                <w:color w:val="002B45"/>
                <w:lang w:val="en-US"/>
              </w:rPr>
            </w:pPr>
            <w:r w:rsidRPr="00585C13">
              <w:rPr>
                <w:rFonts w:ascii="Calibri" w:hAnsi="Calibri" w:cs="Calibri"/>
                <w:color w:val="002B45"/>
                <w:lang w:val="en-US"/>
              </w:rPr>
              <w:t>(167.4)</w:t>
            </w:r>
          </w:p>
        </w:tc>
        <w:tc>
          <w:tcPr>
            <w:tcW w:w="851" w:type="dxa"/>
            <w:shd w:val="clear" w:color="auto" w:fill="E6E6E6"/>
            <w:vAlign w:val="center"/>
          </w:tcPr>
          <w:p w:rsidR="00871692" w:rsidRPr="00585C13" w:rsidRDefault="00871692" w:rsidP="00FE7B3C">
            <w:pPr>
              <w:jc w:val="right"/>
              <w:rPr>
                <w:rFonts w:ascii="Calibri" w:hAnsi="Calibri" w:cs="Calibri"/>
                <w:color w:val="002B45"/>
                <w:lang w:val="en-US"/>
              </w:rPr>
            </w:pPr>
            <w:r w:rsidRPr="00585C13">
              <w:rPr>
                <w:rFonts w:ascii="Calibri" w:hAnsi="Calibri" w:cs="Calibri"/>
                <w:color w:val="002B45"/>
                <w:lang w:val="en-US"/>
              </w:rPr>
              <w:t xml:space="preserve"> –  </w:t>
            </w:r>
          </w:p>
        </w:tc>
        <w:tc>
          <w:tcPr>
            <w:tcW w:w="709" w:type="dxa"/>
            <w:shd w:val="clear" w:color="auto" w:fill="E6E6E6"/>
            <w:vAlign w:val="center"/>
          </w:tcPr>
          <w:p w:rsidR="00871692" w:rsidRPr="00585C13" w:rsidRDefault="00871692" w:rsidP="00FE7B3C">
            <w:pPr>
              <w:jc w:val="right"/>
              <w:rPr>
                <w:rFonts w:ascii="Calibri" w:hAnsi="Calibri" w:cs="Calibri"/>
                <w:color w:val="002B45"/>
                <w:lang w:val="en-US"/>
              </w:rPr>
            </w:pPr>
            <w:r w:rsidRPr="00585C13">
              <w:rPr>
                <w:rFonts w:ascii="Calibri" w:hAnsi="Calibri" w:cs="Calibri"/>
                <w:color w:val="002B45"/>
                <w:lang w:val="en-US"/>
              </w:rPr>
              <w:t>(167.4)</w:t>
            </w:r>
          </w:p>
        </w:tc>
      </w:tr>
      <w:tr w:rsidR="00871692" w:rsidRPr="00BB7D5E" w:rsidTr="00BA6A1A">
        <w:trPr>
          <w:trHeight w:val="283"/>
        </w:trPr>
        <w:tc>
          <w:tcPr>
            <w:tcW w:w="2977" w:type="dxa"/>
            <w:tcBorders>
              <w:bottom w:val="single" w:sz="4" w:space="0" w:color="999999"/>
            </w:tcBorders>
            <w:vAlign w:val="center"/>
          </w:tcPr>
          <w:p w:rsidR="00871692" w:rsidRPr="00585C13" w:rsidRDefault="00871692" w:rsidP="00FE7B3C">
            <w:pPr>
              <w:jc w:val="left"/>
              <w:rPr>
                <w:rFonts w:ascii="Calibri" w:hAnsi="Calibri" w:cs="Calibri"/>
                <w:color w:val="002B45"/>
                <w:lang w:val="en-US"/>
              </w:rPr>
            </w:pPr>
            <w:r w:rsidRPr="00585C13">
              <w:rPr>
                <w:rFonts w:ascii="Calibri" w:hAnsi="Calibri" w:cs="Calibri"/>
                <w:color w:val="002B45"/>
                <w:lang w:val="en-US"/>
              </w:rPr>
              <w:t xml:space="preserve">Distribution to non-controlling interests </w:t>
            </w:r>
          </w:p>
        </w:tc>
        <w:tc>
          <w:tcPr>
            <w:tcW w:w="567" w:type="dxa"/>
            <w:tcBorders>
              <w:bottom w:val="single" w:sz="4" w:space="0" w:color="999999"/>
            </w:tcBorders>
            <w:shd w:val="clear" w:color="auto" w:fill="E6E6E6"/>
            <w:vAlign w:val="center"/>
          </w:tcPr>
          <w:p w:rsidR="00871692" w:rsidRPr="00585C13" w:rsidRDefault="00871692" w:rsidP="00FE7B3C">
            <w:pPr>
              <w:jc w:val="right"/>
              <w:rPr>
                <w:rFonts w:ascii="Calibri" w:hAnsi="Calibri" w:cs="Calibri"/>
                <w:color w:val="002B45"/>
                <w:lang w:val="en-US"/>
              </w:rPr>
            </w:pPr>
            <w:r w:rsidRPr="00585C13">
              <w:rPr>
                <w:rFonts w:ascii="Calibri" w:hAnsi="Calibri" w:cs="Calibri"/>
                <w:color w:val="002B45"/>
                <w:lang w:val="en-US"/>
              </w:rPr>
              <w:t xml:space="preserve"> –  </w:t>
            </w:r>
          </w:p>
        </w:tc>
        <w:tc>
          <w:tcPr>
            <w:tcW w:w="851" w:type="dxa"/>
            <w:tcBorders>
              <w:bottom w:val="single" w:sz="4" w:space="0" w:color="999999"/>
            </w:tcBorders>
            <w:shd w:val="clear" w:color="auto" w:fill="E6E6E6"/>
            <w:vAlign w:val="center"/>
          </w:tcPr>
          <w:p w:rsidR="00871692" w:rsidRPr="00585C13" w:rsidRDefault="00871692" w:rsidP="00FE7B3C">
            <w:pPr>
              <w:jc w:val="right"/>
              <w:rPr>
                <w:rFonts w:ascii="Calibri" w:hAnsi="Calibri" w:cs="Calibri"/>
                <w:color w:val="002B45"/>
                <w:lang w:val="en-US"/>
              </w:rPr>
            </w:pPr>
            <w:r w:rsidRPr="00585C13">
              <w:rPr>
                <w:rFonts w:ascii="Calibri" w:hAnsi="Calibri" w:cs="Calibri"/>
                <w:color w:val="002B45"/>
                <w:lang w:val="en-US"/>
              </w:rPr>
              <w:t xml:space="preserve"> –  </w:t>
            </w:r>
          </w:p>
        </w:tc>
        <w:tc>
          <w:tcPr>
            <w:tcW w:w="708" w:type="dxa"/>
            <w:tcBorders>
              <w:bottom w:val="single" w:sz="4" w:space="0" w:color="999999"/>
            </w:tcBorders>
            <w:shd w:val="clear" w:color="auto" w:fill="E6E6E6"/>
            <w:vAlign w:val="center"/>
          </w:tcPr>
          <w:p w:rsidR="00871692" w:rsidRPr="00585C13" w:rsidRDefault="00871692" w:rsidP="00FE7B3C">
            <w:pPr>
              <w:jc w:val="right"/>
              <w:rPr>
                <w:rFonts w:ascii="Calibri" w:hAnsi="Calibri" w:cs="Calibri"/>
                <w:color w:val="002B45"/>
                <w:lang w:val="en-US"/>
              </w:rPr>
            </w:pPr>
            <w:r w:rsidRPr="00585C13">
              <w:rPr>
                <w:rFonts w:ascii="Calibri" w:hAnsi="Calibri" w:cs="Calibri"/>
                <w:color w:val="002B45"/>
                <w:lang w:val="en-US"/>
              </w:rPr>
              <w:t xml:space="preserve"> –  </w:t>
            </w:r>
          </w:p>
        </w:tc>
        <w:tc>
          <w:tcPr>
            <w:tcW w:w="709" w:type="dxa"/>
            <w:tcBorders>
              <w:bottom w:val="single" w:sz="4" w:space="0" w:color="999999"/>
            </w:tcBorders>
            <w:shd w:val="clear" w:color="auto" w:fill="E6E6E6"/>
            <w:vAlign w:val="center"/>
          </w:tcPr>
          <w:p w:rsidR="00871692" w:rsidRPr="00585C13" w:rsidRDefault="00871692" w:rsidP="00FE7B3C">
            <w:pPr>
              <w:jc w:val="right"/>
              <w:rPr>
                <w:rFonts w:ascii="Calibri" w:hAnsi="Calibri" w:cs="Calibri"/>
                <w:color w:val="002B45"/>
                <w:lang w:val="en-US"/>
              </w:rPr>
            </w:pPr>
            <w:r w:rsidRPr="00585C13">
              <w:rPr>
                <w:rFonts w:ascii="Calibri" w:hAnsi="Calibri" w:cs="Calibri"/>
                <w:color w:val="002B45"/>
                <w:lang w:val="en-US"/>
              </w:rPr>
              <w:t xml:space="preserve"> –  </w:t>
            </w:r>
          </w:p>
        </w:tc>
        <w:tc>
          <w:tcPr>
            <w:tcW w:w="709" w:type="dxa"/>
            <w:tcBorders>
              <w:bottom w:val="single" w:sz="4" w:space="0" w:color="999999"/>
            </w:tcBorders>
            <w:shd w:val="clear" w:color="auto" w:fill="E6E6E6"/>
            <w:vAlign w:val="center"/>
          </w:tcPr>
          <w:p w:rsidR="00871692" w:rsidRPr="00585C13" w:rsidRDefault="00871692" w:rsidP="00FE7B3C">
            <w:pPr>
              <w:jc w:val="right"/>
              <w:rPr>
                <w:rFonts w:ascii="Calibri" w:hAnsi="Calibri" w:cs="Calibri"/>
                <w:color w:val="002B45"/>
                <w:lang w:val="en-US"/>
              </w:rPr>
            </w:pPr>
            <w:r w:rsidRPr="00585C13">
              <w:rPr>
                <w:rFonts w:ascii="Calibri" w:hAnsi="Calibri" w:cs="Calibri"/>
                <w:color w:val="002B45"/>
                <w:lang w:val="en-US"/>
              </w:rPr>
              <w:t xml:space="preserve"> –  </w:t>
            </w:r>
          </w:p>
        </w:tc>
        <w:tc>
          <w:tcPr>
            <w:tcW w:w="709" w:type="dxa"/>
            <w:tcBorders>
              <w:bottom w:val="single" w:sz="4" w:space="0" w:color="999999"/>
            </w:tcBorders>
            <w:shd w:val="clear" w:color="auto" w:fill="E6E6E6"/>
            <w:vAlign w:val="center"/>
          </w:tcPr>
          <w:p w:rsidR="00871692" w:rsidRPr="00585C13" w:rsidRDefault="00871692" w:rsidP="00FE7B3C">
            <w:pPr>
              <w:jc w:val="right"/>
              <w:rPr>
                <w:rFonts w:ascii="Calibri" w:hAnsi="Calibri" w:cs="Calibri"/>
                <w:color w:val="002B45"/>
                <w:lang w:val="en-US"/>
              </w:rPr>
            </w:pPr>
            <w:r w:rsidRPr="00585C13">
              <w:rPr>
                <w:rFonts w:ascii="Calibri" w:hAnsi="Calibri" w:cs="Calibri"/>
                <w:color w:val="002B45"/>
                <w:lang w:val="en-US"/>
              </w:rPr>
              <w:t xml:space="preserve"> –  </w:t>
            </w:r>
          </w:p>
        </w:tc>
        <w:tc>
          <w:tcPr>
            <w:tcW w:w="708" w:type="dxa"/>
            <w:tcBorders>
              <w:bottom w:val="single" w:sz="4" w:space="0" w:color="999999"/>
            </w:tcBorders>
            <w:shd w:val="clear" w:color="auto" w:fill="E6E6E6"/>
            <w:vAlign w:val="center"/>
          </w:tcPr>
          <w:p w:rsidR="00871692" w:rsidRPr="00585C13" w:rsidRDefault="00871692" w:rsidP="00FE7B3C">
            <w:pPr>
              <w:jc w:val="right"/>
              <w:rPr>
                <w:rFonts w:ascii="Calibri" w:hAnsi="Calibri" w:cs="Calibri"/>
                <w:color w:val="002B45"/>
                <w:lang w:val="en-US"/>
              </w:rPr>
            </w:pPr>
            <w:r w:rsidRPr="00585C13">
              <w:rPr>
                <w:rFonts w:ascii="Calibri" w:hAnsi="Calibri" w:cs="Calibri"/>
                <w:color w:val="002B45"/>
                <w:lang w:val="en-US"/>
              </w:rPr>
              <w:t xml:space="preserve"> –  </w:t>
            </w:r>
          </w:p>
        </w:tc>
        <w:tc>
          <w:tcPr>
            <w:tcW w:w="851" w:type="dxa"/>
            <w:tcBorders>
              <w:bottom w:val="single" w:sz="4" w:space="0" w:color="999999"/>
            </w:tcBorders>
            <w:shd w:val="clear" w:color="auto" w:fill="E6E6E6"/>
            <w:vAlign w:val="center"/>
          </w:tcPr>
          <w:p w:rsidR="00871692" w:rsidRPr="00585C13" w:rsidRDefault="00871692" w:rsidP="00FE7B3C">
            <w:pPr>
              <w:jc w:val="right"/>
              <w:rPr>
                <w:rFonts w:ascii="Calibri" w:hAnsi="Calibri" w:cs="Calibri"/>
                <w:color w:val="002B45"/>
                <w:lang w:val="en-US"/>
              </w:rPr>
            </w:pPr>
            <w:r w:rsidRPr="00585C13">
              <w:rPr>
                <w:rFonts w:ascii="Calibri" w:hAnsi="Calibri" w:cs="Calibri"/>
                <w:color w:val="002B45"/>
                <w:lang w:val="en-US"/>
              </w:rPr>
              <w:t>(16.0)</w:t>
            </w:r>
          </w:p>
        </w:tc>
        <w:tc>
          <w:tcPr>
            <w:tcW w:w="709" w:type="dxa"/>
            <w:tcBorders>
              <w:bottom w:val="single" w:sz="4" w:space="0" w:color="999999"/>
            </w:tcBorders>
            <w:shd w:val="clear" w:color="auto" w:fill="E6E6E6"/>
            <w:vAlign w:val="center"/>
          </w:tcPr>
          <w:p w:rsidR="00871692" w:rsidRPr="00585C13" w:rsidRDefault="00871692" w:rsidP="00FE7B3C">
            <w:pPr>
              <w:jc w:val="right"/>
              <w:rPr>
                <w:rFonts w:ascii="Calibri" w:hAnsi="Calibri" w:cs="Calibri"/>
                <w:color w:val="002B45"/>
                <w:lang w:val="en-US"/>
              </w:rPr>
            </w:pPr>
            <w:r w:rsidRPr="00585C13">
              <w:rPr>
                <w:rFonts w:ascii="Calibri" w:hAnsi="Calibri" w:cs="Calibri"/>
                <w:color w:val="002B45"/>
                <w:lang w:val="en-US"/>
              </w:rPr>
              <w:t>(16.0)</w:t>
            </w:r>
          </w:p>
        </w:tc>
      </w:tr>
      <w:tr w:rsidR="00EB5D64" w:rsidTr="00BA6A1A">
        <w:trPr>
          <w:trHeight w:val="397"/>
        </w:trPr>
        <w:tc>
          <w:tcPr>
            <w:tcW w:w="2977" w:type="dxa"/>
            <w:tcBorders>
              <w:top w:val="single" w:sz="4" w:space="0" w:color="999999"/>
              <w:bottom w:val="single" w:sz="12" w:space="0" w:color="999999"/>
            </w:tcBorders>
            <w:vAlign w:val="bottom"/>
          </w:tcPr>
          <w:p w:rsidR="00EB5D64" w:rsidRPr="00721877" w:rsidRDefault="00EB5D64" w:rsidP="00BA6A1A">
            <w:pPr>
              <w:pStyle w:val="Tabletext0"/>
              <w:ind w:right="85"/>
              <w:rPr>
                <w:rFonts w:ascii="Calibri" w:hAnsi="Calibri" w:cs="Calibri"/>
                <w:color w:val="002B45"/>
              </w:rPr>
            </w:pPr>
            <w:r w:rsidRPr="00721877">
              <w:rPr>
                <w:rFonts w:ascii="Calibri" w:hAnsi="Calibri" w:cs="Calibri"/>
                <w:color w:val="002B45"/>
              </w:rPr>
              <w:t>At 31 Decemb</w:t>
            </w:r>
            <w:r>
              <w:rPr>
                <w:rFonts w:ascii="Calibri" w:hAnsi="Calibri" w:cs="Calibri"/>
                <w:color w:val="002B45"/>
              </w:rPr>
              <w:t>er 2013</w:t>
            </w:r>
            <w:r w:rsidRPr="00721877">
              <w:rPr>
                <w:rFonts w:ascii="Calibri" w:hAnsi="Calibri" w:cs="Calibri"/>
                <w:color w:val="002B45"/>
              </w:rPr>
              <w:t xml:space="preserve"> </w:t>
            </w:r>
          </w:p>
        </w:tc>
        <w:tc>
          <w:tcPr>
            <w:tcW w:w="567" w:type="dxa"/>
            <w:tcBorders>
              <w:top w:val="single" w:sz="4" w:space="0" w:color="999999"/>
              <w:bottom w:val="single" w:sz="12" w:space="0" w:color="999999"/>
            </w:tcBorders>
            <w:shd w:val="clear" w:color="auto" w:fill="E6E6E6"/>
            <w:vAlign w:val="bottom"/>
          </w:tcPr>
          <w:p w:rsidR="00EB5D64" w:rsidRPr="00585C13" w:rsidRDefault="00EB5D64" w:rsidP="00BA6A1A">
            <w:pPr>
              <w:jc w:val="right"/>
              <w:rPr>
                <w:rFonts w:ascii="Calibri" w:hAnsi="Calibri" w:cs="Calibri"/>
                <w:color w:val="002B45"/>
                <w:lang w:val="en-US"/>
              </w:rPr>
            </w:pPr>
            <w:r w:rsidRPr="00585C13">
              <w:rPr>
                <w:rFonts w:ascii="Calibri" w:hAnsi="Calibri" w:cs="Calibri"/>
                <w:color w:val="002B45"/>
                <w:lang w:val="en-US"/>
              </w:rPr>
              <w:t xml:space="preserve"> 146.9 </w:t>
            </w:r>
          </w:p>
        </w:tc>
        <w:tc>
          <w:tcPr>
            <w:tcW w:w="851" w:type="dxa"/>
            <w:tcBorders>
              <w:top w:val="single" w:sz="4" w:space="0" w:color="999999"/>
              <w:bottom w:val="single" w:sz="12" w:space="0" w:color="999999"/>
            </w:tcBorders>
            <w:shd w:val="clear" w:color="auto" w:fill="E6E6E6"/>
            <w:vAlign w:val="bottom"/>
          </w:tcPr>
          <w:p w:rsidR="00EB5D64" w:rsidRPr="00585C13" w:rsidRDefault="00EB5D64" w:rsidP="00BA6A1A">
            <w:pPr>
              <w:jc w:val="right"/>
              <w:rPr>
                <w:rFonts w:ascii="Calibri" w:hAnsi="Calibri" w:cs="Calibri"/>
                <w:color w:val="002B45"/>
                <w:lang w:val="en-US"/>
              </w:rPr>
            </w:pPr>
            <w:r w:rsidRPr="00585C13">
              <w:rPr>
                <w:rFonts w:ascii="Calibri" w:hAnsi="Calibri" w:cs="Calibri"/>
                <w:color w:val="002B45"/>
                <w:lang w:val="en-US"/>
              </w:rPr>
              <w:t xml:space="preserve"> 603.2 </w:t>
            </w:r>
          </w:p>
        </w:tc>
        <w:tc>
          <w:tcPr>
            <w:tcW w:w="708" w:type="dxa"/>
            <w:tcBorders>
              <w:top w:val="single" w:sz="4" w:space="0" w:color="999999"/>
              <w:bottom w:val="single" w:sz="12" w:space="0" w:color="999999"/>
            </w:tcBorders>
            <w:shd w:val="clear" w:color="auto" w:fill="E6E6E6"/>
            <w:vAlign w:val="bottom"/>
          </w:tcPr>
          <w:p w:rsidR="00EB5D64" w:rsidRPr="00585C13" w:rsidRDefault="00EB5D64" w:rsidP="00BA6A1A">
            <w:pPr>
              <w:jc w:val="right"/>
              <w:rPr>
                <w:rFonts w:ascii="Calibri" w:hAnsi="Calibri" w:cs="Calibri"/>
                <w:color w:val="002B45"/>
                <w:lang w:val="en-US"/>
              </w:rPr>
            </w:pPr>
            <w:r w:rsidRPr="00585C13">
              <w:rPr>
                <w:rFonts w:ascii="Calibri" w:hAnsi="Calibri" w:cs="Calibri"/>
                <w:color w:val="002B45"/>
                <w:lang w:val="en-US"/>
              </w:rPr>
              <w:t>(1</w:t>
            </w:r>
            <w:r>
              <w:rPr>
                <w:rFonts w:ascii="Calibri" w:hAnsi="Calibri" w:cs="Calibri"/>
                <w:color w:val="002B45"/>
                <w:lang w:val="en-US"/>
              </w:rPr>
              <w:t>55</w:t>
            </w:r>
            <w:r w:rsidRPr="00585C13">
              <w:rPr>
                <w:rFonts w:ascii="Calibri" w:hAnsi="Calibri" w:cs="Calibri"/>
                <w:color w:val="002B45"/>
                <w:lang w:val="en-US"/>
              </w:rPr>
              <w:t>.1)</w:t>
            </w:r>
          </w:p>
        </w:tc>
        <w:tc>
          <w:tcPr>
            <w:tcW w:w="709" w:type="dxa"/>
            <w:tcBorders>
              <w:top w:val="single" w:sz="4" w:space="0" w:color="999999"/>
              <w:bottom w:val="single" w:sz="12" w:space="0" w:color="999999"/>
            </w:tcBorders>
            <w:shd w:val="clear" w:color="auto" w:fill="E6E6E6"/>
            <w:vAlign w:val="bottom"/>
          </w:tcPr>
          <w:p w:rsidR="00EB5D64" w:rsidRPr="00585C13" w:rsidRDefault="00EB5D64" w:rsidP="00BA6A1A">
            <w:pPr>
              <w:jc w:val="right"/>
              <w:rPr>
                <w:rFonts w:ascii="Calibri" w:hAnsi="Calibri" w:cs="Calibri"/>
                <w:color w:val="002B45"/>
                <w:lang w:val="en-US"/>
              </w:rPr>
            </w:pPr>
            <w:r w:rsidRPr="00585C13">
              <w:rPr>
                <w:rFonts w:ascii="Calibri" w:hAnsi="Calibri" w:cs="Calibri"/>
                <w:color w:val="002B45"/>
                <w:lang w:val="en-US"/>
              </w:rPr>
              <w:t xml:space="preserve"> 2.3 </w:t>
            </w:r>
          </w:p>
        </w:tc>
        <w:tc>
          <w:tcPr>
            <w:tcW w:w="709" w:type="dxa"/>
            <w:tcBorders>
              <w:top w:val="single" w:sz="4" w:space="0" w:color="999999"/>
              <w:bottom w:val="single" w:sz="12" w:space="0" w:color="999999"/>
            </w:tcBorders>
            <w:shd w:val="clear" w:color="auto" w:fill="E6E6E6"/>
            <w:vAlign w:val="bottom"/>
          </w:tcPr>
          <w:p w:rsidR="00EB5D64" w:rsidRPr="00585C13" w:rsidRDefault="00EB5D64" w:rsidP="00BA6A1A">
            <w:pPr>
              <w:jc w:val="right"/>
              <w:rPr>
                <w:rFonts w:ascii="Calibri" w:hAnsi="Calibri" w:cs="Calibri"/>
                <w:color w:val="002B45"/>
                <w:lang w:val="en-US"/>
              </w:rPr>
            </w:pPr>
            <w:r w:rsidRPr="00585C13">
              <w:rPr>
                <w:rFonts w:ascii="Calibri" w:hAnsi="Calibri" w:cs="Calibri"/>
                <w:color w:val="002B45"/>
                <w:lang w:val="en-US"/>
              </w:rPr>
              <w:t xml:space="preserve"> 740.9 </w:t>
            </w:r>
          </w:p>
        </w:tc>
        <w:tc>
          <w:tcPr>
            <w:tcW w:w="709" w:type="dxa"/>
            <w:tcBorders>
              <w:top w:val="single" w:sz="4" w:space="0" w:color="999999"/>
              <w:bottom w:val="single" w:sz="12" w:space="0" w:color="999999"/>
            </w:tcBorders>
            <w:shd w:val="clear" w:color="auto" w:fill="E6E6E6"/>
            <w:vAlign w:val="bottom"/>
          </w:tcPr>
          <w:p w:rsidR="00EB5D64" w:rsidRPr="00585C13" w:rsidRDefault="00EB5D64" w:rsidP="00BA6A1A">
            <w:pPr>
              <w:jc w:val="right"/>
              <w:rPr>
                <w:rFonts w:ascii="Calibri" w:hAnsi="Calibri" w:cs="Calibri"/>
                <w:color w:val="002B45"/>
                <w:lang w:val="en-US"/>
              </w:rPr>
            </w:pPr>
            <w:r w:rsidRPr="00585C13">
              <w:rPr>
                <w:rFonts w:ascii="Calibri" w:hAnsi="Calibri" w:cs="Calibri"/>
                <w:color w:val="002B45"/>
                <w:lang w:val="en-US"/>
              </w:rPr>
              <w:t xml:space="preserve"> 3,984.7 </w:t>
            </w:r>
          </w:p>
        </w:tc>
        <w:tc>
          <w:tcPr>
            <w:tcW w:w="708" w:type="dxa"/>
            <w:tcBorders>
              <w:top w:val="single" w:sz="4" w:space="0" w:color="999999"/>
              <w:bottom w:val="single" w:sz="12" w:space="0" w:color="999999"/>
            </w:tcBorders>
            <w:shd w:val="clear" w:color="auto" w:fill="E6E6E6"/>
            <w:vAlign w:val="bottom"/>
          </w:tcPr>
          <w:p w:rsidR="00EB5D64" w:rsidRPr="00585C13" w:rsidRDefault="00EB5D64" w:rsidP="00BA6A1A">
            <w:pPr>
              <w:jc w:val="right"/>
              <w:rPr>
                <w:rFonts w:ascii="Calibri" w:hAnsi="Calibri" w:cs="Calibri"/>
                <w:color w:val="002B45"/>
                <w:lang w:val="en-US"/>
              </w:rPr>
            </w:pPr>
            <w:r w:rsidRPr="00585C13">
              <w:rPr>
                <w:rFonts w:ascii="Calibri" w:hAnsi="Calibri" w:cs="Calibri"/>
                <w:color w:val="002B45"/>
                <w:lang w:val="en-US"/>
              </w:rPr>
              <w:t xml:space="preserve"> 5,</w:t>
            </w:r>
            <w:r>
              <w:rPr>
                <w:rFonts w:ascii="Calibri" w:hAnsi="Calibri" w:cs="Calibri"/>
                <w:color w:val="002B45"/>
                <w:lang w:val="en-US"/>
              </w:rPr>
              <w:t>322</w:t>
            </w:r>
            <w:r w:rsidRPr="00585C13">
              <w:rPr>
                <w:rFonts w:ascii="Calibri" w:hAnsi="Calibri" w:cs="Calibri"/>
                <w:color w:val="002B45"/>
                <w:lang w:val="en-US"/>
              </w:rPr>
              <w:t xml:space="preserve">.9 </w:t>
            </w:r>
          </w:p>
        </w:tc>
        <w:tc>
          <w:tcPr>
            <w:tcW w:w="851" w:type="dxa"/>
            <w:tcBorders>
              <w:top w:val="single" w:sz="4" w:space="0" w:color="999999"/>
              <w:bottom w:val="single" w:sz="12" w:space="0" w:color="999999"/>
            </w:tcBorders>
            <w:shd w:val="clear" w:color="auto" w:fill="E6E6E6"/>
            <w:vAlign w:val="bottom"/>
          </w:tcPr>
          <w:p w:rsidR="00EB5D64" w:rsidRPr="00585C13" w:rsidRDefault="00EB5D64" w:rsidP="00BA6A1A">
            <w:pPr>
              <w:jc w:val="right"/>
              <w:rPr>
                <w:rFonts w:ascii="Calibri" w:hAnsi="Calibri" w:cs="Calibri"/>
                <w:color w:val="002B45"/>
                <w:lang w:val="en-US"/>
              </w:rPr>
            </w:pPr>
            <w:r w:rsidRPr="00585C13">
              <w:rPr>
                <w:rFonts w:ascii="Calibri" w:hAnsi="Calibri" w:cs="Calibri"/>
                <w:color w:val="002B45"/>
                <w:lang w:val="en-US"/>
              </w:rPr>
              <w:t xml:space="preserve"> 123.5 </w:t>
            </w:r>
          </w:p>
        </w:tc>
        <w:tc>
          <w:tcPr>
            <w:tcW w:w="709" w:type="dxa"/>
            <w:tcBorders>
              <w:top w:val="single" w:sz="4" w:space="0" w:color="999999"/>
              <w:bottom w:val="single" w:sz="12" w:space="0" w:color="999999"/>
            </w:tcBorders>
            <w:shd w:val="clear" w:color="auto" w:fill="E6E6E6"/>
            <w:vAlign w:val="bottom"/>
          </w:tcPr>
          <w:p w:rsidR="00EB5D64" w:rsidRPr="00585C13" w:rsidRDefault="00EB5D64" w:rsidP="00BA6A1A">
            <w:pPr>
              <w:jc w:val="right"/>
              <w:rPr>
                <w:rFonts w:ascii="Calibri" w:hAnsi="Calibri" w:cs="Calibri"/>
                <w:color w:val="002B45"/>
                <w:lang w:val="en-US"/>
              </w:rPr>
            </w:pPr>
            <w:r w:rsidRPr="00585C13">
              <w:rPr>
                <w:rFonts w:ascii="Calibri" w:hAnsi="Calibri" w:cs="Calibri"/>
                <w:color w:val="002B45"/>
                <w:lang w:val="en-US"/>
              </w:rPr>
              <w:t xml:space="preserve"> 5,4</w:t>
            </w:r>
            <w:r>
              <w:rPr>
                <w:rFonts w:ascii="Calibri" w:hAnsi="Calibri" w:cs="Calibri"/>
                <w:color w:val="002B45"/>
                <w:lang w:val="en-US"/>
              </w:rPr>
              <w:t>46</w:t>
            </w:r>
            <w:r w:rsidRPr="00585C13">
              <w:rPr>
                <w:rFonts w:ascii="Calibri" w:hAnsi="Calibri" w:cs="Calibri"/>
                <w:color w:val="002B45"/>
                <w:lang w:val="en-US"/>
              </w:rPr>
              <w:t xml:space="preserve">.4 </w:t>
            </w:r>
          </w:p>
        </w:tc>
      </w:tr>
    </w:tbl>
    <w:p w:rsidR="00871692" w:rsidRPr="00772C45" w:rsidRDefault="00871692" w:rsidP="002106F9">
      <w:pPr>
        <w:pStyle w:val="Footnotes"/>
        <w:numPr>
          <w:ilvl w:val="0"/>
          <w:numId w:val="15"/>
        </w:numPr>
        <w:tabs>
          <w:tab w:val="clear" w:pos="170"/>
        </w:tabs>
        <w:spacing w:before="120" w:after="40" w:line="240" w:lineRule="auto"/>
        <w:ind w:left="284" w:hanging="284"/>
        <w:jc w:val="both"/>
        <w:rPr>
          <w:rFonts w:asciiTheme="minorHAnsi" w:hAnsiTheme="minorHAnsi"/>
          <w:i/>
          <w:color w:val="5F5F5F"/>
          <w:sz w:val="18"/>
          <w:szCs w:val="18"/>
        </w:rPr>
      </w:pPr>
      <w:r w:rsidRPr="00772C45">
        <w:rPr>
          <w:rFonts w:asciiTheme="minorHAnsi" w:hAnsiTheme="minorHAnsi"/>
          <w:i/>
          <w:color w:val="5F5F5F"/>
          <w:sz w:val="18"/>
          <w:szCs w:val="18"/>
        </w:rPr>
        <w:t>The foreign currency translation reserve represents exchange gains and losses arising on translation of foreign currency subsidiaries, monetary items receivable from or payable to a foreign operation for which settlement is neither planned nor likely to occur, which form part of the net investment in a foreign operation, and exchange gains or losses arising on long-term foreign currency borrowings which are a hedge against the Group’s overseas investments.</w:t>
      </w:r>
    </w:p>
    <w:p w:rsidR="00F72249" w:rsidRPr="00772C45" w:rsidRDefault="00871692" w:rsidP="002106F9">
      <w:pPr>
        <w:pStyle w:val="Footnotes"/>
        <w:numPr>
          <w:ilvl w:val="0"/>
          <w:numId w:val="15"/>
        </w:numPr>
        <w:tabs>
          <w:tab w:val="clear" w:pos="170"/>
        </w:tabs>
        <w:spacing w:after="40" w:line="240" w:lineRule="auto"/>
        <w:ind w:left="284" w:hanging="284"/>
        <w:jc w:val="both"/>
        <w:rPr>
          <w:rFonts w:asciiTheme="minorHAnsi" w:hAnsiTheme="minorHAnsi"/>
          <w:i/>
          <w:color w:val="5F5F5F"/>
          <w:sz w:val="18"/>
          <w:szCs w:val="18"/>
        </w:rPr>
      </w:pPr>
      <w:r w:rsidRPr="00772C45">
        <w:rPr>
          <w:rFonts w:asciiTheme="minorHAnsi" w:hAnsiTheme="minorHAnsi"/>
          <w:i/>
          <w:color w:val="5F5F5F"/>
          <w:sz w:val="18"/>
          <w:szCs w:val="18"/>
        </w:rPr>
        <w:t xml:space="preserve">The hedge reserve represents gains and losses on derivatives classified as effective cash flow hedges. </w:t>
      </w:r>
    </w:p>
    <w:p w:rsidR="00871692" w:rsidRPr="009318F0" w:rsidRDefault="00871692" w:rsidP="002106F9">
      <w:pPr>
        <w:pStyle w:val="Tablesub-haeding"/>
        <w:numPr>
          <w:ilvl w:val="0"/>
          <w:numId w:val="15"/>
        </w:numPr>
        <w:ind w:left="284" w:hanging="284"/>
        <w:rPr>
          <w:rFonts w:ascii="Calibri" w:hAnsi="Calibri" w:cs="Calibri"/>
          <w:color w:val="5F5F5F"/>
        </w:rPr>
      </w:pPr>
      <w:r w:rsidRPr="00772C45">
        <w:rPr>
          <w:rFonts w:asciiTheme="minorHAnsi" w:hAnsiTheme="minorHAnsi"/>
          <w:i/>
          <w:color w:val="5F5F5F"/>
          <w:sz w:val="18"/>
          <w:szCs w:val="18"/>
        </w:rPr>
        <w:t>Other reserves include the merger reserve and the treasury shares reserve which represents the cost of shares in Tullow Oil plc purchased in the market and held by the Tullow Oil Employee Trust to satisfy awards held under the Group’s share incentive plans</w:t>
      </w:r>
      <w:r w:rsidR="009E3D53" w:rsidRPr="00772C45">
        <w:rPr>
          <w:rFonts w:asciiTheme="minorHAnsi" w:hAnsiTheme="minorHAnsi"/>
          <w:i/>
          <w:color w:val="5F5F5F"/>
          <w:sz w:val="18"/>
          <w:szCs w:val="18"/>
        </w:rPr>
        <w:t>.</w:t>
      </w:r>
      <w:r w:rsidRPr="00C7007B">
        <w:rPr>
          <w:rFonts w:asciiTheme="minorHAnsi" w:hAnsiTheme="minorHAnsi"/>
          <w:sz w:val="16"/>
          <w:szCs w:val="16"/>
        </w:rPr>
        <w:t xml:space="preserve"> </w:t>
      </w:r>
      <w:r w:rsidRPr="00C7007B">
        <w:rPr>
          <w:rFonts w:asciiTheme="minorHAnsi" w:hAnsiTheme="minorHAnsi"/>
          <w:sz w:val="16"/>
          <w:szCs w:val="16"/>
        </w:rPr>
        <w:br w:type="page"/>
      </w:r>
    </w:p>
    <w:tbl>
      <w:tblPr>
        <w:tblStyle w:val="TableGrid"/>
        <w:tblW w:w="9498" w:type="dxa"/>
        <w:tblLayout w:type="fixed"/>
        <w:tblCellMar>
          <w:right w:w="57" w:type="dxa"/>
        </w:tblCellMar>
        <w:tblLook w:val="01E0" w:firstRow="1" w:lastRow="1" w:firstColumn="1" w:lastColumn="1" w:noHBand="0" w:noVBand="0"/>
      </w:tblPr>
      <w:tblGrid>
        <w:gridCol w:w="6096"/>
        <w:gridCol w:w="1134"/>
        <w:gridCol w:w="1104"/>
        <w:gridCol w:w="1164"/>
      </w:tblGrid>
      <w:tr w:rsidR="002106F9" w:rsidRPr="00E76D01" w:rsidTr="007152F7">
        <w:tc>
          <w:tcPr>
            <w:tcW w:w="9498" w:type="dxa"/>
            <w:gridSpan w:val="4"/>
            <w:tcBorders>
              <w:top w:val="nil"/>
              <w:bottom w:val="nil"/>
            </w:tcBorders>
            <w:vAlign w:val="bottom"/>
          </w:tcPr>
          <w:p w:rsidR="002106F9" w:rsidRPr="002106F9" w:rsidRDefault="002106F9" w:rsidP="00533602">
            <w:pPr>
              <w:pStyle w:val="StyleTableheadingCustomColorRGB1533154"/>
              <w:ind w:left="0"/>
              <w:rPr>
                <w:rFonts w:ascii="Calibri" w:hAnsi="Calibri" w:cs="Calibri"/>
                <w:b/>
              </w:rPr>
            </w:pPr>
            <w:r w:rsidRPr="009318F0">
              <w:rPr>
                <w:rFonts w:ascii="Calibri" w:hAnsi="Calibri" w:cs="Calibri"/>
                <w:b/>
              </w:rPr>
              <w:t xml:space="preserve">Condensed consolidated cash flow statement </w:t>
            </w:r>
          </w:p>
          <w:p w:rsidR="002106F9" w:rsidRPr="002106F9" w:rsidRDefault="002106F9" w:rsidP="00533602">
            <w:pPr>
              <w:pStyle w:val="Tablesub-haeding"/>
              <w:ind w:hanging="85"/>
              <w:rPr>
                <w:rStyle w:val="Bold"/>
                <w:rFonts w:ascii="Calibri" w:hAnsi="Calibri" w:cs="Calibri"/>
                <w:color w:val="5F5F5F"/>
              </w:rPr>
            </w:pPr>
            <w:r>
              <w:rPr>
                <w:rFonts w:ascii="Calibri" w:hAnsi="Calibri" w:cs="Calibri"/>
                <w:color w:val="5F5F5F"/>
              </w:rPr>
              <w:t>Year ended 31 December 2013</w:t>
            </w:r>
          </w:p>
        </w:tc>
      </w:tr>
      <w:tr w:rsidR="00871692" w:rsidRPr="002106F9" w:rsidTr="007152F7">
        <w:tc>
          <w:tcPr>
            <w:tcW w:w="6096" w:type="dxa"/>
            <w:tcBorders>
              <w:top w:val="nil"/>
              <w:bottom w:val="single" w:sz="12" w:space="0" w:color="999999"/>
            </w:tcBorders>
            <w:vAlign w:val="bottom"/>
          </w:tcPr>
          <w:p w:rsidR="00871692" w:rsidRPr="002106F9" w:rsidRDefault="00871692" w:rsidP="002106F9">
            <w:pPr>
              <w:pStyle w:val="Tabletext0"/>
              <w:ind w:left="0"/>
              <w:jc w:val="right"/>
              <w:rPr>
                <w:rFonts w:ascii="Calibri" w:hAnsi="Calibri" w:cs="Calibri"/>
                <w:color w:val="002B45"/>
                <w:sz w:val="20"/>
                <w:szCs w:val="20"/>
              </w:rPr>
            </w:pPr>
          </w:p>
        </w:tc>
        <w:tc>
          <w:tcPr>
            <w:tcW w:w="1134" w:type="dxa"/>
            <w:tcBorders>
              <w:top w:val="nil"/>
              <w:bottom w:val="single" w:sz="12" w:space="0" w:color="999999"/>
            </w:tcBorders>
            <w:vAlign w:val="bottom"/>
          </w:tcPr>
          <w:p w:rsidR="00871692" w:rsidRPr="000C3FB5" w:rsidRDefault="00871692" w:rsidP="002106F9">
            <w:pPr>
              <w:spacing w:line="180" w:lineRule="exact"/>
              <w:ind w:left="0" w:right="113"/>
              <w:jc w:val="right"/>
              <w:rPr>
                <w:rStyle w:val="Bold"/>
                <w:rFonts w:ascii="Calibri" w:hAnsi="Calibri" w:cs="Calibri"/>
                <w:b/>
                <w:color w:val="00305C"/>
                <w:sz w:val="20"/>
                <w:szCs w:val="20"/>
              </w:rPr>
            </w:pPr>
            <w:r w:rsidRPr="000C3FB5">
              <w:rPr>
                <w:rStyle w:val="Bold"/>
                <w:rFonts w:ascii="Calibri" w:hAnsi="Calibri" w:cs="Calibri"/>
                <w:b/>
                <w:color w:val="00305C"/>
                <w:sz w:val="20"/>
                <w:szCs w:val="20"/>
              </w:rPr>
              <w:t>Notes</w:t>
            </w:r>
          </w:p>
        </w:tc>
        <w:tc>
          <w:tcPr>
            <w:tcW w:w="1104" w:type="dxa"/>
            <w:tcBorders>
              <w:top w:val="nil"/>
              <w:bottom w:val="single" w:sz="12" w:space="0" w:color="999999"/>
            </w:tcBorders>
            <w:vAlign w:val="bottom"/>
          </w:tcPr>
          <w:p w:rsidR="00871692" w:rsidRPr="002106F9" w:rsidRDefault="00871692" w:rsidP="002106F9">
            <w:pPr>
              <w:spacing w:line="180" w:lineRule="exact"/>
              <w:ind w:left="0" w:right="113"/>
              <w:jc w:val="right"/>
              <w:rPr>
                <w:rStyle w:val="Bold"/>
                <w:rFonts w:ascii="Calibri" w:hAnsi="Calibri" w:cs="Calibri"/>
                <w:b/>
                <w:color w:val="002B45"/>
                <w:sz w:val="20"/>
                <w:szCs w:val="20"/>
              </w:rPr>
            </w:pPr>
            <w:r w:rsidRPr="002106F9">
              <w:rPr>
                <w:rStyle w:val="Bold"/>
                <w:rFonts w:ascii="Calibri" w:hAnsi="Calibri" w:cs="Calibri"/>
                <w:b/>
                <w:color w:val="002B45"/>
                <w:sz w:val="20"/>
                <w:szCs w:val="20"/>
              </w:rPr>
              <w:t>2013</w:t>
            </w:r>
            <w:r w:rsidRPr="002106F9">
              <w:rPr>
                <w:rStyle w:val="Bold"/>
                <w:rFonts w:ascii="Calibri" w:hAnsi="Calibri" w:cs="Calibri"/>
                <w:b/>
                <w:color w:val="002B45"/>
                <w:sz w:val="20"/>
                <w:szCs w:val="20"/>
              </w:rPr>
              <w:br/>
              <w:t>$m</w:t>
            </w:r>
          </w:p>
        </w:tc>
        <w:tc>
          <w:tcPr>
            <w:tcW w:w="1164" w:type="dxa"/>
            <w:tcBorders>
              <w:top w:val="nil"/>
              <w:bottom w:val="single" w:sz="12" w:space="0" w:color="999999"/>
            </w:tcBorders>
            <w:vAlign w:val="bottom"/>
          </w:tcPr>
          <w:p w:rsidR="00871692" w:rsidRPr="002106F9" w:rsidRDefault="00871692" w:rsidP="002106F9">
            <w:pPr>
              <w:spacing w:line="180" w:lineRule="exact"/>
              <w:ind w:left="0" w:right="113"/>
              <w:jc w:val="right"/>
              <w:rPr>
                <w:rStyle w:val="Bold"/>
                <w:rFonts w:ascii="Calibri" w:hAnsi="Calibri" w:cs="Calibri"/>
                <w:b/>
                <w:color w:val="002B45"/>
                <w:sz w:val="20"/>
                <w:szCs w:val="20"/>
              </w:rPr>
            </w:pPr>
            <w:r w:rsidRPr="002106F9">
              <w:rPr>
                <w:rStyle w:val="Bold"/>
                <w:rFonts w:ascii="Calibri" w:hAnsi="Calibri" w:cs="Calibri"/>
                <w:b/>
                <w:color w:val="002B45"/>
                <w:sz w:val="20"/>
                <w:szCs w:val="20"/>
              </w:rPr>
              <w:t>2012</w:t>
            </w:r>
            <w:r w:rsidRPr="002106F9">
              <w:rPr>
                <w:rStyle w:val="Bold"/>
                <w:rFonts w:ascii="Calibri" w:hAnsi="Calibri" w:cs="Calibri"/>
                <w:b/>
                <w:color w:val="002B45"/>
                <w:sz w:val="20"/>
                <w:szCs w:val="20"/>
              </w:rPr>
              <w:br/>
              <w:t>$m</w:t>
            </w:r>
          </w:p>
        </w:tc>
      </w:tr>
      <w:tr w:rsidR="00871692" w:rsidRPr="00C44CA2" w:rsidTr="007152F7">
        <w:trPr>
          <w:trHeight w:val="283"/>
        </w:trPr>
        <w:tc>
          <w:tcPr>
            <w:tcW w:w="6096" w:type="dxa"/>
            <w:tcBorders>
              <w:top w:val="single" w:sz="12" w:space="0" w:color="999999"/>
              <w:bottom w:val="nil"/>
            </w:tcBorders>
            <w:tcMar>
              <w:top w:w="0" w:type="nil"/>
              <w:left w:w="0" w:type="nil"/>
              <w:bottom w:w="0" w:type="nil"/>
              <w:right w:w="0" w:type="nil"/>
            </w:tcMar>
          </w:tcPr>
          <w:p w:rsidR="00871692" w:rsidRPr="00D820ED" w:rsidRDefault="00871692" w:rsidP="002106F9">
            <w:pPr>
              <w:pStyle w:val="Tabletext0"/>
              <w:ind w:left="0"/>
              <w:rPr>
                <w:rFonts w:ascii="Calibri" w:hAnsi="Calibri" w:cs="Calibri"/>
                <w:b/>
                <w:color w:val="002B45"/>
              </w:rPr>
            </w:pPr>
            <w:r w:rsidRPr="00D820ED">
              <w:rPr>
                <w:rFonts w:ascii="Calibri" w:hAnsi="Calibri" w:cs="Calibri"/>
                <w:b/>
                <w:color w:val="002B45"/>
              </w:rPr>
              <w:t>Cash flows from operating activities</w:t>
            </w:r>
          </w:p>
        </w:tc>
        <w:tc>
          <w:tcPr>
            <w:tcW w:w="1134" w:type="dxa"/>
            <w:tcBorders>
              <w:top w:val="single" w:sz="12" w:space="0" w:color="999999"/>
              <w:bottom w:val="nil"/>
            </w:tcBorders>
            <w:tcMar>
              <w:top w:w="0" w:type="nil"/>
              <w:left w:w="0" w:type="nil"/>
              <w:bottom w:w="0" w:type="nil"/>
              <w:right w:w="0" w:type="nil"/>
            </w:tcMar>
          </w:tcPr>
          <w:p w:rsidR="00871692" w:rsidRPr="000C3FB5" w:rsidRDefault="00871692" w:rsidP="002106F9">
            <w:pPr>
              <w:ind w:right="113"/>
              <w:jc w:val="right"/>
              <w:rPr>
                <w:color w:val="00305C"/>
              </w:rPr>
            </w:pPr>
          </w:p>
        </w:tc>
        <w:tc>
          <w:tcPr>
            <w:tcW w:w="1104" w:type="dxa"/>
            <w:tcBorders>
              <w:top w:val="single" w:sz="12" w:space="0" w:color="999999"/>
              <w:bottom w:val="nil"/>
            </w:tcBorders>
            <w:shd w:val="clear" w:color="auto" w:fill="E6E6E6"/>
            <w:tcMar>
              <w:top w:w="0" w:type="nil"/>
              <w:left w:w="0" w:type="nil"/>
              <w:bottom w:w="0" w:type="nil"/>
              <w:right w:w="0" w:type="nil"/>
            </w:tcMar>
          </w:tcPr>
          <w:p w:rsidR="00871692" w:rsidRPr="00792862" w:rsidRDefault="00871692" w:rsidP="002106F9">
            <w:pPr>
              <w:ind w:right="113"/>
              <w:jc w:val="right"/>
            </w:pPr>
          </w:p>
        </w:tc>
        <w:tc>
          <w:tcPr>
            <w:tcW w:w="1164" w:type="dxa"/>
            <w:tcBorders>
              <w:top w:val="single" w:sz="12" w:space="0" w:color="999999"/>
              <w:bottom w:val="nil"/>
            </w:tcBorders>
            <w:tcMar>
              <w:top w:w="0" w:type="nil"/>
              <w:left w:w="0" w:type="nil"/>
              <w:bottom w:w="0" w:type="nil"/>
              <w:right w:w="0" w:type="nil"/>
            </w:tcMar>
          </w:tcPr>
          <w:p w:rsidR="00871692" w:rsidRPr="00792862" w:rsidRDefault="00871692" w:rsidP="002106F9">
            <w:pPr>
              <w:ind w:right="113"/>
              <w:jc w:val="right"/>
            </w:pPr>
          </w:p>
        </w:tc>
      </w:tr>
      <w:tr w:rsidR="00871692" w:rsidRPr="00C44CA2" w:rsidTr="007152F7">
        <w:trPr>
          <w:trHeight w:val="283"/>
        </w:trPr>
        <w:tc>
          <w:tcPr>
            <w:tcW w:w="6096" w:type="dxa"/>
            <w:tcBorders>
              <w:top w:val="nil"/>
              <w:bottom w:val="nil"/>
            </w:tcBorders>
            <w:tcMar>
              <w:top w:w="0" w:type="nil"/>
              <w:left w:w="0" w:type="nil"/>
              <w:bottom w:w="0" w:type="nil"/>
              <w:right w:w="0" w:type="nil"/>
            </w:tcMar>
          </w:tcPr>
          <w:p w:rsidR="00871692" w:rsidRPr="00D820ED" w:rsidRDefault="00871692" w:rsidP="002106F9">
            <w:pPr>
              <w:pStyle w:val="Tabletext0"/>
              <w:ind w:left="0"/>
              <w:rPr>
                <w:rFonts w:ascii="Calibri" w:hAnsi="Calibri" w:cs="Calibri"/>
                <w:color w:val="002B45"/>
              </w:rPr>
            </w:pPr>
            <w:r w:rsidRPr="00D820ED">
              <w:rPr>
                <w:rFonts w:ascii="Calibri" w:hAnsi="Calibri" w:cs="Calibri"/>
                <w:color w:val="002B45"/>
              </w:rPr>
              <w:t xml:space="preserve">Profit before taxation </w:t>
            </w:r>
          </w:p>
        </w:tc>
        <w:tc>
          <w:tcPr>
            <w:tcW w:w="1134" w:type="dxa"/>
            <w:tcBorders>
              <w:top w:val="nil"/>
              <w:bottom w:val="nil"/>
            </w:tcBorders>
            <w:tcMar>
              <w:top w:w="0" w:type="nil"/>
              <w:left w:w="0" w:type="nil"/>
              <w:bottom w:w="0" w:type="nil"/>
              <w:right w:w="0" w:type="nil"/>
            </w:tcMar>
          </w:tcPr>
          <w:p w:rsidR="00871692" w:rsidRPr="000C3FB5" w:rsidRDefault="00871692" w:rsidP="002106F9">
            <w:pPr>
              <w:ind w:right="113"/>
              <w:jc w:val="right"/>
              <w:rPr>
                <w:color w:val="00305C"/>
              </w:rPr>
            </w:pPr>
          </w:p>
        </w:tc>
        <w:tc>
          <w:tcPr>
            <w:tcW w:w="1104" w:type="dxa"/>
            <w:tcBorders>
              <w:top w:val="nil"/>
              <w:bottom w:val="nil"/>
            </w:tcBorders>
            <w:shd w:val="clear" w:color="auto" w:fill="E6E6E6"/>
            <w:tcMar>
              <w:top w:w="0" w:type="nil"/>
              <w:left w:w="0" w:type="nil"/>
              <w:bottom w:w="0" w:type="nil"/>
              <w:right w:w="0" w:type="nil"/>
            </w:tcMar>
          </w:tcPr>
          <w:p w:rsidR="00871692" w:rsidRPr="00C7007B" w:rsidRDefault="00871692" w:rsidP="002106F9">
            <w:pPr>
              <w:ind w:left="0" w:right="113"/>
              <w:jc w:val="right"/>
              <w:rPr>
                <w:rFonts w:ascii="Calibri" w:hAnsi="Calibri" w:cs="Calibri"/>
                <w:color w:val="002B45"/>
                <w:lang w:val="en-US"/>
              </w:rPr>
            </w:pPr>
            <w:r w:rsidRPr="00C7007B">
              <w:rPr>
                <w:rFonts w:ascii="Calibri" w:hAnsi="Calibri" w:cs="Calibri"/>
                <w:color w:val="002B45"/>
                <w:lang w:val="en-US"/>
              </w:rPr>
              <w:t xml:space="preserve"> 313.2 </w:t>
            </w:r>
          </w:p>
        </w:tc>
        <w:tc>
          <w:tcPr>
            <w:tcW w:w="1164" w:type="dxa"/>
            <w:tcBorders>
              <w:top w:val="nil"/>
              <w:bottom w:val="nil"/>
            </w:tcBorders>
            <w:tcMar>
              <w:top w:w="0" w:type="nil"/>
              <w:left w:w="0" w:type="nil"/>
              <w:bottom w:w="0" w:type="nil"/>
              <w:right w:w="0" w:type="nil"/>
            </w:tcMar>
          </w:tcPr>
          <w:p w:rsidR="00871692" w:rsidRPr="00C7007B" w:rsidRDefault="00871692" w:rsidP="002106F9">
            <w:pPr>
              <w:ind w:left="0" w:right="113"/>
              <w:jc w:val="right"/>
              <w:rPr>
                <w:rFonts w:ascii="Calibri" w:hAnsi="Calibri" w:cs="Calibri"/>
                <w:color w:val="002B45"/>
                <w:lang w:val="en-US"/>
              </w:rPr>
            </w:pPr>
            <w:r w:rsidRPr="00C7007B">
              <w:rPr>
                <w:rFonts w:ascii="Calibri" w:hAnsi="Calibri" w:cs="Calibri"/>
                <w:color w:val="002B45"/>
                <w:lang w:val="en-US"/>
              </w:rPr>
              <w:t xml:space="preserve"> 1,115.9 </w:t>
            </w:r>
          </w:p>
        </w:tc>
      </w:tr>
      <w:tr w:rsidR="00871692" w:rsidRPr="00C44CA2" w:rsidTr="007152F7">
        <w:trPr>
          <w:trHeight w:val="283"/>
        </w:trPr>
        <w:tc>
          <w:tcPr>
            <w:tcW w:w="6096" w:type="dxa"/>
            <w:tcBorders>
              <w:top w:val="nil"/>
              <w:bottom w:val="nil"/>
            </w:tcBorders>
            <w:tcMar>
              <w:top w:w="0" w:type="nil"/>
              <w:left w:w="0" w:type="nil"/>
              <w:bottom w:w="0" w:type="nil"/>
              <w:right w:w="0" w:type="nil"/>
            </w:tcMar>
          </w:tcPr>
          <w:p w:rsidR="00871692" w:rsidRPr="00D820ED" w:rsidRDefault="00871692" w:rsidP="002106F9">
            <w:pPr>
              <w:pStyle w:val="Tabletext0"/>
              <w:ind w:left="0"/>
              <w:rPr>
                <w:rFonts w:ascii="Calibri" w:hAnsi="Calibri" w:cs="Calibri"/>
                <w:color w:val="002B45"/>
              </w:rPr>
            </w:pPr>
            <w:r w:rsidRPr="00D820ED">
              <w:rPr>
                <w:rFonts w:ascii="Calibri" w:hAnsi="Calibri" w:cs="Calibri"/>
                <w:color w:val="002B45"/>
              </w:rPr>
              <w:t xml:space="preserve">Adjustments for: </w:t>
            </w:r>
          </w:p>
        </w:tc>
        <w:tc>
          <w:tcPr>
            <w:tcW w:w="1134" w:type="dxa"/>
            <w:tcBorders>
              <w:top w:val="nil"/>
              <w:bottom w:val="nil"/>
            </w:tcBorders>
            <w:tcMar>
              <w:top w:w="0" w:type="nil"/>
              <w:left w:w="0" w:type="nil"/>
              <w:bottom w:w="0" w:type="nil"/>
              <w:right w:w="0" w:type="nil"/>
            </w:tcMar>
          </w:tcPr>
          <w:p w:rsidR="00871692" w:rsidRPr="000C3FB5" w:rsidRDefault="00871692" w:rsidP="002106F9">
            <w:pPr>
              <w:ind w:right="113"/>
              <w:jc w:val="right"/>
              <w:rPr>
                <w:color w:val="00305C"/>
              </w:rPr>
            </w:pPr>
          </w:p>
        </w:tc>
        <w:tc>
          <w:tcPr>
            <w:tcW w:w="1104" w:type="dxa"/>
            <w:tcBorders>
              <w:top w:val="nil"/>
              <w:bottom w:val="nil"/>
            </w:tcBorders>
            <w:shd w:val="clear" w:color="auto" w:fill="E6E6E6"/>
            <w:tcMar>
              <w:top w:w="0" w:type="nil"/>
              <w:left w:w="0" w:type="nil"/>
              <w:bottom w:w="0" w:type="nil"/>
              <w:right w:w="0" w:type="nil"/>
            </w:tcMar>
          </w:tcPr>
          <w:p w:rsidR="00871692" w:rsidRPr="00C7007B" w:rsidRDefault="00871692" w:rsidP="002106F9">
            <w:pPr>
              <w:ind w:left="0" w:right="113"/>
              <w:jc w:val="right"/>
              <w:rPr>
                <w:rFonts w:ascii="Calibri" w:hAnsi="Calibri" w:cs="Calibri"/>
                <w:color w:val="002B45"/>
                <w:lang w:val="en-US"/>
              </w:rPr>
            </w:pPr>
          </w:p>
        </w:tc>
        <w:tc>
          <w:tcPr>
            <w:tcW w:w="1164" w:type="dxa"/>
            <w:tcBorders>
              <w:top w:val="nil"/>
              <w:bottom w:val="nil"/>
            </w:tcBorders>
            <w:tcMar>
              <w:top w:w="0" w:type="nil"/>
              <w:left w:w="0" w:type="nil"/>
              <w:bottom w:w="0" w:type="nil"/>
              <w:right w:w="0" w:type="nil"/>
            </w:tcMar>
          </w:tcPr>
          <w:p w:rsidR="00871692" w:rsidRPr="00C7007B" w:rsidRDefault="00871692" w:rsidP="002106F9">
            <w:pPr>
              <w:ind w:left="0" w:right="113"/>
              <w:jc w:val="right"/>
              <w:rPr>
                <w:rFonts w:ascii="Calibri" w:hAnsi="Calibri" w:cs="Calibri"/>
                <w:color w:val="002B45"/>
                <w:lang w:val="en-US"/>
              </w:rPr>
            </w:pPr>
          </w:p>
        </w:tc>
      </w:tr>
      <w:tr w:rsidR="00871692" w:rsidRPr="00C44CA2" w:rsidTr="007152F7">
        <w:trPr>
          <w:trHeight w:val="283"/>
        </w:trPr>
        <w:tc>
          <w:tcPr>
            <w:tcW w:w="6096" w:type="dxa"/>
            <w:tcBorders>
              <w:top w:val="nil"/>
              <w:bottom w:val="nil"/>
            </w:tcBorders>
            <w:tcMar>
              <w:top w:w="0" w:type="nil"/>
              <w:left w:w="0" w:type="nil"/>
              <w:bottom w:w="0" w:type="nil"/>
              <w:right w:w="0" w:type="nil"/>
            </w:tcMar>
          </w:tcPr>
          <w:p w:rsidR="00871692" w:rsidRPr="00D820ED" w:rsidRDefault="00871692" w:rsidP="002106F9">
            <w:pPr>
              <w:pStyle w:val="Tabletext0"/>
              <w:ind w:left="0"/>
              <w:rPr>
                <w:rFonts w:ascii="Calibri" w:hAnsi="Calibri" w:cs="Calibri"/>
                <w:color w:val="002B45"/>
              </w:rPr>
            </w:pPr>
            <w:r w:rsidRPr="00D820ED">
              <w:rPr>
                <w:rFonts w:ascii="Calibri" w:hAnsi="Calibri" w:cs="Calibri"/>
                <w:color w:val="002B45"/>
              </w:rPr>
              <w:t xml:space="preserve">Depletion, depreciation and amortisation </w:t>
            </w:r>
          </w:p>
        </w:tc>
        <w:tc>
          <w:tcPr>
            <w:tcW w:w="1134" w:type="dxa"/>
            <w:tcBorders>
              <w:top w:val="nil"/>
              <w:bottom w:val="nil"/>
            </w:tcBorders>
            <w:tcMar>
              <w:top w:w="0" w:type="nil"/>
              <w:left w:w="0" w:type="nil"/>
              <w:bottom w:w="0" w:type="nil"/>
              <w:right w:w="0" w:type="nil"/>
            </w:tcMar>
          </w:tcPr>
          <w:p w:rsidR="00871692" w:rsidRPr="000C3FB5" w:rsidRDefault="00871692" w:rsidP="002106F9">
            <w:pPr>
              <w:ind w:right="113"/>
              <w:jc w:val="right"/>
              <w:rPr>
                <w:color w:val="00305C"/>
              </w:rPr>
            </w:pPr>
          </w:p>
        </w:tc>
        <w:tc>
          <w:tcPr>
            <w:tcW w:w="1104" w:type="dxa"/>
            <w:tcBorders>
              <w:top w:val="nil"/>
              <w:bottom w:val="nil"/>
            </w:tcBorders>
            <w:shd w:val="clear" w:color="auto" w:fill="E6E6E6"/>
            <w:tcMar>
              <w:top w:w="0" w:type="nil"/>
              <w:left w:w="0" w:type="nil"/>
              <w:bottom w:w="0" w:type="nil"/>
              <w:right w:w="0" w:type="nil"/>
            </w:tcMar>
          </w:tcPr>
          <w:p w:rsidR="00871692" w:rsidRPr="00C7007B" w:rsidRDefault="00871692" w:rsidP="002106F9">
            <w:pPr>
              <w:ind w:left="0" w:right="113"/>
              <w:jc w:val="right"/>
              <w:rPr>
                <w:rFonts w:ascii="Calibri" w:hAnsi="Calibri" w:cs="Calibri"/>
                <w:color w:val="002B45"/>
                <w:lang w:val="en-US"/>
              </w:rPr>
            </w:pPr>
            <w:r w:rsidRPr="00C7007B">
              <w:rPr>
                <w:rFonts w:ascii="Calibri" w:hAnsi="Calibri" w:cs="Calibri"/>
                <w:color w:val="002B45"/>
                <w:lang w:val="en-US"/>
              </w:rPr>
              <w:t xml:space="preserve"> 591.9 </w:t>
            </w:r>
          </w:p>
        </w:tc>
        <w:tc>
          <w:tcPr>
            <w:tcW w:w="1164" w:type="dxa"/>
            <w:tcBorders>
              <w:top w:val="nil"/>
              <w:bottom w:val="nil"/>
            </w:tcBorders>
            <w:tcMar>
              <w:top w:w="0" w:type="nil"/>
              <w:left w:w="0" w:type="nil"/>
              <w:bottom w:w="0" w:type="nil"/>
              <w:right w:w="0" w:type="nil"/>
            </w:tcMar>
          </w:tcPr>
          <w:p w:rsidR="00871692" w:rsidRPr="00C7007B" w:rsidRDefault="00871692" w:rsidP="002106F9">
            <w:pPr>
              <w:ind w:left="0" w:right="113"/>
              <w:jc w:val="right"/>
              <w:rPr>
                <w:rFonts w:ascii="Calibri" w:hAnsi="Calibri" w:cs="Calibri"/>
                <w:color w:val="002B45"/>
                <w:lang w:val="en-US"/>
              </w:rPr>
            </w:pPr>
            <w:r w:rsidRPr="00C7007B">
              <w:rPr>
                <w:rFonts w:ascii="Calibri" w:hAnsi="Calibri" w:cs="Calibri"/>
                <w:color w:val="002B45"/>
                <w:lang w:val="en-US"/>
              </w:rPr>
              <w:t xml:space="preserve"> 561.9 </w:t>
            </w:r>
          </w:p>
        </w:tc>
      </w:tr>
      <w:tr w:rsidR="00871692" w:rsidRPr="00C44CA2" w:rsidTr="007152F7">
        <w:trPr>
          <w:trHeight w:val="283"/>
        </w:trPr>
        <w:tc>
          <w:tcPr>
            <w:tcW w:w="6096" w:type="dxa"/>
            <w:tcBorders>
              <w:top w:val="nil"/>
              <w:bottom w:val="nil"/>
            </w:tcBorders>
            <w:tcMar>
              <w:top w:w="0" w:type="nil"/>
              <w:left w:w="0" w:type="nil"/>
              <w:bottom w:w="0" w:type="nil"/>
              <w:right w:w="0" w:type="nil"/>
            </w:tcMar>
          </w:tcPr>
          <w:p w:rsidR="00871692" w:rsidRPr="00D820ED" w:rsidRDefault="00871692" w:rsidP="002106F9">
            <w:pPr>
              <w:pStyle w:val="Tabletext0"/>
              <w:ind w:left="0"/>
              <w:rPr>
                <w:rFonts w:ascii="Calibri" w:hAnsi="Calibri" w:cs="Calibri"/>
                <w:color w:val="002B45"/>
              </w:rPr>
            </w:pPr>
            <w:r w:rsidRPr="00D820ED">
              <w:rPr>
                <w:rFonts w:ascii="Calibri" w:hAnsi="Calibri" w:cs="Calibri"/>
                <w:color w:val="002B45"/>
              </w:rPr>
              <w:t>Impairment loss</w:t>
            </w:r>
          </w:p>
        </w:tc>
        <w:tc>
          <w:tcPr>
            <w:tcW w:w="1134" w:type="dxa"/>
            <w:tcBorders>
              <w:top w:val="nil"/>
              <w:bottom w:val="nil"/>
            </w:tcBorders>
            <w:tcMar>
              <w:top w:w="0" w:type="nil"/>
              <w:left w:w="0" w:type="nil"/>
              <w:bottom w:w="0" w:type="nil"/>
              <w:right w:w="0" w:type="nil"/>
            </w:tcMar>
          </w:tcPr>
          <w:p w:rsidR="00871692" w:rsidRPr="000C3FB5" w:rsidRDefault="00871692" w:rsidP="002106F9">
            <w:pPr>
              <w:ind w:right="113"/>
              <w:jc w:val="right"/>
              <w:rPr>
                <w:color w:val="00305C"/>
              </w:rPr>
            </w:pPr>
          </w:p>
        </w:tc>
        <w:tc>
          <w:tcPr>
            <w:tcW w:w="1104" w:type="dxa"/>
            <w:tcBorders>
              <w:top w:val="nil"/>
              <w:bottom w:val="nil"/>
            </w:tcBorders>
            <w:shd w:val="clear" w:color="auto" w:fill="E6E6E6"/>
            <w:tcMar>
              <w:top w:w="0" w:type="nil"/>
              <w:left w:w="0" w:type="nil"/>
              <w:bottom w:w="0" w:type="nil"/>
              <w:right w:w="0" w:type="nil"/>
            </w:tcMar>
          </w:tcPr>
          <w:p w:rsidR="00871692" w:rsidRPr="00C7007B" w:rsidRDefault="00871692" w:rsidP="002106F9">
            <w:pPr>
              <w:ind w:left="0" w:right="113"/>
              <w:jc w:val="right"/>
              <w:rPr>
                <w:rFonts w:ascii="Calibri" w:hAnsi="Calibri" w:cs="Calibri"/>
                <w:color w:val="002B45"/>
                <w:lang w:val="en-US"/>
              </w:rPr>
            </w:pPr>
            <w:r w:rsidRPr="00C7007B">
              <w:rPr>
                <w:rFonts w:ascii="Calibri" w:hAnsi="Calibri" w:cs="Calibri"/>
                <w:color w:val="002B45"/>
                <w:lang w:val="en-US"/>
              </w:rPr>
              <w:t xml:space="preserve"> 52.7 </w:t>
            </w:r>
          </w:p>
        </w:tc>
        <w:tc>
          <w:tcPr>
            <w:tcW w:w="1164" w:type="dxa"/>
            <w:tcBorders>
              <w:top w:val="nil"/>
              <w:bottom w:val="nil"/>
            </w:tcBorders>
            <w:tcMar>
              <w:top w:w="0" w:type="nil"/>
              <w:left w:w="0" w:type="nil"/>
              <w:bottom w:w="0" w:type="nil"/>
              <w:right w:w="0" w:type="nil"/>
            </w:tcMar>
          </w:tcPr>
          <w:p w:rsidR="00871692" w:rsidRPr="00C7007B" w:rsidRDefault="00871692" w:rsidP="002106F9">
            <w:pPr>
              <w:ind w:left="0" w:right="113"/>
              <w:jc w:val="right"/>
              <w:rPr>
                <w:rFonts w:ascii="Calibri" w:hAnsi="Calibri" w:cs="Calibri"/>
                <w:color w:val="002B45"/>
                <w:lang w:val="en-US"/>
              </w:rPr>
            </w:pPr>
            <w:r w:rsidRPr="00C7007B">
              <w:rPr>
                <w:rFonts w:ascii="Calibri" w:hAnsi="Calibri" w:cs="Calibri"/>
                <w:color w:val="002B45"/>
                <w:lang w:val="en-US"/>
              </w:rPr>
              <w:t xml:space="preserve"> 31.3 </w:t>
            </w:r>
          </w:p>
        </w:tc>
      </w:tr>
      <w:tr w:rsidR="00871692" w:rsidRPr="00C44CA2" w:rsidTr="007152F7">
        <w:trPr>
          <w:trHeight w:val="283"/>
        </w:trPr>
        <w:tc>
          <w:tcPr>
            <w:tcW w:w="6096" w:type="dxa"/>
            <w:tcBorders>
              <w:top w:val="nil"/>
              <w:bottom w:val="nil"/>
            </w:tcBorders>
            <w:tcMar>
              <w:top w:w="0" w:type="nil"/>
              <w:left w:w="0" w:type="nil"/>
              <w:bottom w:w="0" w:type="nil"/>
              <w:right w:w="0" w:type="nil"/>
            </w:tcMar>
          </w:tcPr>
          <w:p w:rsidR="00871692" w:rsidRPr="00D820ED" w:rsidRDefault="00871692" w:rsidP="002106F9">
            <w:pPr>
              <w:pStyle w:val="Tabletext0"/>
              <w:ind w:left="0"/>
              <w:rPr>
                <w:rFonts w:ascii="Calibri" w:hAnsi="Calibri" w:cs="Calibri"/>
                <w:color w:val="002B45"/>
              </w:rPr>
            </w:pPr>
            <w:r w:rsidRPr="00D820ED">
              <w:rPr>
                <w:rFonts w:ascii="Calibri" w:hAnsi="Calibri" w:cs="Calibri"/>
                <w:color w:val="002B45"/>
              </w:rPr>
              <w:t xml:space="preserve">Exploration costs written off </w:t>
            </w:r>
          </w:p>
        </w:tc>
        <w:tc>
          <w:tcPr>
            <w:tcW w:w="1134" w:type="dxa"/>
            <w:tcBorders>
              <w:top w:val="nil"/>
              <w:bottom w:val="nil"/>
            </w:tcBorders>
            <w:tcMar>
              <w:top w:w="0" w:type="nil"/>
              <w:left w:w="0" w:type="nil"/>
              <w:bottom w:w="0" w:type="nil"/>
              <w:right w:w="0" w:type="nil"/>
            </w:tcMar>
          </w:tcPr>
          <w:p w:rsidR="00871692" w:rsidRPr="000C3FB5" w:rsidRDefault="00871692" w:rsidP="002106F9">
            <w:pPr>
              <w:ind w:right="113"/>
              <w:jc w:val="right"/>
              <w:rPr>
                <w:color w:val="00305C"/>
              </w:rPr>
            </w:pPr>
          </w:p>
        </w:tc>
        <w:tc>
          <w:tcPr>
            <w:tcW w:w="1104" w:type="dxa"/>
            <w:tcBorders>
              <w:top w:val="nil"/>
              <w:bottom w:val="nil"/>
            </w:tcBorders>
            <w:shd w:val="clear" w:color="auto" w:fill="E6E6E6"/>
            <w:tcMar>
              <w:top w:w="0" w:type="nil"/>
              <w:left w:w="0" w:type="nil"/>
              <w:bottom w:w="0" w:type="nil"/>
              <w:right w:w="0" w:type="nil"/>
            </w:tcMar>
          </w:tcPr>
          <w:p w:rsidR="00871692" w:rsidRPr="00C7007B" w:rsidRDefault="00871692" w:rsidP="002106F9">
            <w:pPr>
              <w:ind w:left="0" w:right="113"/>
              <w:jc w:val="right"/>
              <w:rPr>
                <w:rFonts w:ascii="Calibri" w:hAnsi="Calibri" w:cs="Calibri"/>
                <w:color w:val="002B45"/>
                <w:lang w:val="en-US"/>
              </w:rPr>
            </w:pPr>
            <w:r w:rsidRPr="00C7007B">
              <w:rPr>
                <w:rFonts w:ascii="Calibri" w:hAnsi="Calibri" w:cs="Calibri"/>
                <w:color w:val="002B45"/>
                <w:lang w:val="en-US"/>
              </w:rPr>
              <w:t xml:space="preserve"> 870.6 </w:t>
            </w:r>
          </w:p>
        </w:tc>
        <w:tc>
          <w:tcPr>
            <w:tcW w:w="1164" w:type="dxa"/>
            <w:tcBorders>
              <w:top w:val="nil"/>
              <w:bottom w:val="nil"/>
            </w:tcBorders>
            <w:tcMar>
              <w:top w:w="0" w:type="nil"/>
              <w:left w:w="0" w:type="nil"/>
              <w:bottom w:w="0" w:type="nil"/>
              <w:right w:w="0" w:type="nil"/>
            </w:tcMar>
          </w:tcPr>
          <w:p w:rsidR="00871692" w:rsidRPr="00C7007B" w:rsidRDefault="00871692" w:rsidP="002106F9">
            <w:pPr>
              <w:ind w:left="0" w:right="113"/>
              <w:jc w:val="right"/>
              <w:rPr>
                <w:rFonts w:ascii="Calibri" w:hAnsi="Calibri" w:cs="Calibri"/>
                <w:color w:val="002B45"/>
                <w:lang w:val="en-US"/>
              </w:rPr>
            </w:pPr>
            <w:r w:rsidRPr="00C7007B">
              <w:rPr>
                <w:rFonts w:ascii="Calibri" w:hAnsi="Calibri" w:cs="Calibri"/>
                <w:color w:val="002B45"/>
                <w:lang w:val="en-US"/>
              </w:rPr>
              <w:t xml:space="preserve"> 670.9 </w:t>
            </w:r>
          </w:p>
        </w:tc>
      </w:tr>
      <w:tr w:rsidR="00871692" w:rsidRPr="00C44CA2" w:rsidTr="007152F7">
        <w:trPr>
          <w:trHeight w:val="283"/>
        </w:trPr>
        <w:tc>
          <w:tcPr>
            <w:tcW w:w="6096" w:type="dxa"/>
            <w:tcBorders>
              <w:top w:val="nil"/>
              <w:bottom w:val="nil"/>
            </w:tcBorders>
            <w:tcMar>
              <w:top w:w="0" w:type="nil"/>
              <w:left w:w="0" w:type="nil"/>
              <w:bottom w:w="0" w:type="nil"/>
              <w:right w:w="0" w:type="nil"/>
            </w:tcMar>
          </w:tcPr>
          <w:p w:rsidR="00871692" w:rsidRPr="00D820ED" w:rsidRDefault="00263A06" w:rsidP="00263A06">
            <w:pPr>
              <w:pStyle w:val="Tabletext0"/>
              <w:ind w:left="0"/>
              <w:rPr>
                <w:rFonts w:ascii="Calibri" w:hAnsi="Calibri" w:cs="Calibri"/>
                <w:color w:val="002B45"/>
              </w:rPr>
            </w:pPr>
            <w:r>
              <w:rPr>
                <w:rFonts w:ascii="Calibri" w:hAnsi="Calibri" w:cs="Calibri"/>
                <w:color w:val="002B45"/>
              </w:rPr>
              <w:t>P</w:t>
            </w:r>
            <w:r w:rsidR="00871692" w:rsidRPr="00D820ED">
              <w:rPr>
                <w:rFonts w:ascii="Calibri" w:hAnsi="Calibri" w:cs="Calibri"/>
                <w:color w:val="002B45"/>
              </w:rPr>
              <w:t>rofit on disposal</w:t>
            </w:r>
          </w:p>
        </w:tc>
        <w:tc>
          <w:tcPr>
            <w:tcW w:w="1134" w:type="dxa"/>
            <w:tcBorders>
              <w:top w:val="nil"/>
              <w:bottom w:val="nil"/>
            </w:tcBorders>
            <w:tcMar>
              <w:top w:w="0" w:type="nil"/>
              <w:left w:w="0" w:type="nil"/>
              <w:bottom w:w="0" w:type="nil"/>
              <w:right w:w="0" w:type="nil"/>
            </w:tcMar>
          </w:tcPr>
          <w:p w:rsidR="00871692" w:rsidRPr="000C3FB5" w:rsidRDefault="00F72249" w:rsidP="002106F9">
            <w:pPr>
              <w:pStyle w:val="Tabletext"/>
              <w:tabs>
                <w:tab w:val="decimal" w:pos="907"/>
              </w:tabs>
              <w:ind w:right="113"/>
              <w:jc w:val="right"/>
              <w:rPr>
                <w:color w:val="00305C"/>
              </w:rPr>
            </w:pPr>
            <w:r w:rsidRPr="000C3FB5">
              <w:rPr>
                <w:rFonts w:ascii="Calibri" w:hAnsi="Calibri" w:cs="Calibri"/>
                <w:color w:val="00305C"/>
              </w:rPr>
              <w:t>9</w:t>
            </w:r>
          </w:p>
        </w:tc>
        <w:tc>
          <w:tcPr>
            <w:tcW w:w="1104" w:type="dxa"/>
            <w:tcBorders>
              <w:top w:val="nil"/>
              <w:bottom w:val="nil"/>
            </w:tcBorders>
            <w:shd w:val="clear" w:color="auto" w:fill="E6E6E6"/>
            <w:tcMar>
              <w:top w:w="0" w:type="nil"/>
              <w:left w:w="0" w:type="nil"/>
              <w:bottom w:w="0" w:type="nil"/>
              <w:right w:w="0" w:type="nil"/>
            </w:tcMar>
          </w:tcPr>
          <w:p w:rsidR="00871692" w:rsidRPr="00C7007B" w:rsidRDefault="00871692" w:rsidP="00263A06">
            <w:pPr>
              <w:ind w:left="0" w:right="113"/>
              <w:jc w:val="right"/>
              <w:rPr>
                <w:rFonts w:ascii="Calibri" w:hAnsi="Calibri" w:cs="Calibri"/>
                <w:color w:val="002B45"/>
                <w:lang w:val="en-US"/>
              </w:rPr>
            </w:pPr>
            <w:r w:rsidRPr="00C7007B">
              <w:rPr>
                <w:rFonts w:ascii="Calibri" w:hAnsi="Calibri" w:cs="Calibri"/>
                <w:color w:val="002B45"/>
                <w:lang w:val="en-US"/>
              </w:rPr>
              <w:t xml:space="preserve"> </w:t>
            </w:r>
            <w:r w:rsidR="00263A06">
              <w:rPr>
                <w:rFonts w:ascii="Calibri" w:hAnsi="Calibri" w:cs="Calibri"/>
                <w:color w:val="002B45"/>
                <w:lang w:val="en-US"/>
              </w:rPr>
              <w:t>(29</w:t>
            </w:r>
            <w:r w:rsidRPr="00C7007B">
              <w:rPr>
                <w:rFonts w:ascii="Calibri" w:hAnsi="Calibri" w:cs="Calibri"/>
                <w:color w:val="002B45"/>
                <w:lang w:val="en-US"/>
              </w:rPr>
              <w:t>.5</w:t>
            </w:r>
            <w:r w:rsidR="00263A06">
              <w:rPr>
                <w:rFonts w:ascii="Calibri" w:hAnsi="Calibri" w:cs="Calibri"/>
                <w:color w:val="002B45"/>
                <w:lang w:val="en-US"/>
              </w:rPr>
              <w:t>)</w:t>
            </w:r>
            <w:r w:rsidRPr="00C7007B">
              <w:rPr>
                <w:rFonts w:ascii="Calibri" w:hAnsi="Calibri" w:cs="Calibri"/>
                <w:color w:val="002B45"/>
                <w:lang w:val="en-US"/>
              </w:rPr>
              <w:t xml:space="preserve"> </w:t>
            </w:r>
          </w:p>
        </w:tc>
        <w:tc>
          <w:tcPr>
            <w:tcW w:w="1164" w:type="dxa"/>
            <w:tcBorders>
              <w:top w:val="nil"/>
              <w:bottom w:val="nil"/>
            </w:tcBorders>
            <w:tcMar>
              <w:top w:w="0" w:type="nil"/>
              <w:left w:w="0" w:type="nil"/>
              <w:bottom w:w="0" w:type="nil"/>
              <w:right w:w="0" w:type="nil"/>
            </w:tcMar>
          </w:tcPr>
          <w:p w:rsidR="00871692" w:rsidRPr="00C7007B" w:rsidRDefault="00871692" w:rsidP="002106F9">
            <w:pPr>
              <w:ind w:left="0" w:right="113"/>
              <w:jc w:val="right"/>
              <w:rPr>
                <w:rFonts w:ascii="Calibri" w:hAnsi="Calibri" w:cs="Calibri"/>
                <w:color w:val="002B45"/>
                <w:lang w:val="en-US"/>
              </w:rPr>
            </w:pPr>
            <w:r w:rsidRPr="00C7007B">
              <w:rPr>
                <w:rFonts w:ascii="Calibri" w:hAnsi="Calibri" w:cs="Calibri"/>
                <w:color w:val="002B45"/>
                <w:lang w:val="en-US"/>
              </w:rPr>
              <w:t>(702.5)</w:t>
            </w:r>
          </w:p>
        </w:tc>
      </w:tr>
      <w:tr w:rsidR="00871692" w:rsidRPr="00C44CA2" w:rsidTr="007152F7">
        <w:trPr>
          <w:trHeight w:val="283"/>
        </w:trPr>
        <w:tc>
          <w:tcPr>
            <w:tcW w:w="6096" w:type="dxa"/>
            <w:tcBorders>
              <w:top w:val="nil"/>
              <w:bottom w:val="nil"/>
            </w:tcBorders>
            <w:tcMar>
              <w:top w:w="0" w:type="nil"/>
              <w:left w:w="0" w:type="nil"/>
              <w:bottom w:w="0" w:type="nil"/>
              <w:right w:w="0" w:type="nil"/>
            </w:tcMar>
          </w:tcPr>
          <w:p w:rsidR="00871692" w:rsidRPr="00D820ED" w:rsidRDefault="00871692" w:rsidP="002106F9">
            <w:pPr>
              <w:pStyle w:val="Tabletext0"/>
              <w:ind w:left="0"/>
              <w:rPr>
                <w:rFonts w:ascii="Calibri" w:hAnsi="Calibri" w:cs="Calibri"/>
                <w:color w:val="002B45"/>
              </w:rPr>
            </w:pPr>
            <w:r w:rsidRPr="00D820ED">
              <w:rPr>
                <w:rFonts w:ascii="Calibri" w:hAnsi="Calibri" w:cs="Calibri"/>
                <w:color w:val="002B45"/>
              </w:rPr>
              <w:t>Decommissioning expenditure</w:t>
            </w:r>
          </w:p>
        </w:tc>
        <w:tc>
          <w:tcPr>
            <w:tcW w:w="1134" w:type="dxa"/>
            <w:tcBorders>
              <w:top w:val="nil"/>
              <w:bottom w:val="nil"/>
            </w:tcBorders>
            <w:tcMar>
              <w:top w:w="0" w:type="nil"/>
              <w:left w:w="0" w:type="nil"/>
              <w:bottom w:w="0" w:type="nil"/>
              <w:right w:w="0" w:type="nil"/>
            </w:tcMar>
          </w:tcPr>
          <w:p w:rsidR="00871692" w:rsidRPr="000C3FB5" w:rsidRDefault="00871692" w:rsidP="002106F9">
            <w:pPr>
              <w:ind w:right="113"/>
              <w:jc w:val="right"/>
              <w:rPr>
                <w:color w:val="00305C"/>
              </w:rPr>
            </w:pPr>
          </w:p>
        </w:tc>
        <w:tc>
          <w:tcPr>
            <w:tcW w:w="1104" w:type="dxa"/>
            <w:tcBorders>
              <w:top w:val="nil"/>
              <w:bottom w:val="nil"/>
            </w:tcBorders>
            <w:shd w:val="clear" w:color="auto" w:fill="E6E6E6"/>
            <w:tcMar>
              <w:top w:w="0" w:type="nil"/>
              <w:left w:w="0" w:type="nil"/>
              <w:bottom w:w="0" w:type="nil"/>
              <w:right w:w="0" w:type="nil"/>
            </w:tcMar>
          </w:tcPr>
          <w:p w:rsidR="00871692" w:rsidRPr="00C7007B" w:rsidRDefault="00871692" w:rsidP="002106F9">
            <w:pPr>
              <w:ind w:left="0" w:right="113"/>
              <w:jc w:val="right"/>
              <w:rPr>
                <w:rFonts w:ascii="Calibri" w:hAnsi="Calibri" w:cs="Calibri"/>
                <w:color w:val="002B45"/>
                <w:lang w:val="en-US"/>
              </w:rPr>
            </w:pPr>
            <w:r w:rsidRPr="00C7007B">
              <w:rPr>
                <w:rFonts w:ascii="Calibri" w:hAnsi="Calibri" w:cs="Calibri"/>
                <w:color w:val="002B45"/>
                <w:lang w:val="en-US"/>
              </w:rPr>
              <w:t>(6.7)</w:t>
            </w:r>
          </w:p>
        </w:tc>
        <w:tc>
          <w:tcPr>
            <w:tcW w:w="1164" w:type="dxa"/>
            <w:tcBorders>
              <w:top w:val="nil"/>
              <w:bottom w:val="nil"/>
            </w:tcBorders>
            <w:tcMar>
              <w:top w:w="0" w:type="nil"/>
              <w:left w:w="0" w:type="nil"/>
              <w:bottom w:w="0" w:type="nil"/>
              <w:right w:w="0" w:type="nil"/>
            </w:tcMar>
          </w:tcPr>
          <w:p w:rsidR="00871692" w:rsidRPr="00C7007B" w:rsidRDefault="00871692" w:rsidP="002106F9">
            <w:pPr>
              <w:ind w:left="0" w:right="113"/>
              <w:jc w:val="right"/>
              <w:rPr>
                <w:rFonts w:ascii="Calibri" w:hAnsi="Calibri" w:cs="Calibri"/>
                <w:color w:val="002B45"/>
                <w:lang w:val="en-US"/>
              </w:rPr>
            </w:pPr>
            <w:r w:rsidRPr="00C7007B">
              <w:rPr>
                <w:rFonts w:ascii="Calibri" w:hAnsi="Calibri" w:cs="Calibri"/>
                <w:color w:val="002B45"/>
                <w:lang w:val="en-US"/>
              </w:rPr>
              <w:t>(2.4)</w:t>
            </w:r>
          </w:p>
        </w:tc>
      </w:tr>
      <w:tr w:rsidR="00871692" w:rsidRPr="00C44CA2" w:rsidTr="007152F7">
        <w:trPr>
          <w:trHeight w:val="283"/>
        </w:trPr>
        <w:tc>
          <w:tcPr>
            <w:tcW w:w="6096" w:type="dxa"/>
            <w:tcBorders>
              <w:top w:val="nil"/>
              <w:bottom w:val="nil"/>
            </w:tcBorders>
            <w:tcMar>
              <w:top w:w="0" w:type="nil"/>
              <w:left w:w="0" w:type="nil"/>
              <w:bottom w:w="0" w:type="nil"/>
              <w:right w:w="0" w:type="nil"/>
            </w:tcMar>
          </w:tcPr>
          <w:p w:rsidR="00871692" w:rsidRPr="00D820ED" w:rsidRDefault="00871692" w:rsidP="002106F9">
            <w:pPr>
              <w:pStyle w:val="Tabletext0"/>
              <w:ind w:left="0"/>
              <w:rPr>
                <w:rFonts w:ascii="Calibri" w:hAnsi="Calibri" w:cs="Calibri"/>
                <w:color w:val="002B45"/>
              </w:rPr>
            </w:pPr>
            <w:r w:rsidRPr="00D820ED">
              <w:rPr>
                <w:rFonts w:ascii="Calibri" w:hAnsi="Calibri" w:cs="Calibri"/>
                <w:color w:val="002B45"/>
              </w:rPr>
              <w:t>Share-based payment charge</w:t>
            </w:r>
          </w:p>
        </w:tc>
        <w:tc>
          <w:tcPr>
            <w:tcW w:w="1134" w:type="dxa"/>
            <w:tcBorders>
              <w:top w:val="nil"/>
              <w:bottom w:val="nil"/>
            </w:tcBorders>
            <w:tcMar>
              <w:top w:w="0" w:type="nil"/>
              <w:left w:w="0" w:type="nil"/>
              <w:bottom w:w="0" w:type="nil"/>
              <w:right w:w="0" w:type="nil"/>
            </w:tcMar>
          </w:tcPr>
          <w:p w:rsidR="00871692" w:rsidRPr="000C3FB5" w:rsidRDefault="00871692" w:rsidP="002106F9">
            <w:pPr>
              <w:ind w:right="113"/>
              <w:jc w:val="right"/>
              <w:rPr>
                <w:color w:val="00305C"/>
              </w:rPr>
            </w:pPr>
          </w:p>
        </w:tc>
        <w:tc>
          <w:tcPr>
            <w:tcW w:w="1104" w:type="dxa"/>
            <w:tcBorders>
              <w:top w:val="nil"/>
              <w:bottom w:val="nil"/>
            </w:tcBorders>
            <w:shd w:val="clear" w:color="auto" w:fill="E6E6E6"/>
            <w:tcMar>
              <w:top w:w="0" w:type="nil"/>
              <w:left w:w="0" w:type="nil"/>
              <w:bottom w:w="0" w:type="nil"/>
              <w:right w:w="0" w:type="nil"/>
            </w:tcMar>
          </w:tcPr>
          <w:p w:rsidR="00871692" w:rsidRPr="00C7007B" w:rsidRDefault="00871692" w:rsidP="002106F9">
            <w:pPr>
              <w:ind w:left="0" w:right="113"/>
              <w:jc w:val="right"/>
              <w:rPr>
                <w:rFonts w:ascii="Calibri" w:hAnsi="Calibri" w:cs="Calibri"/>
                <w:color w:val="002B45"/>
                <w:lang w:val="en-US"/>
              </w:rPr>
            </w:pPr>
            <w:r w:rsidRPr="00C7007B">
              <w:rPr>
                <w:rFonts w:ascii="Calibri" w:hAnsi="Calibri" w:cs="Calibri"/>
                <w:color w:val="002B45"/>
                <w:lang w:val="en-US"/>
              </w:rPr>
              <w:t xml:space="preserve"> 41.3 </w:t>
            </w:r>
          </w:p>
        </w:tc>
        <w:tc>
          <w:tcPr>
            <w:tcW w:w="1164" w:type="dxa"/>
            <w:tcBorders>
              <w:top w:val="nil"/>
              <w:bottom w:val="nil"/>
            </w:tcBorders>
            <w:tcMar>
              <w:top w:w="0" w:type="nil"/>
              <w:left w:w="0" w:type="nil"/>
              <w:bottom w:w="0" w:type="nil"/>
              <w:right w:w="0" w:type="nil"/>
            </w:tcMar>
          </w:tcPr>
          <w:p w:rsidR="00871692" w:rsidRPr="00C7007B" w:rsidRDefault="00871692" w:rsidP="002106F9">
            <w:pPr>
              <w:ind w:left="0" w:right="113"/>
              <w:jc w:val="right"/>
              <w:rPr>
                <w:rFonts w:ascii="Calibri" w:hAnsi="Calibri" w:cs="Calibri"/>
                <w:color w:val="002B45"/>
                <w:lang w:val="en-US"/>
              </w:rPr>
            </w:pPr>
            <w:r w:rsidRPr="00C7007B">
              <w:rPr>
                <w:rFonts w:ascii="Calibri" w:hAnsi="Calibri" w:cs="Calibri"/>
                <w:color w:val="002B45"/>
                <w:lang w:val="en-US"/>
              </w:rPr>
              <w:t xml:space="preserve"> 32.6 </w:t>
            </w:r>
          </w:p>
        </w:tc>
      </w:tr>
      <w:tr w:rsidR="00871692" w:rsidRPr="00C44CA2" w:rsidTr="007152F7">
        <w:trPr>
          <w:trHeight w:val="283"/>
        </w:trPr>
        <w:tc>
          <w:tcPr>
            <w:tcW w:w="6096" w:type="dxa"/>
            <w:tcBorders>
              <w:top w:val="nil"/>
              <w:bottom w:val="nil"/>
            </w:tcBorders>
            <w:tcMar>
              <w:top w:w="0" w:type="nil"/>
              <w:left w:w="0" w:type="nil"/>
              <w:bottom w:w="0" w:type="nil"/>
              <w:right w:w="0" w:type="nil"/>
            </w:tcMar>
          </w:tcPr>
          <w:p w:rsidR="00871692" w:rsidRPr="00D820ED" w:rsidRDefault="00871692" w:rsidP="002106F9">
            <w:pPr>
              <w:pStyle w:val="Tabletext0"/>
              <w:ind w:left="0"/>
              <w:rPr>
                <w:rFonts w:ascii="Calibri" w:hAnsi="Calibri" w:cs="Calibri"/>
                <w:color w:val="002B45"/>
              </w:rPr>
            </w:pPr>
            <w:r>
              <w:rPr>
                <w:rFonts w:ascii="Calibri" w:hAnsi="Calibri" w:cs="Calibri"/>
                <w:color w:val="002B45"/>
              </w:rPr>
              <w:t>Loss</w:t>
            </w:r>
            <w:r w:rsidRPr="00D820ED">
              <w:rPr>
                <w:rFonts w:ascii="Calibri" w:hAnsi="Calibri" w:cs="Calibri"/>
                <w:color w:val="002B45"/>
              </w:rPr>
              <w:t xml:space="preserve"> on hedging instruments</w:t>
            </w:r>
          </w:p>
        </w:tc>
        <w:tc>
          <w:tcPr>
            <w:tcW w:w="1134" w:type="dxa"/>
            <w:tcBorders>
              <w:top w:val="nil"/>
              <w:bottom w:val="nil"/>
            </w:tcBorders>
            <w:tcMar>
              <w:top w:w="0" w:type="nil"/>
              <w:left w:w="0" w:type="nil"/>
              <w:bottom w:w="0" w:type="nil"/>
              <w:right w:w="0" w:type="nil"/>
            </w:tcMar>
          </w:tcPr>
          <w:p w:rsidR="00871692" w:rsidRPr="000C3FB5" w:rsidRDefault="00871692" w:rsidP="002106F9">
            <w:pPr>
              <w:ind w:right="113"/>
              <w:jc w:val="right"/>
              <w:rPr>
                <w:color w:val="00305C"/>
              </w:rPr>
            </w:pPr>
          </w:p>
        </w:tc>
        <w:tc>
          <w:tcPr>
            <w:tcW w:w="1104" w:type="dxa"/>
            <w:tcBorders>
              <w:top w:val="nil"/>
              <w:bottom w:val="nil"/>
            </w:tcBorders>
            <w:shd w:val="clear" w:color="auto" w:fill="E6E6E6"/>
            <w:tcMar>
              <w:top w:w="0" w:type="nil"/>
              <w:left w:w="0" w:type="nil"/>
              <w:bottom w:w="0" w:type="nil"/>
              <w:right w:w="0" w:type="nil"/>
            </w:tcMar>
          </w:tcPr>
          <w:p w:rsidR="00871692" w:rsidRPr="00C7007B" w:rsidRDefault="00871692" w:rsidP="002106F9">
            <w:pPr>
              <w:ind w:left="0" w:right="113"/>
              <w:jc w:val="right"/>
              <w:rPr>
                <w:rFonts w:ascii="Calibri" w:hAnsi="Calibri" w:cs="Calibri"/>
                <w:color w:val="002B45"/>
                <w:lang w:val="en-US"/>
              </w:rPr>
            </w:pPr>
            <w:r w:rsidRPr="00C7007B">
              <w:rPr>
                <w:rFonts w:ascii="Calibri" w:hAnsi="Calibri" w:cs="Calibri"/>
                <w:color w:val="002B45"/>
                <w:lang w:val="en-US"/>
              </w:rPr>
              <w:t xml:space="preserve"> 19.7 </w:t>
            </w:r>
          </w:p>
        </w:tc>
        <w:tc>
          <w:tcPr>
            <w:tcW w:w="1164" w:type="dxa"/>
            <w:tcBorders>
              <w:top w:val="nil"/>
              <w:bottom w:val="nil"/>
            </w:tcBorders>
            <w:tcMar>
              <w:top w:w="0" w:type="nil"/>
              <w:left w:w="0" w:type="nil"/>
              <w:bottom w:w="0" w:type="nil"/>
              <w:right w:w="0" w:type="nil"/>
            </w:tcMar>
          </w:tcPr>
          <w:p w:rsidR="00871692" w:rsidRPr="00C7007B" w:rsidRDefault="00871692" w:rsidP="002106F9">
            <w:pPr>
              <w:ind w:left="0" w:right="113"/>
              <w:jc w:val="right"/>
              <w:rPr>
                <w:rFonts w:ascii="Calibri" w:hAnsi="Calibri" w:cs="Calibri"/>
                <w:color w:val="002B45"/>
                <w:lang w:val="en-US"/>
              </w:rPr>
            </w:pPr>
            <w:r w:rsidRPr="00C7007B">
              <w:rPr>
                <w:rFonts w:ascii="Calibri" w:hAnsi="Calibri" w:cs="Calibri"/>
                <w:color w:val="002B45"/>
                <w:lang w:val="en-US"/>
              </w:rPr>
              <w:t xml:space="preserve"> 19.9 </w:t>
            </w:r>
          </w:p>
        </w:tc>
      </w:tr>
      <w:tr w:rsidR="00871692" w:rsidRPr="00C44CA2" w:rsidTr="007152F7">
        <w:trPr>
          <w:trHeight w:val="283"/>
        </w:trPr>
        <w:tc>
          <w:tcPr>
            <w:tcW w:w="6096" w:type="dxa"/>
            <w:tcBorders>
              <w:top w:val="nil"/>
              <w:bottom w:val="nil"/>
            </w:tcBorders>
            <w:tcMar>
              <w:top w:w="0" w:type="nil"/>
              <w:left w:w="0" w:type="nil"/>
              <w:bottom w:w="0" w:type="nil"/>
              <w:right w:w="0" w:type="nil"/>
            </w:tcMar>
          </w:tcPr>
          <w:p w:rsidR="00871692" w:rsidRPr="00D820ED" w:rsidRDefault="00871692" w:rsidP="002106F9">
            <w:pPr>
              <w:pStyle w:val="Tabletext0"/>
              <w:ind w:left="0"/>
              <w:rPr>
                <w:rFonts w:ascii="Calibri" w:hAnsi="Calibri" w:cs="Calibri"/>
                <w:color w:val="002B45"/>
              </w:rPr>
            </w:pPr>
            <w:r w:rsidRPr="00D820ED">
              <w:rPr>
                <w:rFonts w:ascii="Calibri" w:hAnsi="Calibri" w:cs="Calibri"/>
                <w:color w:val="002B45"/>
              </w:rPr>
              <w:t xml:space="preserve">Finance revenue </w:t>
            </w:r>
          </w:p>
        </w:tc>
        <w:tc>
          <w:tcPr>
            <w:tcW w:w="1134" w:type="dxa"/>
            <w:tcBorders>
              <w:top w:val="nil"/>
              <w:bottom w:val="nil"/>
            </w:tcBorders>
            <w:tcMar>
              <w:top w:w="0" w:type="nil"/>
              <w:left w:w="0" w:type="nil"/>
              <w:bottom w:w="0" w:type="nil"/>
              <w:right w:w="0" w:type="nil"/>
            </w:tcMar>
          </w:tcPr>
          <w:p w:rsidR="00871692" w:rsidRPr="000C3FB5" w:rsidRDefault="00871692" w:rsidP="002106F9">
            <w:pPr>
              <w:ind w:right="113"/>
              <w:jc w:val="right"/>
              <w:rPr>
                <w:color w:val="00305C"/>
              </w:rPr>
            </w:pPr>
          </w:p>
        </w:tc>
        <w:tc>
          <w:tcPr>
            <w:tcW w:w="1104" w:type="dxa"/>
            <w:tcBorders>
              <w:top w:val="nil"/>
              <w:bottom w:val="nil"/>
            </w:tcBorders>
            <w:shd w:val="clear" w:color="auto" w:fill="E6E6E6"/>
            <w:tcMar>
              <w:top w:w="0" w:type="nil"/>
              <w:left w:w="0" w:type="nil"/>
              <w:bottom w:w="0" w:type="nil"/>
              <w:right w:w="0" w:type="nil"/>
            </w:tcMar>
          </w:tcPr>
          <w:p w:rsidR="00871692" w:rsidRPr="00C7007B" w:rsidRDefault="00871692" w:rsidP="002106F9">
            <w:pPr>
              <w:ind w:left="0" w:right="113"/>
              <w:jc w:val="right"/>
              <w:rPr>
                <w:rFonts w:ascii="Calibri" w:hAnsi="Calibri" w:cs="Calibri"/>
                <w:color w:val="002B45"/>
                <w:lang w:val="en-US"/>
              </w:rPr>
            </w:pPr>
            <w:r w:rsidRPr="00C7007B">
              <w:rPr>
                <w:rFonts w:ascii="Calibri" w:hAnsi="Calibri" w:cs="Calibri"/>
                <w:color w:val="002B45"/>
                <w:lang w:val="en-US"/>
              </w:rPr>
              <w:t>(43.7)</w:t>
            </w:r>
          </w:p>
        </w:tc>
        <w:tc>
          <w:tcPr>
            <w:tcW w:w="1164" w:type="dxa"/>
            <w:tcBorders>
              <w:top w:val="nil"/>
              <w:bottom w:val="nil"/>
            </w:tcBorders>
            <w:tcMar>
              <w:top w:w="0" w:type="nil"/>
              <w:left w:w="0" w:type="nil"/>
              <w:bottom w:w="0" w:type="nil"/>
              <w:right w:w="0" w:type="nil"/>
            </w:tcMar>
          </w:tcPr>
          <w:p w:rsidR="00871692" w:rsidRPr="00C7007B" w:rsidRDefault="00871692" w:rsidP="002106F9">
            <w:pPr>
              <w:ind w:left="0" w:right="113"/>
              <w:jc w:val="right"/>
              <w:rPr>
                <w:rFonts w:ascii="Calibri" w:hAnsi="Calibri" w:cs="Calibri"/>
                <w:color w:val="002B45"/>
                <w:lang w:val="en-US"/>
              </w:rPr>
            </w:pPr>
            <w:r w:rsidRPr="00C7007B">
              <w:rPr>
                <w:rFonts w:ascii="Calibri" w:hAnsi="Calibri" w:cs="Calibri"/>
                <w:color w:val="002B45"/>
                <w:lang w:val="en-US"/>
              </w:rPr>
              <w:t>(9.6)</w:t>
            </w:r>
          </w:p>
        </w:tc>
      </w:tr>
      <w:tr w:rsidR="00871692" w:rsidRPr="00C44CA2" w:rsidTr="007152F7">
        <w:trPr>
          <w:trHeight w:val="283"/>
        </w:trPr>
        <w:tc>
          <w:tcPr>
            <w:tcW w:w="6096" w:type="dxa"/>
            <w:tcBorders>
              <w:top w:val="nil"/>
              <w:bottom w:val="single" w:sz="4" w:space="0" w:color="A6A6A6" w:themeColor="background1" w:themeShade="A6"/>
            </w:tcBorders>
            <w:tcMar>
              <w:top w:w="0" w:type="nil"/>
              <w:left w:w="0" w:type="nil"/>
              <w:bottom w:w="0" w:type="nil"/>
              <w:right w:w="0" w:type="nil"/>
            </w:tcMar>
          </w:tcPr>
          <w:p w:rsidR="00871692" w:rsidRPr="00D820ED" w:rsidRDefault="00871692" w:rsidP="002106F9">
            <w:pPr>
              <w:pStyle w:val="Tabletext0"/>
              <w:ind w:left="0"/>
              <w:rPr>
                <w:rFonts w:ascii="Calibri" w:hAnsi="Calibri" w:cs="Calibri"/>
                <w:color w:val="002B45"/>
              </w:rPr>
            </w:pPr>
            <w:r w:rsidRPr="00D820ED">
              <w:rPr>
                <w:rFonts w:ascii="Calibri" w:hAnsi="Calibri" w:cs="Calibri"/>
                <w:color w:val="002B45"/>
              </w:rPr>
              <w:t xml:space="preserve">Finance costs </w:t>
            </w:r>
          </w:p>
        </w:tc>
        <w:tc>
          <w:tcPr>
            <w:tcW w:w="1134" w:type="dxa"/>
            <w:tcBorders>
              <w:top w:val="nil"/>
              <w:bottom w:val="single" w:sz="4" w:space="0" w:color="A6A6A6" w:themeColor="background1" w:themeShade="A6"/>
            </w:tcBorders>
            <w:tcMar>
              <w:top w:w="0" w:type="nil"/>
              <w:left w:w="0" w:type="nil"/>
              <w:bottom w:w="0" w:type="nil"/>
              <w:right w:w="0" w:type="nil"/>
            </w:tcMar>
          </w:tcPr>
          <w:p w:rsidR="00871692" w:rsidRPr="000C3FB5" w:rsidRDefault="00871692" w:rsidP="002106F9">
            <w:pPr>
              <w:ind w:right="113"/>
              <w:jc w:val="right"/>
              <w:rPr>
                <w:color w:val="00305C"/>
              </w:rPr>
            </w:pPr>
          </w:p>
        </w:tc>
        <w:tc>
          <w:tcPr>
            <w:tcW w:w="1104" w:type="dxa"/>
            <w:tcBorders>
              <w:top w:val="nil"/>
              <w:bottom w:val="single" w:sz="4" w:space="0" w:color="A6A6A6" w:themeColor="background1" w:themeShade="A6"/>
            </w:tcBorders>
            <w:shd w:val="clear" w:color="auto" w:fill="E6E6E6"/>
            <w:tcMar>
              <w:top w:w="0" w:type="nil"/>
              <w:left w:w="0" w:type="nil"/>
              <w:bottom w:w="0" w:type="nil"/>
              <w:right w:w="0" w:type="nil"/>
            </w:tcMar>
          </w:tcPr>
          <w:p w:rsidR="00871692" w:rsidRPr="00C7007B" w:rsidRDefault="00871692" w:rsidP="002106F9">
            <w:pPr>
              <w:ind w:left="0" w:right="113"/>
              <w:jc w:val="right"/>
              <w:rPr>
                <w:rFonts w:ascii="Calibri" w:hAnsi="Calibri" w:cs="Calibri"/>
                <w:color w:val="002B45"/>
                <w:lang w:val="en-US"/>
              </w:rPr>
            </w:pPr>
            <w:r w:rsidRPr="00C7007B">
              <w:rPr>
                <w:rFonts w:ascii="Calibri" w:hAnsi="Calibri" w:cs="Calibri"/>
                <w:color w:val="002B45"/>
                <w:lang w:val="en-US"/>
              </w:rPr>
              <w:t xml:space="preserve"> 91.6 </w:t>
            </w:r>
          </w:p>
        </w:tc>
        <w:tc>
          <w:tcPr>
            <w:tcW w:w="1164" w:type="dxa"/>
            <w:tcBorders>
              <w:top w:val="nil"/>
              <w:bottom w:val="single" w:sz="4" w:space="0" w:color="A6A6A6" w:themeColor="background1" w:themeShade="A6"/>
            </w:tcBorders>
            <w:tcMar>
              <w:top w:w="0" w:type="nil"/>
              <w:left w:w="0" w:type="nil"/>
              <w:bottom w:w="0" w:type="nil"/>
              <w:right w:w="0" w:type="nil"/>
            </w:tcMar>
          </w:tcPr>
          <w:p w:rsidR="00871692" w:rsidRPr="00C7007B" w:rsidRDefault="00871692" w:rsidP="002106F9">
            <w:pPr>
              <w:ind w:left="0" w:right="113"/>
              <w:jc w:val="right"/>
              <w:rPr>
                <w:rFonts w:ascii="Calibri" w:hAnsi="Calibri" w:cs="Calibri"/>
                <w:color w:val="002B45"/>
                <w:lang w:val="en-US"/>
              </w:rPr>
            </w:pPr>
            <w:r w:rsidRPr="00C7007B">
              <w:rPr>
                <w:rFonts w:ascii="Calibri" w:hAnsi="Calibri" w:cs="Calibri"/>
                <w:color w:val="002B45"/>
                <w:lang w:val="en-US"/>
              </w:rPr>
              <w:t xml:space="preserve"> 59.0 </w:t>
            </w:r>
          </w:p>
        </w:tc>
      </w:tr>
      <w:tr w:rsidR="00871692" w:rsidRPr="00C44CA2" w:rsidTr="007152F7">
        <w:trPr>
          <w:trHeight w:val="283"/>
        </w:trPr>
        <w:tc>
          <w:tcPr>
            <w:tcW w:w="6096" w:type="dxa"/>
            <w:tcBorders>
              <w:top w:val="single" w:sz="4" w:space="0" w:color="A6A6A6" w:themeColor="background1" w:themeShade="A6"/>
              <w:bottom w:val="nil"/>
            </w:tcBorders>
            <w:tcMar>
              <w:top w:w="0" w:type="nil"/>
              <w:left w:w="0" w:type="nil"/>
              <w:bottom w:w="0" w:type="nil"/>
              <w:right w:w="0" w:type="nil"/>
            </w:tcMar>
          </w:tcPr>
          <w:p w:rsidR="00871692" w:rsidRPr="00D820ED" w:rsidRDefault="00871692" w:rsidP="002106F9">
            <w:pPr>
              <w:pStyle w:val="Tabletext0"/>
              <w:ind w:left="0"/>
              <w:rPr>
                <w:rFonts w:ascii="Calibri" w:hAnsi="Calibri" w:cs="Calibri"/>
                <w:color w:val="002B45"/>
              </w:rPr>
            </w:pPr>
            <w:r w:rsidRPr="00D820ED">
              <w:rPr>
                <w:rFonts w:ascii="Calibri" w:hAnsi="Calibri" w:cs="Calibri"/>
                <w:color w:val="002B45"/>
              </w:rPr>
              <w:t>Operating cash flow before working capital movements</w:t>
            </w:r>
          </w:p>
        </w:tc>
        <w:tc>
          <w:tcPr>
            <w:tcW w:w="1134" w:type="dxa"/>
            <w:tcBorders>
              <w:top w:val="single" w:sz="4" w:space="0" w:color="A6A6A6" w:themeColor="background1" w:themeShade="A6"/>
              <w:bottom w:val="nil"/>
            </w:tcBorders>
            <w:tcMar>
              <w:top w:w="0" w:type="nil"/>
              <w:left w:w="0" w:type="nil"/>
              <w:bottom w:w="0" w:type="nil"/>
              <w:right w:w="0" w:type="nil"/>
            </w:tcMar>
          </w:tcPr>
          <w:p w:rsidR="00871692" w:rsidRPr="000C3FB5" w:rsidRDefault="00871692" w:rsidP="002106F9">
            <w:pPr>
              <w:ind w:right="113"/>
              <w:jc w:val="right"/>
              <w:rPr>
                <w:color w:val="00305C"/>
              </w:rPr>
            </w:pPr>
          </w:p>
        </w:tc>
        <w:tc>
          <w:tcPr>
            <w:tcW w:w="1104" w:type="dxa"/>
            <w:tcBorders>
              <w:top w:val="single" w:sz="4" w:space="0" w:color="A6A6A6" w:themeColor="background1" w:themeShade="A6"/>
              <w:bottom w:val="nil"/>
            </w:tcBorders>
            <w:shd w:val="clear" w:color="auto" w:fill="E6E6E6"/>
            <w:tcMar>
              <w:top w:w="0" w:type="nil"/>
              <w:left w:w="0" w:type="nil"/>
              <w:bottom w:w="0" w:type="nil"/>
              <w:right w:w="0" w:type="nil"/>
            </w:tcMar>
          </w:tcPr>
          <w:p w:rsidR="00871692" w:rsidRPr="00C7007B" w:rsidRDefault="00871692" w:rsidP="00263A06">
            <w:pPr>
              <w:ind w:left="0" w:right="113"/>
              <w:jc w:val="right"/>
              <w:rPr>
                <w:rFonts w:ascii="Calibri" w:hAnsi="Calibri" w:cs="Calibri"/>
                <w:color w:val="002B45"/>
                <w:lang w:val="en-US"/>
              </w:rPr>
            </w:pPr>
            <w:r w:rsidRPr="00C7007B">
              <w:rPr>
                <w:rFonts w:ascii="Calibri" w:hAnsi="Calibri" w:cs="Calibri"/>
                <w:color w:val="002B45"/>
                <w:lang w:val="en-US"/>
              </w:rPr>
              <w:t xml:space="preserve"> 1,9</w:t>
            </w:r>
            <w:r w:rsidR="00263A06">
              <w:rPr>
                <w:rFonts w:ascii="Calibri" w:hAnsi="Calibri" w:cs="Calibri"/>
                <w:color w:val="002B45"/>
                <w:lang w:val="en-US"/>
              </w:rPr>
              <w:t>0</w:t>
            </w:r>
            <w:r w:rsidRPr="00C7007B">
              <w:rPr>
                <w:rFonts w:ascii="Calibri" w:hAnsi="Calibri" w:cs="Calibri"/>
                <w:color w:val="002B45"/>
                <w:lang w:val="en-US"/>
              </w:rPr>
              <w:t xml:space="preserve">1.1 </w:t>
            </w:r>
          </w:p>
        </w:tc>
        <w:tc>
          <w:tcPr>
            <w:tcW w:w="1164" w:type="dxa"/>
            <w:tcBorders>
              <w:top w:val="single" w:sz="4" w:space="0" w:color="A6A6A6" w:themeColor="background1" w:themeShade="A6"/>
              <w:bottom w:val="nil"/>
            </w:tcBorders>
            <w:tcMar>
              <w:top w:w="0" w:type="nil"/>
              <w:left w:w="0" w:type="nil"/>
              <w:bottom w:w="0" w:type="nil"/>
              <w:right w:w="0" w:type="nil"/>
            </w:tcMar>
          </w:tcPr>
          <w:p w:rsidR="00871692" w:rsidRPr="00C7007B" w:rsidRDefault="00871692" w:rsidP="002106F9">
            <w:pPr>
              <w:ind w:left="0" w:right="113"/>
              <w:jc w:val="right"/>
              <w:rPr>
                <w:rFonts w:ascii="Calibri" w:hAnsi="Calibri" w:cs="Calibri"/>
                <w:color w:val="002B45"/>
                <w:lang w:val="en-US"/>
              </w:rPr>
            </w:pPr>
            <w:r w:rsidRPr="00C7007B">
              <w:rPr>
                <w:rFonts w:ascii="Calibri" w:hAnsi="Calibri" w:cs="Calibri"/>
                <w:color w:val="002B45"/>
                <w:lang w:val="en-US"/>
              </w:rPr>
              <w:t xml:space="preserve"> 1,777.0 </w:t>
            </w:r>
          </w:p>
        </w:tc>
      </w:tr>
      <w:tr w:rsidR="00871692" w:rsidRPr="00C44CA2" w:rsidTr="007152F7">
        <w:trPr>
          <w:trHeight w:val="283"/>
        </w:trPr>
        <w:tc>
          <w:tcPr>
            <w:tcW w:w="6096" w:type="dxa"/>
            <w:tcBorders>
              <w:top w:val="nil"/>
              <w:bottom w:val="nil"/>
            </w:tcBorders>
            <w:tcMar>
              <w:top w:w="0" w:type="nil"/>
              <w:left w:w="0" w:type="nil"/>
              <w:bottom w:w="0" w:type="nil"/>
              <w:right w:w="0" w:type="nil"/>
            </w:tcMar>
          </w:tcPr>
          <w:p w:rsidR="00871692" w:rsidRPr="00D820ED" w:rsidRDefault="00871692" w:rsidP="002106F9">
            <w:pPr>
              <w:pStyle w:val="Tabletext0"/>
              <w:ind w:left="0"/>
              <w:rPr>
                <w:rFonts w:ascii="Calibri" w:hAnsi="Calibri" w:cs="Calibri"/>
                <w:color w:val="002B45"/>
              </w:rPr>
            </w:pPr>
            <w:r>
              <w:rPr>
                <w:rFonts w:ascii="Calibri" w:hAnsi="Calibri" w:cs="Calibri"/>
                <w:color w:val="002B45"/>
              </w:rPr>
              <w:t>Decrease/(i</w:t>
            </w:r>
            <w:r w:rsidRPr="00D820ED">
              <w:rPr>
                <w:rFonts w:ascii="Calibri" w:hAnsi="Calibri" w:cs="Calibri"/>
                <w:color w:val="002B45"/>
              </w:rPr>
              <w:t>ncrease</w:t>
            </w:r>
            <w:r>
              <w:rPr>
                <w:rFonts w:ascii="Calibri" w:hAnsi="Calibri" w:cs="Calibri"/>
                <w:color w:val="002B45"/>
              </w:rPr>
              <w:t>)</w:t>
            </w:r>
            <w:r w:rsidRPr="00D820ED">
              <w:rPr>
                <w:rFonts w:ascii="Calibri" w:hAnsi="Calibri" w:cs="Calibri"/>
                <w:color w:val="002B45"/>
              </w:rPr>
              <w:t xml:space="preserve"> in trade and other receivables </w:t>
            </w:r>
          </w:p>
        </w:tc>
        <w:tc>
          <w:tcPr>
            <w:tcW w:w="1134" w:type="dxa"/>
            <w:tcBorders>
              <w:top w:val="nil"/>
              <w:bottom w:val="nil"/>
            </w:tcBorders>
            <w:tcMar>
              <w:top w:w="0" w:type="nil"/>
              <w:left w:w="0" w:type="nil"/>
              <w:bottom w:w="0" w:type="nil"/>
              <w:right w:w="0" w:type="nil"/>
            </w:tcMar>
          </w:tcPr>
          <w:p w:rsidR="00871692" w:rsidRPr="000C3FB5" w:rsidRDefault="00871692" w:rsidP="002106F9">
            <w:pPr>
              <w:ind w:right="113"/>
              <w:jc w:val="right"/>
              <w:rPr>
                <w:color w:val="00305C"/>
              </w:rPr>
            </w:pPr>
          </w:p>
        </w:tc>
        <w:tc>
          <w:tcPr>
            <w:tcW w:w="1104" w:type="dxa"/>
            <w:tcBorders>
              <w:top w:val="nil"/>
              <w:bottom w:val="nil"/>
            </w:tcBorders>
            <w:shd w:val="clear" w:color="auto" w:fill="E6E6E6"/>
            <w:tcMar>
              <w:top w:w="0" w:type="nil"/>
              <w:left w:w="0" w:type="nil"/>
              <w:bottom w:w="0" w:type="nil"/>
              <w:right w:w="0" w:type="nil"/>
            </w:tcMar>
          </w:tcPr>
          <w:p w:rsidR="00871692" w:rsidRPr="00C7007B" w:rsidRDefault="00871692" w:rsidP="002106F9">
            <w:pPr>
              <w:ind w:left="0" w:right="113"/>
              <w:jc w:val="right"/>
              <w:rPr>
                <w:rFonts w:ascii="Calibri" w:hAnsi="Calibri" w:cs="Calibri"/>
                <w:color w:val="002B45"/>
                <w:lang w:val="en-US"/>
              </w:rPr>
            </w:pPr>
            <w:r w:rsidRPr="00C7007B">
              <w:rPr>
                <w:rFonts w:ascii="Calibri" w:hAnsi="Calibri" w:cs="Calibri"/>
                <w:color w:val="002B45"/>
                <w:lang w:val="en-US"/>
              </w:rPr>
              <w:t xml:space="preserve"> 75.8 </w:t>
            </w:r>
          </w:p>
        </w:tc>
        <w:tc>
          <w:tcPr>
            <w:tcW w:w="1164" w:type="dxa"/>
            <w:tcBorders>
              <w:top w:val="nil"/>
              <w:bottom w:val="nil"/>
            </w:tcBorders>
            <w:tcMar>
              <w:top w:w="0" w:type="nil"/>
              <w:left w:w="0" w:type="nil"/>
              <w:bottom w:w="0" w:type="nil"/>
              <w:right w:w="0" w:type="nil"/>
            </w:tcMar>
          </w:tcPr>
          <w:p w:rsidR="00871692" w:rsidRPr="00C7007B" w:rsidRDefault="00871692" w:rsidP="002106F9">
            <w:pPr>
              <w:ind w:left="0" w:right="113"/>
              <w:jc w:val="right"/>
              <w:rPr>
                <w:rFonts w:ascii="Calibri" w:hAnsi="Calibri" w:cs="Calibri"/>
                <w:color w:val="002B45"/>
                <w:lang w:val="en-US"/>
              </w:rPr>
            </w:pPr>
            <w:r w:rsidRPr="00C7007B">
              <w:rPr>
                <w:rFonts w:ascii="Calibri" w:hAnsi="Calibri" w:cs="Calibri"/>
                <w:color w:val="002B45"/>
                <w:lang w:val="en-US"/>
              </w:rPr>
              <w:t>(11.3)</w:t>
            </w:r>
          </w:p>
        </w:tc>
      </w:tr>
      <w:tr w:rsidR="00871692" w:rsidRPr="00C44CA2" w:rsidTr="007152F7">
        <w:trPr>
          <w:trHeight w:val="283"/>
        </w:trPr>
        <w:tc>
          <w:tcPr>
            <w:tcW w:w="6096" w:type="dxa"/>
            <w:tcBorders>
              <w:top w:val="nil"/>
              <w:bottom w:val="nil"/>
            </w:tcBorders>
            <w:tcMar>
              <w:top w:w="0" w:type="nil"/>
              <w:left w:w="0" w:type="nil"/>
              <w:bottom w:w="0" w:type="nil"/>
              <w:right w:w="0" w:type="nil"/>
            </w:tcMar>
          </w:tcPr>
          <w:p w:rsidR="00871692" w:rsidRPr="00D820ED" w:rsidRDefault="00871692" w:rsidP="002106F9">
            <w:pPr>
              <w:pStyle w:val="Tabletext0"/>
              <w:ind w:left="0"/>
              <w:rPr>
                <w:rFonts w:ascii="Calibri" w:hAnsi="Calibri" w:cs="Calibri"/>
                <w:color w:val="002B45"/>
              </w:rPr>
            </w:pPr>
            <w:r>
              <w:rPr>
                <w:rFonts w:ascii="Calibri" w:hAnsi="Calibri" w:cs="Calibri"/>
                <w:color w:val="002B45"/>
              </w:rPr>
              <w:t>(I</w:t>
            </w:r>
            <w:r w:rsidRPr="00D820ED">
              <w:rPr>
                <w:rFonts w:ascii="Calibri" w:hAnsi="Calibri" w:cs="Calibri"/>
                <w:color w:val="002B45"/>
              </w:rPr>
              <w:t>ncrease)</w:t>
            </w:r>
            <w:r>
              <w:rPr>
                <w:rFonts w:ascii="Calibri" w:hAnsi="Calibri" w:cs="Calibri"/>
                <w:color w:val="002B45"/>
              </w:rPr>
              <w:t>/</w:t>
            </w:r>
            <w:r w:rsidRPr="00D820ED">
              <w:rPr>
                <w:rFonts w:ascii="Calibri" w:hAnsi="Calibri" w:cs="Calibri"/>
                <w:color w:val="002B45"/>
              </w:rPr>
              <w:t xml:space="preserve"> </w:t>
            </w:r>
            <w:r>
              <w:rPr>
                <w:rFonts w:ascii="Calibri" w:hAnsi="Calibri" w:cs="Calibri"/>
                <w:color w:val="002B45"/>
              </w:rPr>
              <w:t xml:space="preserve">decrease </w:t>
            </w:r>
            <w:r w:rsidRPr="00D820ED">
              <w:rPr>
                <w:rFonts w:ascii="Calibri" w:hAnsi="Calibri" w:cs="Calibri"/>
                <w:color w:val="002B45"/>
              </w:rPr>
              <w:t xml:space="preserve">in inventories </w:t>
            </w:r>
          </w:p>
        </w:tc>
        <w:tc>
          <w:tcPr>
            <w:tcW w:w="1134" w:type="dxa"/>
            <w:tcBorders>
              <w:top w:val="nil"/>
              <w:bottom w:val="nil"/>
            </w:tcBorders>
            <w:tcMar>
              <w:top w:w="0" w:type="nil"/>
              <w:left w:w="0" w:type="nil"/>
              <w:bottom w:w="0" w:type="nil"/>
              <w:right w:w="0" w:type="nil"/>
            </w:tcMar>
          </w:tcPr>
          <w:p w:rsidR="00871692" w:rsidRPr="000C3FB5" w:rsidRDefault="00871692" w:rsidP="002106F9">
            <w:pPr>
              <w:ind w:right="113"/>
              <w:jc w:val="right"/>
              <w:rPr>
                <w:color w:val="00305C"/>
              </w:rPr>
            </w:pPr>
          </w:p>
        </w:tc>
        <w:tc>
          <w:tcPr>
            <w:tcW w:w="1104" w:type="dxa"/>
            <w:tcBorders>
              <w:top w:val="nil"/>
              <w:bottom w:val="nil"/>
            </w:tcBorders>
            <w:shd w:val="clear" w:color="auto" w:fill="E6E6E6"/>
            <w:tcMar>
              <w:top w:w="0" w:type="nil"/>
              <w:left w:w="0" w:type="nil"/>
              <w:bottom w:w="0" w:type="nil"/>
              <w:right w:w="0" w:type="nil"/>
            </w:tcMar>
          </w:tcPr>
          <w:p w:rsidR="00871692" w:rsidRPr="00C7007B" w:rsidRDefault="00871692" w:rsidP="002106F9">
            <w:pPr>
              <w:ind w:left="0" w:right="113"/>
              <w:jc w:val="right"/>
              <w:rPr>
                <w:rFonts w:ascii="Calibri" w:hAnsi="Calibri" w:cs="Calibri"/>
                <w:color w:val="002B45"/>
                <w:lang w:val="en-US"/>
              </w:rPr>
            </w:pPr>
            <w:r w:rsidRPr="00C7007B">
              <w:rPr>
                <w:rFonts w:ascii="Calibri" w:hAnsi="Calibri" w:cs="Calibri"/>
                <w:color w:val="002B45"/>
                <w:lang w:val="en-US"/>
              </w:rPr>
              <w:t>(28.9)</w:t>
            </w:r>
          </w:p>
        </w:tc>
        <w:tc>
          <w:tcPr>
            <w:tcW w:w="1164" w:type="dxa"/>
            <w:tcBorders>
              <w:top w:val="nil"/>
              <w:bottom w:val="nil"/>
            </w:tcBorders>
            <w:tcMar>
              <w:top w:w="0" w:type="nil"/>
              <w:left w:w="0" w:type="nil"/>
              <w:bottom w:w="0" w:type="nil"/>
              <w:right w:w="0" w:type="nil"/>
            </w:tcMar>
          </w:tcPr>
          <w:p w:rsidR="00871692" w:rsidRPr="00C7007B" w:rsidRDefault="00871692" w:rsidP="002106F9">
            <w:pPr>
              <w:ind w:left="0" w:right="113"/>
              <w:jc w:val="right"/>
              <w:rPr>
                <w:rFonts w:ascii="Calibri" w:hAnsi="Calibri" w:cs="Calibri"/>
                <w:color w:val="002B45"/>
                <w:lang w:val="en-US"/>
              </w:rPr>
            </w:pPr>
            <w:r w:rsidRPr="00C7007B">
              <w:rPr>
                <w:rFonts w:ascii="Calibri" w:hAnsi="Calibri" w:cs="Calibri"/>
                <w:color w:val="002B45"/>
                <w:lang w:val="en-US"/>
              </w:rPr>
              <w:t xml:space="preserve"> 11.3 </w:t>
            </w:r>
          </w:p>
        </w:tc>
      </w:tr>
      <w:tr w:rsidR="00871692" w:rsidRPr="00C44CA2" w:rsidTr="007152F7">
        <w:trPr>
          <w:trHeight w:val="283"/>
        </w:trPr>
        <w:tc>
          <w:tcPr>
            <w:tcW w:w="6096" w:type="dxa"/>
            <w:tcBorders>
              <w:top w:val="nil"/>
              <w:bottom w:val="single" w:sz="4" w:space="0" w:color="A6A6A6" w:themeColor="background1" w:themeShade="A6"/>
            </w:tcBorders>
            <w:tcMar>
              <w:top w:w="0" w:type="nil"/>
              <w:left w:w="0" w:type="nil"/>
              <w:bottom w:w="0" w:type="nil"/>
              <w:right w:w="0" w:type="nil"/>
            </w:tcMar>
          </w:tcPr>
          <w:p w:rsidR="00871692" w:rsidRPr="00D820ED" w:rsidRDefault="00871692" w:rsidP="002106F9">
            <w:pPr>
              <w:pStyle w:val="Tabletext0"/>
              <w:ind w:left="0"/>
              <w:rPr>
                <w:rFonts w:ascii="Calibri" w:hAnsi="Calibri" w:cs="Calibri"/>
                <w:color w:val="002B45"/>
              </w:rPr>
            </w:pPr>
            <w:r w:rsidRPr="00D820ED">
              <w:rPr>
                <w:rFonts w:ascii="Calibri" w:hAnsi="Calibri" w:cs="Calibri"/>
                <w:color w:val="002B45"/>
              </w:rPr>
              <w:t xml:space="preserve">Increase in trade payables </w:t>
            </w:r>
          </w:p>
        </w:tc>
        <w:tc>
          <w:tcPr>
            <w:tcW w:w="1134" w:type="dxa"/>
            <w:tcBorders>
              <w:top w:val="nil"/>
              <w:bottom w:val="single" w:sz="4" w:space="0" w:color="A6A6A6" w:themeColor="background1" w:themeShade="A6"/>
            </w:tcBorders>
            <w:tcMar>
              <w:top w:w="0" w:type="nil"/>
              <w:left w:w="0" w:type="nil"/>
              <w:bottom w:w="0" w:type="nil"/>
              <w:right w:w="0" w:type="nil"/>
            </w:tcMar>
          </w:tcPr>
          <w:p w:rsidR="00871692" w:rsidRPr="000C3FB5" w:rsidRDefault="00871692" w:rsidP="002106F9">
            <w:pPr>
              <w:ind w:right="113"/>
              <w:jc w:val="right"/>
              <w:rPr>
                <w:color w:val="00305C"/>
              </w:rPr>
            </w:pPr>
          </w:p>
        </w:tc>
        <w:tc>
          <w:tcPr>
            <w:tcW w:w="1104" w:type="dxa"/>
            <w:tcBorders>
              <w:top w:val="nil"/>
              <w:bottom w:val="single" w:sz="4" w:space="0" w:color="A6A6A6" w:themeColor="background1" w:themeShade="A6"/>
            </w:tcBorders>
            <w:shd w:val="clear" w:color="auto" w:fill="E6E6E6"/>
            <w:tcMar>
              <w:top w:w="0" w:type="nil"/>
              <w:left w:w="0" w:type="nil"/>
              <w:bottom w:w="0" w:type="nil"/>
              <w:right w:w="0" w:type="nil"/>
            </w:tcMar>
          </w:tcPr>
          <w:p w:rsidR="00871692" w:rsidRPr="00C7007B" w:rsidRDefault="00871692" w:rsidP="002106F9">
            <w:pPr>
              <w:ind w:left="0" w:right="113"/>
              <w:jc w:val="right"/>
              <w:rPr>
                <w:rFonts w:ascii="Calibri" w:hAnsi="Calibri" w:cs="Calibri"/>
                <w:color w:val="002B45"/>
                <w:lang w:val="en-US"/>
              </w:rPr>
            </w:pPr>
            <w:r w:rsidRPr="00C7007B">
              <w:rPr>
                <w:rFonts w:ascii="Calibri" w:hAnsi="Calibri" w:cs="Calibri"/>
                <w:color w:val="002B45"/>
                <w:lang w:val="en-US"/>
              </w:rPr>
              <w:t xml:space="preserve"> 49.6 </w:t>
            </w:r>
          </w:p>
        </w:tc>
        <w:tc>
          <w:tcPr>
            <w:tcW w:w="1164" w:type="dxa"/>
            <w:tcBorders>
              <w:top w:val="nil"/>
              <w:bottom w:val="single" w:sz="4" w:space="0" w:color="A6A6A6" w:themeColor="background1" w:themeShade="A6"/>
            </w:tcBorders>
            <w:tcMar>
              <w:top w:w="0" w:type="nil"/>
              <w:left w:w="0" w:type="nil"/>
              <w:bottom w:w="0" w:type="nil"/>
              <w:right w:w="0" w:type="nil"/>
            </w:tcMar>
          </w:tcPr>
          <w:p w:rsidR="00871692" w:rsidRPr="00C7007B" w:rsidRDefault="00871692" w:rsidP="002106F9">
            <w:pPr>
              <w:ind w:left="0" w:right="113"/>
              <w:jc w:val="right"/>
              <w:rPr>
                <w:rFonts w:ascii="Calibri" w:hAnsi="Calibri" w:cs="Calibri"/>
                <w:color w:val="002B45"/>
                <w:lang w:val="en-US"/>
              </w:rPr>
            </w:pPr>
            <w:r w:rsidRPr="00C7007B">
              <w:rPr>
                <w:rFonts w:ascii="Calibri" w:hAnsi="Calibri" w:cs="Calibri"/>
                <w:color w:val="002B45"/>
                <w:lang w:val="en-US"/>
              </w:rPr>
              <w:t xml:space="preserve"> 7.5 </w:t>
            </w:r>
          </w:p>
        </w:tc>
      </w:tr>
      <w:tr w:rsidR="00871692" w:rsidRPr="00C44CA2" w:rsidTr="007152F7">
        <w:trPr>
          <w:trHeight w:val="283"/>
        </w:trPr>
        <w:tc>
          <w:tcPr>
            <w:tcW w:w="6096" w:type="dxa"/>
            <w:tcBorders>
              <w:top w:val="single" w:sz="4" w:space="0" w:color="A6A6A6" w:themeColor="background1" w:themeShade="A6"/>
              <w:bottom w:val="nil"/>
            </w:tcBorders>
            <w:tcMar>
              <w:top w:w="0" w:type="nil"/>
              <w:left w:w="0" w:type="nil"/>
              <w:bottom w:w="0" w:type="nil"/>
              <w:right w:w="0" w:type="nil"/>
            </w:tcMar>
          </w:tcPr>
          <w:p w:rsidR="00871692" w:rsidRPr="00721877" w:rsidRDefault="00871692" w:rsidP="002106F9">
            <w:pPr>
              <w:pStyle w:val="Tabletext0"/>
              <w:ind w:left="0"/>
              <w:rPr>
                <w:rFonts w:ascii="Calibri" w:hAnsi="Calibri" w:cs="Calibri"/>
                <w:color w:val="002B45"/>
              </w:rPr>
            </w:pPr>
            <w:r w:rsidRPr="00721877">
              <w:rPr>
                <w:rFonts w:ascii="Calibri" w:hAnsi="Calibri" w:cs="Calibri"/>
                <w:color w:val="002B45"/>
              </w:rPr>
              <w:t xml:space="preserve">Cash flows from operating activities </w:t>
            </w:r>
          </w:p>
        </w:tc>
        <w:tc>
          <w:tcPr>
            <w:tcW w:w="1134" w:type="dxa"/>
            <w:tcBorders>
              <w:top w:val="single" w:sz="4" w:space="0" w:color="A6A6A6" w:themeColor="background1" w:themeShade="A6"/>
              <w:bottom w:val="nil"/>
            </w:tcBorders>
            <w:tcMar>
              <w:top w:w="0" w:type="nil"/>
              <w:left w:w="0" w:type="nil"/>
              <w:bottom w:w="0" w:type="nil"/>
              <w:right w:w="0" w:type="nil"/>
            </w:tcMar>
          </w:tcPr>
          <w:p w:rsidR="00871692" w:rsidRPr="000C3FB5" w:rsidRDefault="00871692" w:rsidP="002106F9">
            <w:pPr>
              <w:pStyle w:val="TableFigures"/>
              <w:ind w:left="0" w:right="113"/>
              <w:rPr>
                <w:rFonts w:ascii="Calibri" w:hAnsi="Calibri" w:cs="Calibri"/>
                <w:color w:val="00305C"/>
                <w:sz w:val="19"/>
                <w:szCs w:val="24"/>
                <w:lang w:val="en-US" w:eastAsia="en-US"/>
              </w:rPr>
            </w:pPr>
          </w:p>
        </w:tc>
        <w:tc>
          <w:tcPr>
            <w:tcW w:w="1104" w:type="dxa"/>
            <w:tcBorders>
              <w:top w:val="single" w:sz="4" w:space="0" w:color="A6A6A6" w:themeColor="background1" w:themeShade="A6"/>
              <w:bottom w:val="nil"/>
            </w:tcBorders>
            <w:shd w:val="clear" w:color="auto" w:fill="E6E6E6"/>
            <w:tcMar>
              <w:top w:w="0" w:type="nil"/>
              <w:left w:w="0" w:type="nil"/>
              <w:bottom w:w="0" w:type="nil"/>
              <w:right w:w="0" w:type="nil"/>
            </w:tcMar>
          </w:tcPr>
          <w:p w:rsidR="00871692" w:rsidRPr="00C7007B" w:rsidRDefault="00871692" w:rsidP="00263A06">
            <w:pPr>
              <w:ind w:left="0" w:right="113"/>
              <w:jc w:val="right"/>
              <w:rPr>
                <w:rFonts w:ascii="Calibri" w:hAnsi="Calibri" w:cs="Calibri"/>
                <w:color w:val="002B45"/>
                <w:lang w:val="en-US"/>
              </w:rPr>
            </w:pPr>
            <w:r w:rsidRPr="00C7007B">
              <w:rPr>
                <w:rFonts w:ascii="Calibri" w:hAnsi="Calibri" w:cs="Calibri"/>
                <w:color w:val="002B45"/>
                <w:lang w:val="en-US"/>
              </w:rPr>
              <w:t xml:space="preserve"> </w:t>
            </w:r>
            <w:r w:rsidR="00263A06">
              <w:rPr>
                <w:rFonts w:ascii="Calibri" w:hAnsi="Calibri" w:cs="Calibri"/>
                <w:color w:val="002B45"/>
                <w:lang w:val="en-US"/>
              </w:rPr>
              <w:t>1,997</w:t>
            </w:r>
            <w:r w:rsidRPr="00C7007B">
              <w:rPr>
                <w:rFonts w:ascii="Calibri" w:hAnsi="Calibri" w:cs="Calibri"/>
                <w:color w:val="002B45"/>
                <w:lang w:val="en-US"/>
              </w:rPr>
              <w:t xml:space="preserve">.6 </w:t>
            </w:r>
          </w:p>
        </w:tc>
        <w:tc>
          <w:tcPr>
            <w:tcW w:w="1164" w:type="dxa"/>
            <w:tcBorders>
              <w:top w:val="single" w:sz="4" w:space="0" w:color="A6A6A6" w:themeColor="background1" w:themeShade="A6"/>
              <w:bottom w:val="nil"/>
            </w:tcBorders>
            <w:tcMar>
              <w:top w:w="0" w:type="nil"/>
              <w:left w:w="0" w:type="nil"/>
              <w:bottom w:w="0" w:type="nil"/>
              <w:right w:w="0" w:type="nil"/>
            </w:tcMar>
          </w:tcPr>
          <w:p w:rsidR="00871692" w:rsidRPr="00C7007B" w:rsidRDefault="00871692" w:rsidP="002106F9">
            <w:pPr>
              <w:ind w:left="0" w:right="113"/>
              <w:jc w:val="right"/>
              <w:rPr>
                <w:rFonts w:ascii="Calibri" w:hAnsi="Calibri" w:cs="Calibri"/>
                <w:color w:val="002B45"/>
                <w:lang w:val="en-US"/>
              </w:rPr>
            </w:pPr>
            <w:r w:rsidRPr="00C7007B">
              <w:rPr>
                <w:rFonts w:ascii="Calibri" w:hAnsi="Calibri" w:cs="Calibri"/>
                <w:color w:val="002B45"/>
                <w:lang w:val="en-US"/>
              </w:rPr>
              <w:t xml:space="preserve"> 1,784.5 </w:t>
            </w:r>
          </w:p>
        </w:tc>
      </w:tr>
      <w:tr w:rsidR="00871692" w:rsidRPr="00C44CA2" w:rsidTr="007152F7">
        <w:trPr>
          <w:trHeight w:val="283"/>
        </w:trPr>
        <w:tc>
          <w:tcPr>
            <w:tcW w:w="6096" w:type="dxa"/>
            <w:tcBorders>
              <w:top w:val="nil"/>
              <w:bottom w:val="single" w:sz="4" w:space="0" w:color="999999"/>
            </w:tcBorders>
            <w:tcMar>
              <w:top w:w="0" w:type="nil"/>
              <w:left w:w="0" w:type="nil"/>
              <w:bottom w:w="0" w:type="nil"/>
              <w:right w:w="0" w:type="nil"/>
            </w:tcMar>
          </w:tcPr>
          <w:p w:rsidR="00871692" w:rsidRPr="00721877" w:rsidRDefault="00871692" w:rsidP="002106F9">
            <w:pPr>
              <w:pStyle w:val="Tabletext0"/>
              <w:ind w:left="0"/>
              <w:rPr>
                <w:rFonts w:ascii="Calibri" w:hAnsi="Calibri" w:cs="Calibri"/>
                <w:color w:val="002B45"/>
              </w:rPr>
            </w:pPr>
            <w:r w:rsidRPr="00721877">
              <w:rPr>
                <w:rFonts w:ascii="Calibri" w:hAnsi="Calibri" w:cs="Calibri"/>
                <w:color w:val="002B45"/>
              </w:rPr>
              <w:t xml:space="preserve">Income taxes paid </w:t>
            </w:r>
          </w:p>
        </w:tc>
        <w:tc>
          <w:tcPr>
            <w:tcW w:w="1134" w:type="dxa"/>
            <w:tcBorders>
              <w:top w:val="nil"/>
              <w:bottom w:val="single" w:sz="4" w:space="0" w:color="999999"/>
            </w:tcBorders>
            <w:tcMar>
              <w:top w:w="0" w:type="nil"/>
              <w:left w:w="0" w:type="nil"/>
              <w:bottom w:w="0" w:type="nil"/>
              <w:right w:w="0" w:type="nil"/>
            </w:tcMar>
          </w:tcPr>
          <w:p w:rsidR="00871692" w:rsidRPr="000C3FB5" w:rsidRDefault="00871692" w:rsidP="002106F9">
            <w:pPr>
              <w:pStyle w:val="TableFigures"/>
              <w:ind w:left="0" w:right="113"/>
              <w:rPr>
                <w:rFonts w:ascii="Calibri" w:hAnsi="Calibri" w:cs="Calibri"/>
                <w:color w:val="00305C"/>
                <w:sz w:val="19"/>
                <w:szCs w:val="24"/>
                <w:lang w:val="en-US" w:eastAsia="en-US"/>
              </w:rPr>
            </w:pPr>
          </w:p>
        </w:tc>
        <w:tc>
          <w:tcPr>
            <w:tcW w:w="1104" w:type="dxa"/>
            <w:tcBorders>
              <w:top w:val="nil"/>
              <w:bottom w:val="single" w:sz="4" w:space="0" w:color="999999"/>
            </w:tcBorders>
            <w:shd w:val="clear" w:color="auto" w:fill="E6E6E6"/>
            <w:tcMar>
              <w:top w:w="0" w:type="nil"/>
              <w:left w:w="0" w:type="nil"/>
              <w:bottom w:w="0" w:type="nil"/>
              <w:right w:w="0" w:type="nil"/>
            </w:tcMar>
          </w:tcPr>
          <w:p w:rsidR="00871692" w:rsidRPr="00C7007B" w:rsidRDefault="00871692" w:rsidP="002106F9">
            <w:pPr>
              <w:ind w:left="0" w:right="113"/>
              <w:jc w:val="right"/>
              <w:rPr>
                <w:rFonts w:ascii="Calibri" w:hAnsi="Calibri" w:cs="Calibri"/>
                <w:color w:val="002B45"/>
                <w:lang w:val="en-US"/>
              </w:rPr>
            </w:pPr>
            <w:r w:rsidRPr="00C7007B">
              <w:rPr>
                <w:rFonts w:ascii="Calibri" w:hAnsi="Calibri" w:cs="Calibri"/>
                <w:color w:val="002B45"/>
                <w:lang w:val="en-US"/>
              </w:rPr>
              <w:t>(252.3)</w:t>
            </w:r>
          </w:p>
        </w:tc>
        <w:tc>
          <w:tcPr>
            <w:tcW w:w="1164" w:type="dxa"/>
            <w:tcBorders>
              <w:top w:val="nil"/>
              <w:bottom w:val="single" w:sz="4" w:space="0" w:color="999999"/>
            </w:tcBorders>
            <w:tcMar>
              <w:top w:w="0" w:type="nil"/>
              <w:left w:w="0" w:type="nil"/>
              <w:bottom w:w="0" w:type="nil"/>
              <w:right w:w="0" w:type="nil"/>
            </w:tcMar>
          </w:tcPr>
          <w:p w:rsidR="00871692" w:rsidRPr="00C7007B" w:rsidRDefault="00871692" w:rsidP="002106F9">
            <w:pPr>
              <w:ind w:left="0" w:right="113"/>
              <w:jc w:val="right"/>
              <w:rPr>
                <w:rFonts w:ascii="Calibri" w:hAnsi="Calibri" w:cs="Calibri"/>
                <w:color w:val="002B45"/>
                <w:lang w:val="en-US"/>
              </w:rPr>
            </w:pPr>
            <w:r w:rsidRPr="00C7007B">
              <w:rPr>
                <w:rFonts w:ascii="Calibri" w:hAnsi="Calibri" w:cs="Calibri"/>
                <w:color w:val="002B45"/>
                <w:lang w:val="en-US"/>
              </w:rPr>
              <w:t>(264.1)</w:t>
            </w:r>
          </w:p>
        </w:tc>
      </w:tr>
      <w:tr w:rsidR="00871692" w:rsidTr="007152F7">
        <w:trPr>
          <w:trHeight w:val="283"/>
        </w:trPr>
        <w:tc>
          <w:tcPr>
            <w:tcW w:w="6096" w:type="dxa"/>
            <w:tcBorders>
              <w:top w:val="single" w:sz="4" w:space="0" w:color="999999"/>
              <w:bottom w:val="single" w:sz="4" w:space="0" w:color="999999"/>
            </w:tcBorders>
            <w:tcMar>
              <w:top w:w="0" w:type="nil"/>
              <w:left w:w="0" w:type="nil"/>
              <w:bottom w:w="0" w:type="nil"/>
              <w:right w:w="0" w:type="nil"/>
            </w:tcMar>
          </w:tcPr>
          <w:p w:rsidR="00871692" w:rsidRPr="00D820ED" w:rsidRDefault="00871692" w:rsidP="002106F9">
            <w:pPr>
              <w:pStyle w:val="Tabletext0"/>
              <w:ind w:left="0"/>
              <w:rPr>
                <w:rFonts w:ascii="Calibri" w:hAnsi="Calibri" w:cs="Calibri"/>
                <w:b/>
                <w:color w:val="002B45"/>
              </w:rPr>
            </w:pPr>
            <w:r w:rsidRPr="00D820ED">
              <w:rPr>
                <w:rFonts w:ascii="Calibri" w:hAnsi="Calibri" w:cs="Calibri"/>
                <w:b/>
                <w:color w:val="002B45"/>
              </w:rPr>
              <w:t xml:space="preserve">Net cash from operating activities </w:t>
            </w:r>
          </w:p>
        </w:tc>
        <w:tc>
          <w:tcPr>
            <w:tcW w:w="1134" w:type="dxa"/>
            <w:tcBorders>
              <w:top w:val="single" w:sz="4" w:space="0" w:color="999999"/>
              <w:bottom w:val="single" w:sz="4" w:space="0" w:color="999999"/>
            </w:tcBorders>
            <w:tcMar>
              <w:top w:w="0" w:type="nil"/>
              <w:left w:w="0" w:type="nil"/>
              <w:bottom w:w="0" w:type="nil"/>
              <w:right w:w="0" w:type="nil"/>
            </w:tcMar>
          </w:tcPr>
          <w:p w:rsidR="00871692" w:rsidRPr="000C3FB5" w:rsidRDefault="00871692" w:rsidP="002106F9">
            <w:pPr>
              <w:pStyle w:val="TableFigures"/>
              <w:ind w:left="0" w:right="113"/>
              <w:rPr>
                <w:rFonts w:ascii="Calibri" w:hAnsi="Calibri" w:cs="Calibri"/>
                <w:color w:val="00305C"/>
                <w:sz w:val="19"/>
                <w:szCs w:val="24"/>
                <w:lang w:val="en-US" w:eastAsia="en-US"/>
              </w:rPr>
            </w:pPr>
          </w:p>
        </w:tc>
        <w:tc>
          <w:tcPr>
            <w:tcW w:w="1104" w:type="dxa"/>
            <w:tcBorders>
              <w:top w:val="single" w:sz="4" w:space="0" w:color="999999"/>
              <w:bottom w:val="single" w:sz="4" w:space="0" w:color="999999"/>
            </w:tcBorders>
            <w:shd w:val="clear" w:color="auto" w:fill="E6E6E6"/>
            <w:tcMar>
              <w:top w:w="0" w:type="nil"/>
              <w:left w:w="0" w:type="nil"/>
              <w:bottom w:w="0" w:type="nil"/>
              <w:right w:w="0" w:type="nil"/>
            </w:tcMar>
          </w:tcPr>
          <w:p w:rsidR="00871692" w:rsidRPr="00C7007B" w:rsidRDefault="00871692" w:rsidP="00263A06">
            <w:pPr>
              <w:ind w:left="0" w:right="113"/>
              <w:jc w:val="right"/>
              <w:rPr>
                <w:rFonts w:ascii="Calibri" w:hAnsi="Calibri" w:cs="Calibri"/>
                <w:color w:val="002B45"/>
                <w:lang w:val="en-US"/>
              </w:rPr>
            </w:pPr>
            <w:r w:rsidRPr="00C7007B">
              <w:rPr>
                <w:rFonts w:ascii="Calibri" w:hAnsi="Calibri" w:cs="Calibri"/>
                <w:color w:val="002B45"/>
                <w:lang w:val="en-US"/>
              </w:rPr>
              <w:t xml:space="preserve"> 1,7</w:t>
            </w:r>
            <w:r w:rsidR="00263A06">
              <w:rPr>
                <w:rFonts w:ascii="Calibri" w:hAnsi="Calibri" w:cs="Calibri"/>
                <w:color w:val="002B45"/>
                <w:lang w:val="en-US"/>
              </w:rPr>
              <w:t>4</w:t>
            </w:r>
            <w:r w:rsidRPr="00C7007B">
              <w:rPr>
                <w:rFonts w:ascii="Calibri" w:hAnsi="Calibri" w:cs="Calibri"/>
                <w:color w:val="002B45"/>
                <w:lang w:val="en-US"/>
              </w:rPr>
              <w:t xml:space="preserve">5.3 </w:t>
            </w:r>
          </w:p>
        </w:tc>
        <w:tc>
          <w:tcPr>
            <w:tcW w:w="1164" w:type="dxa"/>
            <w:tcBorders>
              <w:top w:val="single" w:sz="4" w:space="0" w:color="999999"/>
              <w:bottom w:val="single" w:sz="4" w:space="0" w:color="999999"/>
            </w:tcBorders>
            <w:tcMar>
              <w:top w:w="0" w:type="nil"/>
              <w:left w:w="0" w:type="nil"/>
              <w:bottom w:w="0" w:type="nil"/>
              <w:right w:w="0" w:type="nil"/>
            </w:tcMar>
          </w:tcPr>
          <w:p w:rsidR="00871692" w:rsidRPr="00C7007B" w:rsidRDefault="00871692" w:rsidP="002106F9">
            <w:pPr>
              <w:ind w:left="0" w:right="113"/>
              <w:jc w:val="right"/>
              <w:rPr>
                <w:rFonts w:ascii="Calibri" w:hAnsi="Calibri" w:cs="Calibri"/>
                <w:color w:val="002B45"/>
                <w:lang w:val="en-US"/>
              </w:rPr>
            </w:pPr>
            <w:r w:rsidRPr="00C7007B">
              <w:rPr>
                <w:rFonts w:ascii="Calibri" w:hAnsi="Calibri" w:cs="Calibri"/>
                <w:color w:val="002B45"/>
                <w:lang w:val="en-US"/>
              </w:rPr>
              <w:t xml:space="preserve"> 1,520.4 </w:t>
            </w:r>
          </w:p>
        </w:tc>
      </w:tr>
      <w:tr w:rsidR="00871692" w:rsidRPr="00C44CA2" w:rsidTr="007152F7">
        <w:trPr>
          <w:trHeight w:val="283"/>
        </w:trPr>
        <w:tc>
          <w:tcPr>
            <w:tcW w:w="6096" w:type="dxa"/>
            <w:tcBorders>
              <w:top w:val="single" w:sz="4" w:space="0" w:color="999999"/>
              <w:bottom w:val="nil"/>
            </w:tcBorders>
            <w:tcMar>
              <w:top w:w="0" w:type="nil"/>
              <w:left w:w="0" w:type="nil"/>
              <w:bottom w:w="0" w:type="nil"/>
              <w:right w:w="0" w:type="nil"/>
            </w:tcMar>
          </w:tcPr>
          <w:p w:rsidR="00871692" w:rsidRPr="002106F9" w:rsidRDefault="00871692" w:rsidP="002106F9">
            <w:pPr>
              <w:pStyle w:val="Tabletext0"/>
              <w:ind w:left="0"/>
              <w:rPr>
                <w:rFonts w:ascii="Calibri" w:hAnsi="Calibri" w:cs="Calibri"/>
                <w:b/>
                <w:color w:val="002B45"/>
              </w:rPr>
            </w:pPr>
            <w:r w:rsidRPr="002106F9">
              <w:rPr>
                <w:rFonts w:ascii="Calibri" w:hAnsi="Calibri" w:cs="Calibri"/>
                <w:b/>
                <w:color w:val="002B45"/>
              </w:rPr>
              <w:t xml:space="preserve">Cash flows from investing activities </w:t>
            </w:r>
          </w:p>
        </w:tc>
        <w:tc>
          <w:tcPr>
            <w:tcW w:w="1134" w:type="dxa"/>
            <w:tcBorders>
              <w:top w:val="single" w:sz="4" w:space="0" w:color="999999"/>
              <w:bottom w:val="nil"/>
            </w:tcBorders>
            <w:tcMar>
              <w:top w:w="0" w:type="nil"/>
              <w:left w:w="0" w:type="nil"/>
              <w:bottom w:w="0" w:type="nil"/>
              <w:right w:w="0" w:type="nil"/>
            </w:tcMar>
          </w:tcPr>
          <w:p w:rsidR="00871692" w:rsidRPr="000C3FB5" w:rsidRDefault="00871692" w:rsidP="002106F9">
            <w:pPr>
              <w:pStyle w:val="TableFigures"/>
              <w:ind w:left="0" w:right="113"/>
              <w:rPr>
                <w:rFonts w:ascii="Calibri" w:hAnsi="Calibri" w:cs="Calibri"/>
                <w:color w:val="00305C"/>
                <w:sz w:val="19"/>
                <w:szCs w:val="24"/>
                <w:lang w:val="en-US" w:eastAsia="en-US"/>
              </w:rPr>
            </w:pPr>
          </w:p>
        </w:tc>
        <w:tc>
          <w:tcPr>
            <w:tcW w:w="1104" w:type="dxa"/>
            <w:tcBorders>
              <w:top w:val="single" w:sz="4" w:space="0" w:color="999999"/>
              <w:bottom w:val="nil"/>
            </w:tcBorders>
            <w:shd w:val="clear" w:color="auto" w:fill="E6E6E6"/>
            <w:tcMar>
              <w:top w:w="0" w:type="nil"/>
              <w:left w:w="0" w:type="nil"/>
              <w:bottom w:w="0" w:type="nil"/>
              <w:right w:w="0" w:type="nil"/>
            </w:tcMar>
          </w:tcPr>
          <w:p w:rsidR="00871692" w:rsidRPr="00C7007B" w:rsidRDefault="00871692" w:rsidP="002106F9">
            <w:pPr>
              <w:ind w:left="0" w:right="113"/>
              <w:jc w:val="right"/>
              <w:rPr>
                <w:rFonts w:ascii="Calibri" w:hAnsi="Calibri" w:cs="Calibri"/>
                <w:color w:val="002B45"/>
                <w:lang w:val="en-US"/>
              </w:rPr>
            </w:pPr>
          </w:p>
        </w:tc>
        <w:tc>
          <w:tcPr>
            <w:tcW w:w="1164" w:type="dxa"/>
            <w:tcBorders>
              <w:top w:val="single" w:sz="4" w:space="0" w:color="999999"/>
              <w:bottom w:val="nil"/>
            </w:tcBorders>
            <w:tcMar>
              <w:top w:w="0" w:type="nil"/>
              <w:left w:w="0" w:type="nil"/>
              <w:bottom w:w="0" w:type="nil"/>
              <w:right w:w="0" w:type="nil"/>
            </w:tcMar>
          </w:tcPr>
          <w:p w:rsidR="00871692" w:rsidRPr="00C7007B" w:rsidRDefault="00871692" w:rsidP="002106F9">
            <w:pPr>
              <w:ind w:left="0" w:right="113"/>
              <w:jc w:val="right"/>
              <w:rPr>
                <w:rFonts w:ascii="Calibri" w:hAnsi="Calibri" w:cs="Calibri"/>
                <w:color w:val="002B45"/>
                <w:lang w:val="en-US"/>
              </w:rPr>
            </w:pPr>
          </w:p>
        </w:tc>
      </w:tr>
      <w:tr w:rsidR="00871692" w:rsidRPr="00C44CA2" w:rsidTr="007152F7">
        <w:trPr>
          <w:trHeight w:val="283"/>
        </w:trPr>
        <w:tc>
          <w:tcPr>
            <w:tcW w:w="6096" w:type="dxa"/>
            <w:tcBorders>
              <w:top w:val="nil"/>
              <w:bottom w:val="nil"/>
            </w:tcBorders>
            <w:tcMar>
              <w:top w:w="0" w:type="nil"/>
              <w:left w:w="0" w:type="nil"/>
              <w:bottom w:w="0" w:type="nil"/>
              <w:right w:w="0" w:type="nil"/>
            </w:tcMar>
          </w:tcPr>
          <w:p w:rsidR="00871692" w:rsidRDefault="00871692" w:rsidP="002106F9">
            <w:pPr>
              <w:pStyle w:val="Tabletext0"/>
              <w:ind w:left="0"/>
              <w:rPr>
                <w:rFonts w:ascii="Calibri" w:hAnsi="Calibri" w:cs="Calibri"/>
                <w:color w:val="002B45"/>
              </w:rPr>
            </w:pPr>
            <w:r>
              <w:rPr>
                <w:rFonts w:ascii="Calibri" w:hAnsi="Calibri" w:cs="Calibri"/>
                <w:color w:val="002B45"/>
              </w:rPr>
              <w:t xml:space="preserve">Disposal of </w:t>
            </w:r>
            <w:r w:rsidRPr="00721877">
              <w:rPr>
                <w:rFonts w:ascii="Calibri" w:hAnsi="Calibri" w:cs="Calibri"/>
                <w:color w:val="002B45"/>
              </w:rPr>
              <w:t>subsidiaries</w:t>
            </w:r>
          </w:p>
        </w:tc>
        <w:tc>
          <w:tcPr>
            <w:tcW w:w="1134" w:type="dxa"/>
            <w:tcBorders>
              <w:top w:val="nil"/>
              <w:bottom w:val="nil"/>
            </w:tcBorders>
            <w:tcMar>
              <w:top w:w="0" w:type="nil"/>
              <w:left w:w="0" w:type="nil"/>
              <w:bottom w:w="0" w:type="nil"/>
              <w:right w:w="0" w:type="nil"/>
            </w:tcMar>
          </w:tcPr>
          <w:p w:rsidR="00871692" w:rsidRPr="000C3FB5" w:rsidRDefault="00F72249" w:rsidP="002106F9">
            <w:pPr>
              <w:pStyle w:val="TableFigures"/>
              <w:ind w:right="113"/>
              <w:rPr>
                <w:rFonts w:ascii="Calibri" w:hAnsi="Calibri" w:cs="Calibri"/>
                <w:color w:val="00305C"/>
              </w:rPr>
            </w:pPr>
            <w:r w:rsidRPr="000C3FB5">
              <w:rPr>
                <w:rFonts w:ascii="Calibri" w:hAnsi="Calibri" w:cs="Calibri"/>
                <w:color w:val="00305C"/>
              </w:rPr>
              <w:t>9</w:t>
            </w:r>
          </w:p>
        </w:tc>
        <w:tc>
          <w:tcPr>
            <w:tcW w:w="1104" w:type="dxa"/>
            <w:tcBorders>
              <w:top w:val="nil"/>
              <w:bottom w:val="nil"/>
            </w:tcBorders>
            <w:shd w:val="clear" w:color="auto" w:fill="E6E6E6"/>
            <w:tcMar>
              <w:top w:w="0" w:type="nil"/>
              <w:left w:w="0" w:type="nil"/>
              <w:bottom w:w="0" w:type="nil"/>
              <w:right w:w="0" w:type="nil"/>
            </w:tcMar>
          </w:tcPr>
          <w:p w:rsidR="00871692" w:rsidRPr="00C7007B" w:rsidRDefault="00871692" w:rsidP="002106F9">
            <w:pPr>
              <w:ind w:left="0" w:right="113"/>
              <w:jc w:val="right"/>
              <w:rPr>
                <w:rFonts w:ascii="Calibri" w:hAnsi="Calibri" w:cs="Calibri"/>
                <w:color w:val="002B45"/>
                <w:lang w:val="en-US"/>
              </w:rPr>
            </w:pPr>
            <w:r w:rsidRPr="00C7007B">
              <w:rPr>
                <w:rFonts w:ascii="Calibri" w:hAnsi="Calibri" w:cs="Calibri"/>
                <w:color w:val="002B45"/>
                <w:lang w:val="en-US"/>
              </w:rPr>
              <w:t xml:space="preserve"> 41.4 </w:t>
            </w:r>
          </w:p>
        </w:tc>
        <w:tc>
          <w:tcPr>
            <w:tcW w:w="1164" w:type="dxa"/>
            <w:tcBorders>
              <w:top w:val="nil"/>
              <w:bottom w:val="nil"/>
            </w:tcBorders>
            <w:tcMar>
              <w:top w:w="0" w:type="nil"/>
              <w:left w:w="0" w:type="nil"/>
              <w:bottom w:w="0" w:type="nil"/>
              <w:right w:w="0" w:type="nil"/>
            </w:tcMar>
          </w:tcPr>
          <w:p w:rsidR="00871692" w:rsidRPr="00C7007B" w:rsidRDefault="00871692" w:rsidP="002106F9">
            <w:pPr>
              <w:ind w:left="0" w:right="113"/>
              <w:jc w:val="right"/>
              <w:rPr>
                <w:rFonts w:ascii="Calibri" w:hAnsi="Calibri" w:cs="Calibri"/>
                <w:color w:val="002B45"/>
                <w:lang w:val="en-US"/>
              </w:rPr>
            </w:pPr>
            <w:r w:rsidRPr="00C7007B">
              <w:rPr>
                <w:rFonts w:ascii="Calibri" w:hAnsi="Calibri" w:cs="Calibri"/>
                <w:color w:val="002B45"/>
                <w:lang w:val="en-US"/>
              </w:rPr>
              <w:t>–</w:t>
            </w:r>
          </w:p>
        </w:tc>
      </w:tr>
      <w:tr w:rsidR="00871692" w:rsidRPr="00C44CA2" w:rsidTr="007152F7">
        <w:trPr>
          <w:trHeight w:val="283"/>
        </w:trPr>
        <w:tc>
          <w:tcPr>
            <w:tcW w:w="6096" w:type="dxa"/>
            <w:tcBorders>
              <w:top w:val="nil"/>
              <w:bottom w:val="nil"/>
            </w:tcBorders>
            <w:tcMar>
              <w:top w:w="0" w:type="nil"/>
              <w:left w:w="0" w:type="nil"/>
              <w:bottom w:w="0" w:type="nil"/>
              <w:right w:w="0" w:type="nil"/>
            </w:tcMar>
          </w:tcPr>
          <w:p w:rsidR="00871692" w:rsidRPr="00721877" w:rsidRDefault="00871692" w:rsidP="002106F9">
            <w:pPr>
              <w:pStyle w:val="Tabletext0"/>
              <w:ind w:left="0"/>
              <w:rPr>
                <w:rFonts w:ascii="Calibri" w:hAnsi="Calibri" w:cs="Calibri"/>
                <w:color w:val="002B45"/>
              </w:rPr>
            </w:pPr>
            <w:r>
              <w:rPr>
                <w:rFonts w:ascii="Calibri" w:hAnsi="Calibri" w:cs="Calibri"/>
                <w:color w:val="002B45"/>
              </w:rPr>
              <w:t>Disposal of exploration and evaluation assets</w:t>
            </w:r>
          </w:p>
        </w:tc>
        <w:tc>
          <w:tcPr>
            <w:tcW w:w="1134" w:type="dxa"/>
            <w:tcBorders>
              <w:top w:val="nil"/>
              <w:bottom w:val="nil"/>
            </w:tcBorders>
            <w:tcMar>
              <w:top w:w="0" w:type="nil"/>
              <w:left w:w="0" w:type="nil"/>
              <w:bottom w:w="0" w:type="nil"/>
              <w:right w:w="0" w:type="nil"/>
            </w:tcMar>
          </w:tcPr>
          <w:p w:rsidR="00871692" w:rsidRPr="000C3FB5" w:rsidRDefault="00F72249" w:rsidP="002106F9">
            <w:pPr>
              <w:pStyle w:val="TableFigures"/>
              <w:ind w:left="0" w:right="113"/>
              <w:rPr>
                <w:rFonts w:ascii="Calibri" w:hAnsi="Calibri" w:cs="Calibri"/>
                <w:color w:val="00305C"/>
                <w:sz w:val="19"/>
                <w:szCs w:val="24"/>
                <w:lang w:val="en-US" w:eastAsia="en-US"/>
              </w:rPr>
            </w:pPr>
            <w:r w:rsidRPr="000C3FB5">
              <w:rPr>
                <w:rFonts w:ascii="Calibri" w:hAnsi="Calibri" w:cs="Calibri"/>
                <w:color w:val="00305C"/>
              </w:rPr>
              <w:t>9</w:t>
            </w:r>
          </w:p>
        </w:tc>
        <w:tc>
          <w:tcPr>
            <w:tcW w:w="1104" w:type="dxa"/>
            <w:tcBorders>
              <w:top w:val="nil"/>
              <w:bottom w:val="nil"/>
            </w:tcBorders>
            <w:shd w:val="clear" w:color="auto" w:fill="E6E6E6"/>
            <w:tcMar>
              <w:top w:w="0" w:type="nil"/>
              <w:left w:w="0" w:type="nil"/>
              <w:bottom w:w="0" w:type="nil"/>
              <w:right w:w="0" w:type="nil"/>
            </w:tcMar>
          </w:tcPr>
          <w:p w:rsidR="00871692" w:rsidRPr="00C7007B" w:rsidRDefault="00871692" w:rsidP="002106F9">
            <w:pPr>
              <w:ind w:left="0" w:right="113"/>
              <w:jc w:val="right"/>
              <w:rPr>
                <w:rFonts w:ascii="Calibri" w:hAnsi="Calibri" w:cs="Calibri"/>
                <w:color w:val="002B45"/>
                <w:lang w:val="en-US"/>
              </w:rPr>
            </w:pPr>
            <w:r w:rsidRPr="00C7007B">
              <w:rPr>
                <w:rFonts w:ascii="Calibri" w:hAnsi="Calibri" w:cs="Calibri"/>
                <w:color w:val="002B45"/>
                <w:lang w:val="en-US"/>
              </w:rPr>
              <w:t xml:space="preserve"> </w:t>
            </w:r>
            <w:r w:rsidR="00263A06">
              <w:rPr>
                <w:rFonts w:ascii="Calibri" w:hAnsi="Calibri" w:cs="Calibri"/>
                <w:color w:val="002B45"/>
                <w:lang w:val="en-US"/>
              </w:rPr>
              <w:t>3</w:t>
            </w:r>
            <w:r w:rsidRPr="00C7007B">
              <w:rPr>
                <w:rFonts w:ascii="Calibri" w:hAnsi="Calibri" w:cs="Calibri"/>
                <w:color w:val="002B45"/>
                <w:lang w:val="en-US"/>
              </w:rPr>
              <w:t xml:space="preserve">8.2 </w:t>
            </w:r>
          </w:p>
        </w:tc>
        <w:tc>
          <w:tcPr>
            <w:tcW w:w="1164" w:type="dxa"/>
            <w:tcBorders>
              <w:top w:val="nil"/>
              <w:bottom w:val="nil"/>
            </w:tcBorders>
            <w:tcMar>
              <w:top w:w="0" w:type="nil"/>
              <w:left w:w="0" w:type="nil"/>
              <w:bottom w:w="0" w:type="nil"/>
              <w:right w:w="0" w:type="nil"/>
            </w:tcMar>
          </w:tcPr>
          <w:p w:rsidR="00871692" w:rsidRPr="00C7007B" w:rsidRDefault="00871692" w:rsidP="002106F9">
            <w:pPr>
              <w:ind w:left="0" w:right="113"/>
              <w:jc w:val="right"/>
              <w:rPr>
                <w:rFonts w:ascii="Calibri" w:hAnsi="Calibri" w:cs="Calibri"/>
                <w:color w:val="002B45"/>
                <w:lang w:val="en-US"/>
              </w:rPr>
            </w:pPr>
            <w:r w:rsidRPr="00C7007B">
              <w:rPr>
                <w:rFonts w:ascii="Calibri" w:hAnsi="Calibri" w:cs="Calibri"/>
                <w:color w:val="002B45"/>
                <w:lang w:val="en-US"/>
              </w:rPr>
              <w:t xml:space="preserve"> 2,568.2 </w:t>
            </w:r>
          </w:p>
        </w:tc>
      </w:tr>
      <w:tr w:rsidR="00871692" w:rsidRPr="00C44CA2" w:rsidTr="007152F7">
        <w:trPr>
          <w:trHeight w:val="283"/>
        </w:trPr>
        <w:tc>
          <w:tcPr>
            <w:tcW w:w="6096" w:type="dxa"/>
            <w:tcBorders>
              <w:top w:val="nil"/>
              <w:bottom w:val="nil"/>
            </w:tcBorders>
            <w:tcMar>
              <w:top w:w="0" w:type="nil"/>
              <w:left w:w="0" w:type="nil"/>
              <w:bottom w:w="0" w:type="nil"/>
              <w:right w:w="0" w:type="nil"/>
            </w:tcMar>
          </w:tcPr>
          <w:p w:rsidR="00871692" w:rsidRPr="00721877" w:rsidRDefault="00871692" w:rsidP="002106F9">
            <w:pPr>
              <w:pStyle w:val="Tabletext0"/>
              <w:ind w:left="0"/>
              <w:rPr>
                <w:rFonts w:ascii="Calibri" w:hAnsi="Calibri" w:cs="Calibri"/>
                <w:color w:val="002B45"/>
              </w:rPr>
            </w:pPr>
            <w:r w:rsidRPr="00721877">
              <w:rPr>
                <w:rFonts w:ascii="Calibri" w:hAnsi="Calibri" w:cs="Calibri"/>
                <w:color w:val="002B45"/>
              </w:rPr>
              <w:t>Disposal of oil and gas assets</w:t>
            </w:r>
          </w:p>
        </w:tc>
        <w:tc>
          <w:tcPr>
            <w:tcW w:w="1134" w:type="dxa"/>
            <w:tcBorders>
              <w:top w:val="nil"/>
              <w:bottom w:val="nil"/>
            </w:tcBorders>
            <w:tcMar>
              <w:top w:w="0" w:type="nil"/>
              <w:left w:w="0" w:type="nil"/>
              <w:bottom w:w="0" w:type="nil"/>
              <w:right w:w="0" w:type="nil"/>
            </w:tcMar>
          </w:tcPr>
          <w:p w:rsidR="00871692" w:rsidRPr="000C3FB5" w:rsidRDefault="00871692" w:rsidP="002106F9">
            <w:pPr>
              <w:pStyle w:val="TableFigures"/>
              <w:ind w:left="0" w:right="113"/>
              <w:rPr>
                <w:rFonts w:ascii="Calibri" w:hAnsi="Calibri" w:cs="Calibri"/>
                <w:color w:val="00305C"/>
                <w:sz w:val="19"/>
                <w:szCs w:val="24"/>
                <w:lang w:val="en-US" w:eastAsia="en-US"/>
              </w:rPr>
            </w:pPr>
          </w:p>
        </w:tc>
        <w:tc>
          <w:tcPr>
            <w:tcW w:w="1104" w:type="dxa"/>
            <w:tcBorders>
              <w:top w:val="nil"/>
              <w:bottom w:val="nil"/>
            </w:tcBorders>
            <w:shd w:val="clear" w:color="auto" w:fill="E6E6E6"/>
            <w:tcMar>
              <w:top w:w="0" w:type="nil"/>
              <w:left w:w="0" w:type="nil"/>
              <w:bottom w:w="0" w:type="nil"/>
              <w:right w:w="0" w:type="nil"/>
            </w:tcMar>
          </w:tcPr>
          <w:p w:rsidR="00871692" w:rsidRPr="00C7007B" w:rsidRDefault="00871692" w:rsidP="002106F9">
            <w:pPr>
              <w:ind w:left="0" w:right="113"/>
              <w:jc w:val="right"/>
              <w:rPr>
                <w:rFonts w:ascii="Calibri" w:hAnsi="Calibri" w:cs="Calibri"/>
                <w:color w:val="002B45"/>
                <w:lang w:val="en-US"/>
              </w:rPr>
            </w:pPr>
            <w:r w:rsidRPr="00C7007B">
              <w:rPr>
                <w:rFonts w:ascii="Calibri" w:hAnsi="Calibri" w:cs="Calibri"/>
                <w:color w:val="002B45"/>
                <w:lang w:val="en-US"/>
              </w:rPr>
              <w:t xml:space="preserve"> 0.7 </w:t>
            </w:r>
          </w:p>
        </w:tc>
        <w:tc>
          <w:tcPr>
            <w:tcW w:w="1164" w:type="dxa"/>
            <w:tcBorders>
              <w:top w:val="nil"/>
              <w:bottom w:val="nil"/>
            </w:tcBorders>
            <w:tcMar>
              <w:top w:w="0" w:type="nil"/>
              <w:left w:w="0" w:type="nil"/>
              <w:bottom w:w="0" w:type="nil"/>
              <w:right w:w="0" w:type="nil"/>
            </w:tcMar>
          </w:tcPr>
          <w:p w:rsidR="00871692" w:rsidRPr="00C7007B" w:rsidRDefault="00871692" w:rsidP="002106F9">
            <w:pPr>
              <w:ind w:left="0" w:right="113"/>
              <w:jc w:val="right"/>
              <w:rPr>
                <w:rFonts w:ascii="Calibri" w:hAnsi="Calibri" w:cs="Calibri"/>
                <w:color w:val="002B45"/>
                <w:lang w:val="en-US"/>
              </w:rPr>
            </w:pPr>
            <w:r w:rsidRPr="00C7007B">
              <w:rPr>
                <w:rFonts w:ascii="Calibri" w:hAnsi="Calibri" w:cs="Calibri"/>
                <w:color w:val="002B45"/>
                <w:lang w:val="en-US"/>
              </w:rPr>
              <w:t xml:space="preserve"> 0.3 </w:t>
            </w:r>
          </w:p>
        </w:tc>
      </w:tr>
      <w:tr w:rsidR="00871692" w:rsidRPr="00C44CA2" w:rsidTr="007152F7">
        <w:trPr>
          <w:trHeight w:val="283"/>
        </w:trPr>
        <w:tc>
          <w:tcPr>
            <w:tcW w:w="6096" w:type="dxa"/>
            <w:tcBorders>
              <w:top w:val="nil"/>
              <w:bottom w:val="nil"/>
            </w:tcBorders>
            <w:tcMar>
              <w:top w:w="0" w:type="nil"/>
              <w:left w:w="0" w:type="nil"/>
              <w:bottom w:w="0" w:type="nil"/>
              <w:right w:w="0" w:type="nil"/>
            </w:tcMar>
          </w:tcPr>
          <w:p w:rsidR="00871692" w:rsidRPr="00721877" w:rsidRDefault="00871692" w:rsidP="002106F9">
            <w:pPr>
              <w:pStyle w:val="Tabletext0"/>
              <w:ind w:left="0"/>
              <w:rPr>
                <w:rFonts w:ascii="Calibri" w:hAnsi="Calibri" w:cs="Calibri"/>
                <w:color w:val="002B45"/>
              </w:rPr>
            </w:pPr>
            <w:r w:rsidRPr="00721877">
              <w:rPr>
                <w:rFonts w:ascii="Calibri" w:hAnsi="Calibri" w:cs="Calibri"/>
                <w:color w:val="002B45"/>
              </w:rPr>
              <w:t xml:space="preserve">Disposal of </w:t>
            </w:r>
            <w:r>
              <w:rPr>
                <w:rFonts w:ascii="Calibri" w:hAnsi="Calibri" w:cs="Calibri"/>
                <w:color w:val="002B45"/>
              </w:rPr>
              <w:t xml:space="preserve">other </w:t>
            </w:r>
            <w:r w:rsidRPr="00721877">
              <w:rPr>
                <w:rFonts w:ascii="Calibri" w:hAnsi="Calibri" w:cs="Calibri"/>
                <w:color w:val="002B45"/>
              </w:rPr>
              <w:t>assets</w:t>
            </w:r>
          </w:p>
        </w:tc>
        <w:tc>
          <w:tcPr>
            <w:tcW w:w="1134" w:type="dxa"/>
            <w:tcBorders>
              <w:top w:val="nil"/>
              <w:bottom w:val="nil"/>
            </w:tcBorders>
            <w:tcMar>
              <w:top w:w="0" w:type="nil"/>
              <w:left w:w="0" w:type="nil"/>
              <w:bottom w:w="0" w:type="nil"/>
              <w:right w:w="0" w:type="nil"/>
            </w:tcMar>
          </w:tcPr>
          <w:p w:rsidR="00871692" w:rsidRPr="000C3FB5" w:rsidRDefault="00871692" w:rsidP="002106F9">
            <w:pPr>
              <w:pStyle w:val="TableFigures"/>
              <w:ind w:right="113"/>
              <w:rPr>
                <w:rFonts w:ascii="Calibri" w:hAnsi="Calibri" w:cs="Calibri"/>
                <w:color w:val="00305C"/>
                <w:sz w:val="19"/>
                <w:szCs w:val="24"/>
                <w:lang w:val="en-US" w:eastAsia="en-US"/>
              </w:rPr>
            </w:pPr>
          </w:p>
        </w:tc>
        <w:tc>
          <w:tcPr>
            <w:tcW w:w="1104" w:type="dxa"/>
            <w:tcBorders>
              <w:top w:val="nil"/>
              <w:bottom w:val="nil"/>
            </w:tcBorders>
            <w:shd w:val="clear" w:color="auto" w:fill="E6E6E6"/>
            <w:tcMar>
              <w:top w:w="0" w:type="nil"/>
              <w:left w:w="0" w:type="nil"/>
              <w:bottom w:w="0" w:type="nil"/>
              <w:right w:w="0" w:type="nil"/>
            </w:tcMar>
          </w:tcPr>
          <w:p w:rsidR="00871692" w:rsidRPr="00C7007B" w:rsidRDefault="00871692" w:rsidP="002106F9">
            <w:pPr>
              <w:ind w:left="0" w:right="113"/>
              <w:jc w:val="right"/>
              <w:rPr>
                <w:rFonts w:ascii="Calibri" w:hAnsi="Calibri" w:cs="Calibri"/>
                <w:color w:val="002B45"/>
                <w:lang w:val="en-US"/>
              </w:rPr>
            </w:pPr>
            <w:r w:rsidRPr="00C7007B">
              <w:rPr>
                <w:rFonts w:ascii="Calibri" w:hAnsi="Calibri" w:cs="Calibri"/>
                <w:color w:val="002B45"/>
                <w:lang w:val="en-US"/>
              </w:rPr>
              <w:t xml:space="preserve"> –  </w:t>
            </w:r>
          </w:p>
        </w:tc>
        <w:tc>
          <w:tcPr>
            <w:tcW w:w="1164" w:type="dxa"/>
            <w:tcBorders>
              <w:top w:val="nil"/>
              <w:bottom w:val="nil"/>
            </w:tcBorders>
            <w:tcMar>
              <w:top w:w="0" w:type="nil"/>
              <w:left w:w="0" w:type="nil"/>
              <w:bottom w:w="0" w:type="nil"/>
              <w:right w:w="0" w:type="nil"/>
            </w:tcMar>
          </w:tcPr>
          <w:p w:rsidR="00871692" w:rsidRPr="00C7007B" w:rsidRDefault="00871692" w:rsidP="002106F9">
            <w:pPr>
              <w:ind w:left="0" w:right="113"/>
              <w:jc w:val="right"/>
              <w:rPr>
                <w:rFonts w:ascii="Calibri" w:hAnsi="Calibri" w:cs="Calibri"/>
                <w:color w:val="002B45"/>
                <w:lang w:val="en-US"/>
              </w:rPr>
            </w:pPr>
            <w:r w:rsidRPr="00C7007B">
              <w:rPr>
                <w:rFonts w:ascii="Calibri" w:hAnsi="Calibri" w:cs="Calibri"/>
                <w:color w:val="002B45"/>
                <w:lang w:val="en-US"/>
              </w:rPr>
              <w:t xml:space="preserve"> 1.3 </w:t>
            </w:r>
          </w:p>
        </w:tc>
      </w:tr>
      <w:tr w:rsidR="00871692" w:rsidRPr="00C44CA2" w:rsidTr="007152F7">
        <w:trPr>
          <w:trHeight w:val="283"/>
        </w:trPr>
        <w:tc>
          <w:tcPr>
            <w:tcW w:w="6096" w:type="dxa"/>
            <w:tcBorders>
              <w:top w:val="nil"/>
              <w:bottom w:val="nil"/>
            </w:tcBorders>
            <w:tcMar>
              <w:top w:w="0" w:type="nil"/>
              <w:left w:w="0" w:type="nil"/>
              <w:bottom w:w="0" w:type="nil"/>
              <w:right w:w="0" w:type="nil"/>
            </w:tcMar>
          </w:tcPr>
          <w:p w:rsidR="00871692" w:rsidRPr="00721877" w:rsidRDefault="00871692" w:rsidP="002106F9">
            <w:pPr>
              <w:pStyle w:val="Tabletext0"/>
              <w:ind w:left="0"/>
              <w:rPr>
                <w:rFonts w:ascii="Calibri" w:hAnsi="Calibri" w:cs="Calibri"/>
                <w:color w:val="002B45"/>
              </w:rPr>
            </w:pPr>
            <w:r w:rsidRPr="00721877">
              <w:rPr>
                <w:rFonts w:ascii="Calibri" w:hAnsi="Calibri" w:cs="Calibri"/>
                <w:color w:val="002B45"/>
              </w:rPr>
              <w:t>Purchase of subsidiaries</w:t>
            </w:r>
          </w:p>
        </w:tc>
        <w:tc>
          <w:tcPr>
            <w:tcW w:w="1134" w:type="dxa"/>
            <w:tcBorders>
              <w:top w:val="nil"/>
              <w:bottom w:val="nil"/>
            </w:tcBorders>
            <w:tcMar>
              <w:top w:w="0" w:type="nil"/>
              <w:left w:w="0" w:type="nil"/>
              <w:bottom w:w="0" w:type="nil"/>
              <w:right w:w="0" w:type="nil"/>
            </w:tcMar>
          </w:tcPr>
          <w:p w:rsidR="00871692" w:rsidRPr="000C3FB5" w:rsidRDefault="00F72249" w:rsidP="002106F9">
            <w:pPr>
              <w:pStyle w:val="TableFigures"/>
              <w:ind w:left="0" w:right="113"/>
              <w:rPr>
                <w:rFonts w:ascii="Calibri" w:hAnsi="Calibri" w:cs="Calibri"/>
                <w:color w:val="00305C"/>
                <w:sz w:val="19"/>
                <w:szCs w:val="24"/>
                <w:lang w:val="en-US" w:eastAsia="en-US"/>
              </w:rPr>
            </w:pPr>
            <w:r w:rsidRPr="000C3FB5">
              <w:rPr>
                <w:rFonts w:ascii="Calibri" w:hAnsi="Calibri" w:cs="Calibri"/>
                <w:color w:val="00305C"/>
                <w:sz w:val="19"/>
                <w:szCs w:val="24"/>
                <w:lang w:val="en-US" w:eastAsia="en-US"/>
              </w:rPr>
              <w:t>8</w:t>
            </w:r>
          </w:p>
        </w:tc>
        <w:tc>
          <w:tcPr>
            <w:tcW w:w="1104" w:type="dxa"/>
            <w:tcBorders>
              <w:top w:val="nil"/>
              <w:bottom w:val="nil"/>
            </w:tcBorders>
            <w:shd w:val="clear" w:color="auto" w:fill="E6E6E6"/>
            <w:tcMar>
              <w:top w:w="0" w:type="nil"/>
              <w:left w:w="0" w:type="nil"/>
              <w:bottom w:w="0" w:type="nil"/>
              <w:right w:w="0" w:type="nil"/>
            </w:tcMar>
          </w:tcPr>
          <w:p w:rsidR="00871692" w:rsidRPr="00C7007B" w:rsidRDefault="00871692" w:rsidP="002106F9">
            <w:pPr>
              <w:ind w:left="0" w:right="113"/>
              <w:jc w:val="right"/>
              <w:rPr>
                <w:rFonts w:ascii="Calibri" w:hAnsi="Calibri" w:cs="Calibri"/>
                <w:color w:val="002B45"/>
                <w:lang w:val="en-US"/>
              </w:rPr>
            </w:pPr>
            <w:r w:rsidRPr="00C7007B">
              <w:rPr>
                <w:rFonts w:ascii="Calibri" w:hAnsi="Calibri" w:cs="Calibri"/>
                <w:color w:val="002B45"/>
                <w:lang w:val="en-US"/>
              </w:rPr>
              <w:t>(392.8)</w:t>
            </w:r>
          </w:p>
        </w:tc>
        <w:tc>
          <w:tcPr>
            <w:tcW w:w="1164" w:type="dxa"/>
            <w:tcBorders>
              <w:top w:val="nil"/>
              <w:bottom w:val="nil"/>
            </w:tcBorders>
            <w:tcMar>
              <w:top w:w="0" w:type="nil"/>
              <w:left w:w="0" w:type="nil"/>
              <w:bottom w:w="0" w:type="nil"/>
              <w:right w:w="0" w:type="nil"/>
            </w:tcMar>
          </w:tcPr>
          <w:p w:rsidR="00871692" w:rsidRPr="00C7007B" w:rsidRDefault="00871692" w:rsidP="002106F9">
            <w:pPr>
              <w:ind w:left="0" w:right="113"/>
              <w:jc w:val="right"/>
              <w:rPr>
                <w:rFonts w:ascii="Calibri" w:hAnsi="Calibri" w:cs="Calibri"/>
                <w:color w:val="002B45"/>
                <w:lang w:val="en-US"/>
              </w:rPr>
            </w:pPr>
            <w:r w:rsidRPr="00C7007B">
              <w:rPr>
                <w:rFonts w:ascii="Calibri" w:hAnsi="Calibri" w:cs="Calibri"/>
                <w:color w:val="002B45"/>
                <w:lang w:val="en-US"/>
              </w:rPr>
              <w:t xml:space="preserve"> – </w:t>
            </w:r>
          </w:p>
        </w:tc>
      </w:tr>
      <w:tr w:rsidR="00871692" w:rsidRPr="00C44CA2" w:rsidTr="007152F7">
        <w:trPr>
          <w:trHeight w:val="283"/>
        </w:trPr>
        <w:tc>
          <w:tcPr>
            <w:tcW w:w="6096" w:type="dxa"/>
            <w:tcBorders>
              <w:top w:val="nil"/>
              <w:bottom w:val="nil"/>
            </w:tcBorders>
            <w:tcMar>
              <w:top w:w="0" w:type="nil"/>
              <w:left w:w="0" w:type="nil"/>
              <w:bottom w:w="0" w:type="nil"/>
              <w:right w:w="0" w:type="nil"/>
            </w:tcMar>
          </w:tcPr>
          <w:p w:rsidR="00871692" w:rsidRPr="00721877" w:rsidRDefault="00871692" w:rsidP="002106F9">
            <w:pPr>
              <w:pStyle w:val="Tabletext0"/>
              <w:ind w:left="0"/>
              <w:rPr>
                <w:rFonts w:ascii="Calibri" w:hAnsi="Calibri" w:cs="Calibri"/>
                <w:color w:val="002B45"/>
              </w:rPr>
            </w:pPr>
            <w:r w:rsidRPr="00721877">
              <w:rPr>
                <w:rFonts w:ascii="Calibri" w:hAnsi="Calibri" w:cs="Calibri"/>
                <w:color w:val="002B45"/>
              </w:rPr>
              <w:t>Purchase of intangible exploration and evaluation assets</w:t>
            </w:r>
          </w:p>
        </w:tc>
        <w:tc>
          <w:tcPr>
            <w:tcW w:w="1134" w:type="dxa"/>
            <w:tcBorders>
              <w:top w:val="nil"/>
              <w:bottom w:val="nil"/>
            </w:tcBorders>
            <w:tcMar>
              <w:top w:w="0" w:type="nil"/>
              <w:left w:w="0" w:type="nil"/>
              <w:bottom w:w="0" w:type="nil"/>
              <w:right w:w="0" w:type="nil"/>
            </w:tcMar>
          </w:tcPr>
          <w:p w:rsidR="00871692" w:rsidRPr="000C3FB5" w:rsidRDefault="00871692" w:rsidP="002106F9">
            <w:pPr>
              <w:pStyle w:val="TableFigures"/>
              <w:ind w:left="0" w:right="113"/>
              <w:rPr>
                <w:rFonts w:ascii="Calibri" w:hAnsi="Calibri" w:cs="Calibri"/>
                <w:color w:val="00305C"/>
                <w:sz w:val="19"/>
                <w:szCs w:val="24"/>
                <w:lang w:val="en-US" w:eastAsia="en-US"/>
              </w:rPr>
            </w:pPr>
          </w:p>
        </w:tc>
        <w:tc>
          <w:tcPr>
            <w:tcW w:w="1104" w:type="dxa"/>
            <w:tcBorders>
              <w:top w:val="nil"/>
              <w:bottom w:val="nil"/>
            </w:tcBorders>
            <w:shd w:val="clear" w:color="auto" w:fill="E6E6E6"/>
            <w:tcMar>
              <w:top w:w="0" w:type="nil"/>
              <w:left w:w="0" w:type="nil"/>
              <w:bottom w:w="0" w:type="nil"/>
              <w:right w:w="0" w:type="nil"/>
            </w:tcMar>
          </w:tcPr>
          <w:p w:rsidR="00871692" w:rsidRPr="00C7007B" w:rsidRDefault="00871692" w:rsidP="002106F9">
            <w:pPr>
              <w:ind w:left="0" w:right="113"/>
              <w:jc w:val="right"/>
              <w:rPr>
                <w:rFonts w:ascii="Calibri" w:hAnsi="Calibri" w:cs="Calibri"/>
                <w:color w:val="002B45"/>
                <w:lang w:val="en-US"/>
              </w:rPr>
            </w:pPr>
            <w:r w:rsidRPr="00C7007B">
              <w:rPr>
                <w:rFonts w:ascii="Calibri" w:hAnsi="Calibri" w:cs="Calibri"/>
                <w:color w:val="002B45"/>
                <w:lang w:val="en-US"/>
              </w:rPr>
              <w:t>(1,268.5)</w:t>
            </w:r>
          </w:p>
        </w:tc>
        <w:tc>
          <w:tcPr>
            <w:tcW w:w="1164" w:type="dxa"/>
            <w:tcBorders>
              <w:top w:val="nil"/>
              <w:bottom w:val="nil"/>
            </w:tcBorders>
            <w:tcMar>
              <w:top w:w="0" w:type="nil"/>
              <w:left w:w="0" w:type="nil"/>
              <w:bottom w:w="0" w:type="nil"/>
              <w:right w:w="0" w:type="nil"/>
            </w:tcMar>
          </w:tcPr>
          <w:p w:rsidR="00871692" w:rsidRPr="00C7007B" w:rsidRDefault="00871692" w:rsidP="002106F9">
            <w:pPr>
              <w:ind w:left="0" w:right="113"/>
              <w:jc w:val="right"/>
              <w:rPr>
                <w:rFonts w:ascii="Calibri" w:hAnsi="Calibri" w:cs="Calibri"/>
                <w:color w:val="002B45"/>
                <w:lang w:val="en-US"/>
              </w:rPr>
            </w:pPr>
            <w:r w:rsidRPr="00C7007B">
              <w:rPr>
                <w:rFonts w:ascii="Calibri" w:hAnsi="Calibri" w:cs="Calibri"/>
                <w:color w:val="002B45"/>
                <w:lang w:val="en-US"/>
              </w:rPr>
              <w:t>(1,196.6)</w:t>
            </w:r>
          </w:p>
        </w:tc>
      </w:tr>
      <w:tr w:rsidR="00871692" w:rsidRPr="00C44CA2" w:rsidTr="007152F7">
        <w:trPr>
          <w:trHeight w:val="283"/>
        </w:trPr>
        <w:tc>
          <w:tcPr>
            <w:tcW w:w="6096" w:type="dxa"/>
            <w:tcBorders>
              <w:top w:val="nil"/>
              <w:bottom w:val="nil"/>
            </w:tcBorders>
            <w:tcMar>
              <w:top w:w="0" w:type="nil"/>
              <w:left w:w="0" w:type="nil"/>
              <w:bottom w:w="0" w:type="nil"/>
              <w:right w:w="0" w:type="nil"/>
            </w:tcMar>
          </w:tcPr>
          <w:p w:rsidR="00871692" w:rsidRPr="00721877" w:rsidRDefault="00871692" w:rsidP="002106F9">
            <w:pPr>
              <w:pStyle w:val="Tabletext0"/>
              <w:ind w:left="0"/>
              <w:rPr>
                <w:rFonts w:ascii="Calibri" w:hAnsi="Calibri" w:cs="Calibri"/>
                <w:color w:val="002B45"/>
              </w:rPr>
            </w:pPr>
            <w:r w:rsidRPr="00721877">
              <w:rPr>
                <w:rFonts w:ascii="Calibri" w:hAnsi="Calibri" w:cs="Calibri"/>
                <w:color w:val="002B45"/>
              </w:rPr>
              <w:t xml:space="preserve">Purchase of property, plant and equipment </w:t>
            </w:r>
          </w:p>
        </w:tc>
        <w:tc>
          <w:tcPr>
            <w:tcW w:w="1134" w:type="dxa"/>
            <w:tcBorders>
              <w:top w:val="nil"/>
              <w:bottom w:val="nil"/>
            </w:tcBorders>
            <w:tcMar>
              <w:top w:w="0" w:type="nil"/>
              <w:left w:w="0" w:type="nil"/>
              <w:bottom w:w="0" w:type="nil"/>
              <w:right w:w="0" w:type="nil"/>
            </w:tcMar>
          </w:tcPr>
          <w:p w:rsidR="00871692" w:rsidRPr="000C3FB5" w:rsidRDefault="00871692" w:rsidP="002106F9">
            <w:pPr>
              <w:pStyle w:val="TableFigures"/>
              <w:ind w:left="0" w:right="113"/>
              <w:rPr>
                <w:rFonts w:ascii="Calibri" w:hAnsi="Calibri" w:cs="Calibri"/>
                <w:color w:val="00305C"/>
                <w:sz w:val="19"/>
                <w:szCs w:val="24"/>
                <w:lang w:val="en-US" w:eastAsia="en-US"/>
              </w:rPr>
            </w:pPr>
          </w:p>
        </w:tc>
        <w:tc>
          <w:tcPr>
            <w:tcW w:w="1104" w:type="dxa"/>
            <w:tcBorders>
              <w:top w:val="nil"/>
              <w:bottom w:val="nil"/>
            </w:tcBorders>
            <w:shd w:val="clear" w:color="auto" w:fill="E6E6E6"/>
            <w:tcMar>
              <w:top w:w="0" w:type="nil"/>
              <w:left w:w="0" w:type="nil"/>
              <w:bottom w:w="0" w:type="nil"/>
              <w:right w:w="0" w:type="nil"/>
            </w:tcMar>
          </w:tcPr>
          <w:p w:rsidR="00871692" w:rsidRPr="00C7007B" w:rsidRDefault="00871692" w:rsidP="002106F9">
            <w:pPr>
              <w:ind w:left="0" w:right="113"/>
              <w:jc w:val="right"/>
              <w:rPr>
                <w:rFonts w:ascii="Calibri" w:hAnsi="Calibri" w:cs="Calibri"/>
                <w:color w:val="002B45"/>
                <w:lang w:val="en-US"/>
              </w:rPr>
            </w:pPr>
            <w:r w:rsidRPr="00C7007B">
              <w:rPr>
                <w:rFonts w:ascii="Calibri" w:hAnsi="Calibri" w:cs="Calibri"/>
                <w:color w:val="002B45"/>
                <w:lang w:val="en-US"/>
              </w:rPr>
              <w:t>(740.8)</w:t>
            </w:r>
          </w:p>
        </w:tc>
        <w:tc>
          <w:tcPr>
            <w:tcW w:w="1164" w:type="dxa"/>
            <w:tcBorders>
              <w:top w:val="nil"/>
              <w:bottom w:val="nil"/>
            </w:tcBorders>
            <w:tcMar>
              <w:top w:w="0" w:type="nil"/>
              <w:left w:w="0" w:type="nil"/>
              <w:bottom w:w="0" w:type="nil"/>
              <w:right w:w="0" w:type="nil"/>
            </w:tcMar>
          </w:tcPr>
          <w:p w:rsidR="00871692" w:rsidRPr="00C7007B" w:rsidRDefault="00871692" w:rsidP="002106F9">
            <w:pPr>
              <w:ind w:left="0" w:right="113"/>
              <w:jc w:val="right"/>
              <w:rPr>
                <w:rFonts w:ascii="Calibri" w:hAnsi="Calibri" w:cs="Calibri"/>
                <w:color w:val="002B45"/>
                <w:lang w:val="en-US"/>
              </w:rPr>
            </w:pPr>
            <w:r w:rsidRPr="00C7007B">
              <w:rPr>
                <w:rFonts w:ascii="Calibri" w:hAnsi="Calibri" w:cs="Calibri"/>
                <w:color w:val="002B45"/>
                <w:lang w:val="en-US"/>
              </w:rPr>
              <w:t>(652.8)</w:t>
            </w:r>
          </w:p>
        </w:tc>
      </w:tr>
      <w:tr w:rsidR="00871692" w:rsidRPr="00C44CA2" w:rsidTr="007152F7">
        <w:trPr>
          <w:trHeight w:val="283"/>
        </w:trPr>
        <w:tc>
          <w:tcPr>
            <w:tcW w:w="6096" w:type="dxa"/>
            <w:tcBorders>
              <w:top w:val="nil"/>
              <w:bottom w:val="single" w:sz="4" w:space="0" w:color="999999"/>
            </w:tcBorders>
            <w:tcMar>
              <w:top w:w="0" w:type="nil"/>
              <w:left w:w="0" w:type="nil"/>
              <w:bottom w:w="0" w:type="nil"/>
              <w:right w:w="0" w:type="nil"/>
            </w:tcMar>
          </w:tcPr>
          <w:p w:rsidR="00871692" w:rsidRPr="00721877" w:rsidRDefault="00871692" w:rsidP="002106F9">
            <w:pPr>
              <w:pStyle w:val="Tabletext0"/>
              <w:ind w:left="0"/>
              <w:rPr>
                <w:rFonts w:ascii="Calibri" w:hAnsi="Calibri" w:cs="Calibri"/>
                <w:color w:val="002B45"/>
              </w:rPr>
            </w:pPr>
            <w:r w:rsidRPr="00721877">
              <w:rPr>
                <w:rFonts w:ascii="Calibri" w:hAnsi="Calibri" w:cs="Calibri"/>
                <w:color w:val="002B45"/>
              </w:rPr>
              <w:t xml:space="preserve">Finance revenue </w:t>
            </w:r>
          </w:p>
        </w:tc>
        <w:tc>
          <w:tcPr>
            <w:tcW w:w="1134" w:type="dxa"/>
            <w:tcBorders>
              <w:top w:val="nil"/>
              <w:bottom w:val="single" w:sz="4" w:space="0" w:color="999999"/>
            </w:tcBorders>
            <w:tcMar>
              <w:top w:w="0" w:type="nil"/>
              <w:left w:w="0" w:type="nil"/>
              <w:bottom w:w="0" w:type="nil"/>
              <w:right w:w="0" w:type="nil"/>
            </w:tcMar>
          </w:tcPr>
          <w:p w:rsidR="00871692" w:rsidRPr="000C3FB5" w:rsidRDefault="00871692" w:rsidP="002106F9">
            <w:pPr>
              <w:pStyle w:val="TableFigures"/>
              <w:ind w:left="0" w:right="113"/>
              <w:rPr>
                <w:rFonts w:ascii="Calibri" w:hAnsi="Calibri" w:cs="Calibri"/>
                <w:color w:val="00305C"/>
                <w:sz w:val="19"/>
                <w:szCs w:val="24"/>
                <w:lang w:val="en-US" w:eastAsia="en-US"/>
              </w:rPr>
            </w:pPr>
          </w:p>
        </w:tc>
        <w:tc>
          <w:tcPr>
            <w:tcW w:w="1104" w:type="dxa"/>
            <w:tcBorders>
              <w:top w:val="nil"/>
              <w:bottom w:val="single" w:sz="4" w:space="0" w:color="999999"/>
            </w:tcBorders>
            <w:shd w:val="clear" w:color="auto" w:fill="E6E6E6"/>
            <w:tcMar>
              <w:top w:w="0" w:type="nil"/>
              <w:left w:w="0" w:type="nil"/>
              <w:bottom w:w="0" w:type="nil"/>
              <w:right w:w="0" w:type="nil"/>
            </w:tcMar>
          </w:tcPr>
          <w:p w:rsidR="00871692" w:rsidRPr="00C7007B" w:rsidRDefault="00871692" w:rsidP="002106F9">
            <w:pPr>
              <w:ind w:left="0" w:right="113"/>
              <w:jc w:val="right"/>
              <w:rPr>
                <w:rFonts w:ascii="Calibri" w:hAnsi="Calibri" w:cs="Calibri"/>
                <w:color w:val="002B45"/>
                <w:lang w:val="en-US"/>
              </w:rPr>
            </w:pPr>
            <w:r w:rsidRPr="00C7007B">
              <w:rPr>
                <w:rFonts w:ascii="Calibri" w:hAnsi="Calibri" w:cs="Calibri"/>
                <w:color w:val="002B45"/>
                <w:lang w:val="en-US"/>
              </w:rPr>
              <w:t xml:space="preserve"> 34.3 </w:t>
            </w:r>
          </w:p>
        </w:tc>
        <w:tc>
          <w:tcPr>
            <w:tcW w:w="1164" w:type="dxa"/>
            <w:tcBorders>
              <w:top w:val="nil"/>
              <w:bottom w:val="single" w:sz="4" w:space="0" w:color="999999"/>
            </w:tcBorders>
            <w:tcMar>
              <w:top w:w="0" w:type="nil"/>
              <w:left w:w="0" w:type="nil"/>
              <w:bottom w:w="0" w:type="nil"/>
              <w:right w:w="0" w:type="nil"/>
            </w:tcMar>
          </w:tcPr>
          <w:p w:rsidR="00871692" w:rsidRPr="00C7007B" w:rsidRDefault="00871692" w:rsidP="002106F9">
            <w:pPr>
              <w:ind w:left="0" w:right="113"/>
              <w:jc w:val="right"/>
              <w:rPr>
                <w:rFonts w:ascii="Calibri" w:hAnsi="Calibri" w:cs="Calibri"/>
                <w:color w:val="002B45"/>
                <w:lang w:val="en-US"/>
              </w:rPr>
            </w:pPr>
            <w:r w:rsidRPr="00C7007B">
              <w:rPr>
                <w:rFonts w:ascii="Calibri" w:hAnsi="Calibri" w:cs="Calibri"/>
                <w:color w:val="002B45"/>
                <w:lang w:val="en-US"/>
              </w:rPr>
              <w:t xml:space="preserve"> 1.3 </w:t>
            </w:r>
          </w:p>
        </w:tc>
      </w:tr>
      <w:tr w:rsidR="00871692" w:rsidTr="007152F7">
        <w:trPr>
          <w:trHeight w:val="283"/>
        </w:trPr>
        <w:tc>
          <w:tcPr>
            <w:tcW w:w="6096" w:type="dxa"/>
            <w:tcBorders>
              <w:top w:val="single" w:sz="4" w:space="0" w:color="999999"/>
              <w:bottom w:val="single" w:sz="4" w:space="0" w:color="999999"/>
            </w:tcBorders>
            <w:tcMar>
              <w:top w:w="0" w:type="nil"/>
              <w:left w:w="0" w:type="nil"/>
              <w:bottom w:w="0" w:type="nil"/>
              <w:right w:w="0" w:type="nil"/>
            </w:tcMar>
          </w:tcPr>
          <w:p w:rsidR="00871692" w:rsidRPr="00721877" w:rsidRDefault="00871692" w:rsidP="002106F9">
            <w:pPr>
              <w:pStyle w:val="Tabletext0"/>
              <w:ind w:left="0"/>
              <w:rPr>
                <w:rFonts w:ascii="Calibri" w:hAnsi="Calibri" w:cs="Calibri"/>
                <w:color w:val="002B45"/>
              </w:rPr>
            </w:pPr>
            <w:r w:rsidRPr="00721877">
              <w:rPr>
                <w:rFonts w:ascii="Calibri" w:hAnsi="Calibri" w:cs="Calibri"/>
                <w:color w:val="002B45"/>
              </w:rPr>
              <w:t xml:space="preserve">Net cash </w:t>
            </w:r>
            <w:r>
              <w:rPr>
                <w:rFonts w:ascii="Calibri" w:hAnsi="Calibri" w:cs="Calibri"/>
                <w:color w:val="002B45"/>
              </w:rPr>
              <w:t>(used in)/generated by</w:t>
            </w:r>
            <w:r w:rsidRPr="00721877">
              <w:rPr>
                <w:rFonts w:ascii="Calibri" w:hAnsi="Calibri" w:cs="Calibri"/>
                <w:color w:val="002B45"/>
              </w:rPr>
              <w:t xml:space="preserve"> investing activities </w:t>
            </w:r>
          </w:p>
        </w:tc>
        <w:tc>
          <w:tcPr>
            <w:tcW w:w="1134" w:type="dxa"/>
            <w:tcBorders>
              <w:top w:val="single" w:sz="4" w:space="0" w:color="999999"/>
              <w:bottom w:val="single" w:sz="4" w:space="0" w:color="999999"/>
            </w:tcBorders>
            <w:tcMar>
              <w:top w:w="0" w:type="nil"/>
              <w:left w:w="0" w:type="nil"/>
              <w:bottom w:w="0" w:type="nil"/>
              <w:right w:w="0" w:type="nil"/>
            </w:tcMar>
          </w:tcPr>
          <w:p w:rsidR="00871692" w:rsidRPr="000C3FB5" w:rsidRDefault="00871692" w:rsidP="002106F9">
            <w:pPr>
              <w:pStyle w:val="TableFigures"/>
              <w:ind w:left="0" w:right="113"/>
              <w:rPr>
                <w:rFonts w:ascii="Calibri" w:hAnsi="Calibri" w:cs="Calibri"/>
                <w:color w:val="00305C"/>
                <w:sz w:val="19"/>
                <w:szCs w:val="24"/>
                <w:lang w:val="en-US" w:eastAsia="en-US"/>
              </w:rPr>
            </w:pPr>
          </w:p>
        </w:tc>
        <w:tc>
          <w:tcPr>
            <w:tcW w:w="1104" w:type="dxa"/>
            <w:tcBorders>
              <w:top w:val="single" w:sz="4" w:space="0" w:color="999999"/>
              <w:bottom w:val="single" w:sz="4" w:space="0" w:color="999999"/>
            </w:tcBorders>
            <w:shd w:val="clear" w:color="auto" w:fill="E6E6E6"/>
            <w:tcMar>
              <w:top w:w="0" w:type="nil"/>
              <w:left w:w="0" w:type="nil"/>
              <w:bottom w:w="0" w:type="nil"/>
              <w:right w:w="0" w:type="nil"/>
            </w:tcMar>
          </w:tcPr>
          <w:p w:rsidR="00871692" w:rsidRPr="00C7007B" w:rsidRDefault="00871692" w:rsidP="00263A06">
            <w:pPr>
              <w:ind w:left="0" w:right="113"/>
              <w:jc w:val="right"/>
              <w:rPr>
                <w:rFonts w:ascii="Calibri" w:hAnsi="Calibri" w:cs="Calibri"/>
                <w:color w:val="002B45"/>
                <w:lang w:val="en-US"/>
              </w:rPr>
            </w:pPr>
            <w:r w:rsidRPr="00C7007B">
              <w:rPr>
                <w:rFonts w:ascii="Calibri" w:hAnsi="Calibri" w:cs="Calibri"/>
                <w:color w:val="002B45"/>
                <w:lang w:val="en-US"/>
              </w:rPr>
              <w:t>(2,</w:t>
            </w:r>
            <w:r w:rsidR="00263A06">
              <w:rPr>
                <w:rFonts w:ascii="Calibri" w:hAnsi="Calibri" w:cs="Calibri"/>
                <w:color w:val="002B45"/>
                <w:lang w:val="en-US"/>
              </w:rPr>
              <w:t>28</w:t>
            </w:r>
            <w:r w:rsidRPr="00C7007B">
              <w:rPr>
                <w:rFonts w:ascii="Calibri" w:hAnsi="Calibri" w:cs="Calibri"/>
                <w:color w:val="002B45"/>
                <w:lang w:val="en-US"/>
              </w:rPr>
              <w:t>7.5)</w:t>
            </w:r>
          </w:p>
        </w:tc>
        <w:tc>
          <w:tcPr>
            <w:tcW w:w="1164" w:type="dxa"/>
            <w:tcBorders>
              <w:top w:val="single" w:sz="4" w:space="0" w:color="999999"/>
              <w:bottom w:val="single" w:sz="4" w:space="0" w:color="999999"/>
            </w:tcBorders>
            <w:tcMar>
              <w:top w:w="0" w:type="nil"/>
              <w:left w:w="0" w:type="nil"/>
              <w:bottom w:w="0" w:type="nil"/>
              <w:right w:w="0" w:type="nil"/>
            </w:tcMar>
          </w:tcPr>
          <w:p w:rsidR="00871692" w:rsidRPr="00C7007B" w:rsidRDefault="00871692" w:rsidP="002106F9">
            <w:pPr>
              <w:ind w:left="0" w:right="113"/>
              <w:jc w:val="right"/>
              <w:rPr>
                <w:rFonts w:ascii="Calibri" w:hAnsi="Calibri" w:cs="Calibri"/>
                <w:color w:val="002B45"/>
                <w:lang w:val="en-US"/>
              </w:rPr>
            </w:pPr>
            <w:r w:rsidRPr="00C7007B">
              <w:rPr>
                <w:rFonts w:ascii="Calibri" w:hAnsi="Calibri" w:cs="Calibri"/>
                <w:color w:val="002B45"/>
                <w:lang w:val="en-US"/>
              </w:rPr>
              <w:t xml:space="preserve"> 721.7 </w:t>
            </w:r>
          </w:p>
        </w:tc>
      </w:tr>
      <w:tr w:rsidR="00871692" w:rsidRPr="00C44CA2" w:rsidTr="007152F7">
        <w:trPr>
          <w:trHeight w:val="283"/>
        </w:trPr>
        <w:tc>
          <w:tcPr>
            <w:tcW w:w="6096" w:type="dxa"/>
            <w:tcBorders>
              <w:top w:val="single" w:sz="4" w:space="0" w:color="999999"/>
              <w:bottom w:val="nil"/>
            </w:tcBorders>
            <w:tcMar>
              <w:top w:w="0" w:type="nil"/>
              <w:left w:w="0" w:type="nil"/>
              <w:bottom w:w="0" w:type="nil"/>
              <w:right w:w="0" w:type="nil"/>
            </w:tcMar>
          </w:tcPr>
          <w:p w:rsidR="00871692" w:rsidRPr="002106F9" w:rsidRDefault="00871692" w:rsidP="002106F9">
            <w:pPr>
              <w:pStyle w:val="Tabletext0"/>
              <w:ind w:left="0"/>
              <w:rPr>
                <w:rFonts w:ascii="Calibri" w:hAnsi="Calibri" w:cs="Calibri"/>
                <w:b/>
                <w:color w:val="002B45"/>
              </w:rPr>
            </w:pPr>
            <w:r w:rsidRPr="002106F9">
              <w:rPr>
                <w:rFonts w:ascii="Calibri" w:hAnsi="Calibri" w:cs="Calibri"/>
                <w:b/>
                <w:color w:val="002B45"/>
              </w:rPr>
              <w:t xml:space="preserve">Cash flows from financing activities </w:t>
            </w:r>
          </w:p>
        </w:tc>
        <w:tc>
          <w:tcPr>
            <w:tcW w:w="1134" w:type="dxa"/>
            <w:tcBorders>
              <w:top w:val="single" w:sz="4" w:space="0" w:color="999999"/>
              <w:bottom w:val="nil"/>
            </w:tcBorders>
            <w:tcMar>
              <w:top w:w="0" w:type="nil"/>
              <w:left w:w="0" w:type="nil"/>
              <w:bottom w:w="0" w:type="nil"/>
              <w:right w:w="0" w:type="nil"/>
            </w:tcMar>
          </w:tcPr>
          <w:p w:rsidR="00871692" w:rsidRPr="000C3FB5" w:rsidRDefault="00871692" w:rsidP="002106F9">
            <w:pPr>
              <w:pStyle w:val="TableFigures"/>
              <w:ind w:left="0" w:right="113"/>
              <w:rPr>
                <w:rFonts w:ascii="Calibri" w:hAnsi="Calibri" w:cs="Calibri"/>
                <w:color w:val="00305C"/>
                <w:sz w:val="19"/>
                <w:szCs w:val="24"/>
                <w:lang w:val="en-US" w:eastAsia="en-US"/>
              </w:rPr>
            </w:pPr>
          </w:p>
        </w:tc>
        <w:tc>
          <w:tcPr>
            <w:tcW w:w="1104" w:type="dxa"/>
            <w:tcBorders>
              <w:top w:val="single" w:sz="4" w:space="0" w:color="999999"/>
              <w:bottom w:val="nil"/>
            </w:tcBorders>
            <w:shd w:val="clear" w:color="auto" w:fill="E6E6E6"/>
            <w:tcMar>
              <w:top w:w="0" w:type="nil"/>
              <w:left w:w="0" w:type="nil"/>
              <w:bottom w:w="0" w:type="nil"/>
              <w:right w:w="0" w:type="nil"/>
            </w:tcMar>
          </w:tcPr>
          <w:p w:rsidR="00871692" w:rsidRPr="00C7007B" w:rsidRDefault="00871692" w:rsidP="002106F9">
            <w:pPr>
              <w:ind w:left="0" w:right="113"/>
              <w:jc w:val="right"/>
              <w:rPr>
                <w:rFonts w:ascii="Calibri" w:hAnsi="Calibri" w:cs="Calibri"/>
                <w:color w:val="002B45"/>
                <w:lang w:val="en-US"/>
              </w:rPr>
            </w:pPr>
          </w:p>
        </w:tc>
        <w:tc>
          <w:tcPr>
            <w:tcW w:w="1164" w:type="dxa"/>
            <w:tcBorders>
              <w:top w:val="single" w:sz="4" w:space="0" w:color="999999"/>
              <w:bottom w:val="nil"/>
            </w:tcBorders>
            <w:tcMar>
              <w:top w:w="0" w:type="nil"/>
              <w:left w:w="0" w:type="nil"/>
              <w:bottom w:w="0" w:type="nil"/>
              <w:right w:w="0" w:type="nil"/>
            </w:tcMar>
          </w:tcPr>
          <w:p w:rsidR="00871692" w:rsidRPr="00C7007B" w:rsidRDefault="00871692" w:rsidP="002106F9">
            <w:pPr>
              <w:ind w:left="0" w:right="113"/>
              <w:jc w:val="right"/>
              <w:rPr>
                <w:rFonts w:ascii="Calibri" w:hAnsi="Calibri" w:cs="Calibri"/>
                <w:color w:val="002B45"/>
                <w:lang w:val="en-US"/>
              </w:rPr>
            </w:pPr>
          </w:p>
        </w:tc>
      </w:tr>
      <w:tr w:rsidR="00871692" w:rsidRPr="00C44CA2" w:rsidTr="007152F7">
        <w:trPr>
          <w:trHeight w:val="283"/>
        </w:trPr>
        <w:tc>
          <w:tcPr>
            <w:tcW w:w="6096" w:type="dxa"/>
            <w:tcBorders>
              <w:top w:val="nil"/>
              <w:bottom w:val="nil"/>
            </w:tcBorders>
            <w:tcMar>
              <w:top w:w="0" w:type="nil"/>
              <w:left w:w="0" w:type="nil"/>
              <w:bottom w:w="0" w:type="nil"/>
              <w:right w:w="0" w:type="nil"/>
            </w:tcMar>
          </w:tcPr>
          <w:p w:rsidR="00871692" w:rsidRPr="00721877" w:rsidRDefault="00871692" w:rsidP="002106F9">
            <w:pPr>
              <w:pStyle w:val="Tabletext0"/>
              <w:ind w:left="0"/>
              <w:rPr>
                <w:rFonts w:ascii="Calibri" w:hAnsi="Calibri" w:cs="Calibri"/>
                <w:color w:val="002B45"/>
              </w:rPr>
            </w:pPr>
            <w:r w:rsidRPr="00721877">
              <w:rPr>
                <w:rFonts w:ascii="Calibri" w:hAnsi="Calibri" w:cs="Calibri"/>
                <w:color w:val="002B45"/>
              </w:rPr>
              <w:t xml:space="preserve">Net proceeds from issue of share capital </w:t>
            </w:r>
          </w:p>
        </w:tc>
        <w:tc>
          <w:tcPr>
            <w:tcW w:w="1134" w:type="dxa"/>
            <w:tcBorders>
              <w:top w:val="nil"/>
              <w:bottom w:val="nil"/>
            </w:tcBorders>
            <w:tcMar>
              <w:top w:w="0" w:type="nil"/>
              <w:left w:w="0" w:type="nil"/>
              <w:bottom w:w="0" w:type="nil"/>
              <w:right w:w="0" w:type="nil"/>
            </w:tcMar>
          </w:tcPr>
          <w:p w:rsidR="00871692" w:rsidRPr="000C3FB5" w:rsidRDefault="00871692" w:rsidP="002106F9">
            <w:pPr>
              <w:pStyle w:val="TableFigures"/>
              <w:ind w:left="0" w:right="113"/>
              <w:rPr>
                <w:rFonts w:ascii="Calibri" w:hAnsi="Calibri" w:cs="Calibri"/>
                <w:color w:val="00305C"/>
                <w:sz w:val="19"/>
                <w:szCs w:val="24"/>
                <w:lang w:val="en-US" w:eastAsia="en-US"/>
              </w:rPr>
            </w:pPr>
          </w:p>
        </w:tc>
        <w:tc>
          <w:tcPr>
            <w:tcW w:w="1104" w:type="dxa"/>
            <w:tcBorders>
              <w:top w:val="nil"/>
              <w:bottom w:val="nil"/>
            </w:tcBorders>
            <w:shd w:val="clear" w:color="auto" w:fill="E6E6E6"/>
            <w:tcMar>
              <w:top w:w="0" w:type="nil"/>
              <w:left w:w="0" w:type="nil"/>
              <w:bottom w:w="0" w:type="nil"/>
              <w:right w:w="0" w:type="nil"/>
            </w:tcMar>
          </w:tcPr>
          <w:p w:rsidR="00871692" w:rsidRPr="00C7007B" w:rsidRDefault="00871692" w:rsidP="002106F9">
            <w:pPr>
              <w:ind w:left="0" w:right="113"/>
              <w:jc w:val="right"/>
              <w:rPr>
                <w:rFonts w:ascii="Calibri" w:hAnsi="Calibri" w:cs="Calibri"/>
                <w:color w:val="002B45"/>
                <w:lang w:val="en-US"/>
              </w:rPr>
            </w:pPr>
            <w:r w:rsidRPr="00C7007B">
              <w:rPr>
                <w:rFonts w:ascii="Calibri" w:hAnsi="Calibri" w:cs="Calibri"/>
                <w:color w:val="002B45"/>
                <w:lang w:val="en-US"/>
              </w:rPr>
              <w:t xml:space="preserve"> 6.0 </w:t>
            </w:r>
          </w:p>
        </w:tc>
        <w:tc>
          <w:tcPr>
            <w:tcW w:w="1164" w:type="dxa"/>
            <w:tcBorders>
              <w:top w:val="nil"/>
              <w:bottom w:val="nil"/>
            </w:tcBorders>
            <w:tcMar>
              <w:top w:w="0" w:type="nil"/>
              <w:left w:w="0" w:type="nil"/>
              <w:bottom w:w="0" w:type="nil"/>
              <w:right w:w="0" w:type="nil"/>
            </w:tcMar>
          </w:tcPr>
          <w:p w:rsidR="00871692" w:rsidRPr="00C7007B" w:rsidRDefault="00871692" w:rsidP="002106F9">
            <w:pPr>
              <w:ind w:left="0" w:right="113"/>
              <w:jc w:val="right"/>
              <w:rPr>
                <w:rFonts w:ascii="Calibri" w:hAnsi="Calibri" w:cs="Calibri"/>
                <w:color w:val="002B45"/>
                <w:lang w:val="en-US"/>
              </w:rPr>
            </w:pPr>
            <w:r w:rsidRPr="00C7007B">
              <w:rPr>
                <w:rFonts w:ascii="Calibri" w:hAnsi="Calibri" w:cs="Calibri"/>
                <w:color w:val="002B45"/>
                <w:lang w:val="en-US"/>
              </w:rPr>
              <w:t xml:space="preserve"> 24.5 </w:t>
            </w:r>
          </w:p>
        </w:tc>
      </w:tr>
      <w:tr w:rsidR="00871692" w:rsidRPr="00C44CA2" w:rsidTr="007152F7">
        <w:trPr>
          <w:trHeight w:val="283"/>
        </w:trPr>
        <w:tc>
          <w:tcPr>
            <w:tcW w:w="6096" w:type="dxa"/>
            <w:tcBorders>
              <w:top w:val="nil"/>
              <w:bottom w:val="nil"/>
            </w:tcBorders>
            <w:tcMar>
              <w:top w:w="0" w:type="nil"/>
              <w:left w:w="0" w:type="nil"/>
              <w:bottom w:w="0" w:type="nil"/>
              <w:right w:w="0" w:type="nil"/>
            </w:tcMar>
          </w:tcPr>
          <w:p w:rsidR="00871692" w:rsidRPr="00721877" w:rsidRDefault="00871692" w:rsidP="002106F9">
            <w:pPr>
              <w:pStyle w:val="Tabletext0"/>
              <w:ind w:left="0"/>
              <w:rPr>
                <w:rFonts w:ascii="Calibri" w:hAnsi="Calibri" w:cs="Calibri"/>
                <w:color w:val="002B45"/>
              </w:rPr>
            </w:pPr>
            <w:r w:rsidRPr="00721877">
              <w:rPr>
                <w:rFonts w:ascii="Calibri" w:hAnsi="Calibri" w:cs="Calibri"/>
                <w:color w:val="002B45"/>
              </w:rPr>
              <w:t xml:space="preserve">Debt arrangement fees </w:t>
            </w:r>
          </w:p>
        </w:tc>
        <w:tc>
          <w:tcPr>
            <w:tcW w:w="1134" w:type="dxa"/>
            <w:tcBorders>
              <w:top w:val="nil"/>
              <w:bottom w:val="nil"/>
            </w:tcBorders>
            <w:tcMar>
              <w:top w:w="0" w:type="nil"/>
              <w:left w:w="0" w:type="nil"/>
              <w:bottom w:w="0" w:type="nil"/>
              <w:right w:w="0" w:type="nil"/>
            </w:tcMar>
          </w:tcPr>
          <w:p w:rsidR="00871692" w:rsidRPr="000C3FB5" w:rsidRDefault="00871692" w:rsidP="002106F9">
            <w:pPr>
              <w:pStyle w:val="TableFigures"/>
              <w:ind w:left="0" w:right="113"/>
              <w:rPr>
                <w:rFonts w:ascii="Calibri" w:hAnsi="Calibri" w:cs="Calibri"/>
                <w:color w:val="00305C"/>
                <w:sz w:val="19"/>
                <w:szCs w:val="24"/>
                <w:lang w:val="en-US" w:eastAsia="en-US"/>
              </w:rPr>
            </w:pPr>
          </w:p>
        </w:tc>
        <w:tc>
          <w:tcPr>
            <w:tcW w:w="1104" w:type="dxa"/>
            <w:tcBorders>
              <w:top w:val="nil"/>
              <w:bottom w:val="nil"/>
            </w:tcBorders>
            <w:shd w:val="clear" w:color="auto" w:fill="E6E6E6"/>
            <w:tcMar>
              <w:top w:w="0" w:type="nil"/>
              <w:left w:w="0" w:type="nil"/>
              <w:bottom w:w="0" w:type="nil"/>
              <w:right w:w="0" w:type="nil"/>
            </w:tcMar>
          </w:tcPr>
          <w:p w:rsidR="00871692" w:rsidRPr="00C7007B" w:rsidRDefault="00871692" w:rsidP="002106F9">
            <w:pPr>
              <w:ind w:left="0" w:right="113"/>
              <w:jc w:val="right"/>
              <w:rPr>
                <w:rFonts w:ascii="Calibri" w:hAnsi="Calibri" w:cs="Calibri"/>
                <w:color w:val="002B45"/>
                <w:lang w:val="en-US"/>
              </w:rPr>
            </w:pPr>
            <w:r w:rsidRPr="00C7007B">
              <w:rPr>
                <w:rFonts w:ascii="Calibri" w:hAnsi="Calibri" w:cs="Calibri"/>
                <w:color w:val="002B45"/>
                <w:lang w:val="en-US"/>
              </w:rPr>
              <w:t>(13.5)</w:t>
            </w:r>
          </w:p>
        </w:tc>
        <w:tc>
          <w:tcPr>
            <w:tcW w:w="1164" w:type="dxa"/>
            <w:tcBorders>
              <w:top w:val="nil"/>
              <w:bottom w:val="nil"/>
            </w:tcBorders>
            <w:tcMar>
              <w:top w:w="0" w:type="nil"/>
              <w:left w:w="0" w:type="nil"/>
              <w:bottom w:w="0" w:type="nil"/>
              <w:right w:w="0" w:type="nil"/>
            </w:tcMar>
          </w:tcPr>
          <w:p w:rsidR="00871692" w:rsidRPr="00C7007B" w:rsidRDefault="00871692" w:rsidP="002106F9">
            <w:pPr>
              <w:ind w:left="0" w:right="113"/>
              <w:jc w:val="right"/>
              <w:rPr>
                <w:rFonts w:ascii="Calibri" w:hAnsi="Calibri" w:cs="Calibri"/>
                <w:color w:val="002B45"/>
                <w:lang w:val="en-US"/>
              </w:rPr>
            </w:pPr>
            <w:r w:rsidRPr="00C7007B">
              <w:rPr>
                <w:rFonts w:ascii="Calibri" w:hAnsi="Calibri" w:cs="Calibri"/>
                <w:color w:val="002B45"/>
                <w:lang w:val="en-US"/>
              </w:rPr>
              <w:t>(77.2)</w:t>
            </w:r>
          </w:p>
        </w:tc>
      </w:tr>
      <w:tr w:rsidR="00871692" w:rsidRPr="00C44CA2" w:rsidTr="007152F7">
        <w:trPr>
          <w:trHeight w:val="283"/>
        </w:trPr>
        <w:tc>
          <w:tcPr>
            <w:tcW w:w="6096" w:type="dxa"/>
            <w:tcBorders>
              <w:top w:val="nil"/>
              <w:bottom w:val="nil"/>
            </w:tcBorders>
            <w:tcMar>
              <w:top w:w="0" w:type="nil"/>
              <w:left w:w="0" w:type="nil"/>
              <w:bottom w:w="0" w:type="nil"/>
              <w:right w:w="0" w:type="nil"/>
            </w:tcMar>
          </w:tcPr>
          <w:p w:rsidR="00871692" w:rsidRPr="00721877" w:rsidRDefault="00871692" w:rsidP="002106F9">
            <w:pPr>
              <w:pStyle w:val="Tabletext0"/>
              <w:ind w:left="0"/>
              <w:rPr>
                <w:rFonts w:ascii="Calibri" w:hAnsi="Calibri" w:cs="Calibri"/>
                <w:color w:val="002B45"/>
              </w:rPr>
            </w:pPr>
            <w:r w:rsidRPr="00721877">
              <w:rPr>
                <w:rFonts w:ascii="Calibri" w:hAnsi="Calibri" w:cs="Calibri"/>
                <w:color w:val="002B45"/>
              </w:rPr>
              <w:t>Repayment of bank loans</w:t>
            </w:r>
          </w:p>
        </w:tc>
        <w:tc>
          <w:tcPr>
            <w:tcW w:w="1134" w:type="dxa"/>
            <w:tcBorders>
              <w:top w:val="nil"/>
              <w:bottom w:val="nil"/>
            </w:tcBorders>
            <w:tcMar>
              <w:top w:w="0" w:type="nil"/>
              <w:left w:w="0" w:type="nil"/>
              <w:bottom w:w="0" w:type="nil"/>
              <w:right w:w="0" w:type="nil"/>
            </w:tcMar>
          </w:tcPr>
          <w:p w:rsidR="00871692" w:rsidRPr="000C3FB5" w:rsidRDefault="00871692" w:rsidP="002106F9">
            <w:pPr>
              <w:pStyle w:val="TableFigures"/>
              <w:ind w:left="0" w:right="113"/>
              <w:rPr>
                <w:rFonts w:ascii="Calibri" w:hAnsi="Calibri" w:cs="Calibri"/>
                <w:color w:val="00305C"/>
                <w:sz w:val="19"/>
                <w:szCs w:val="24"/>
                <w:lang w:val="en-US" w:eastAsia="en-US"/>
              </w:rPr>
            </w:pPr>
          </w:p>
        </w:tc>
        <w:tc>
          <w:tcPr>
            <w:tcW w:w="1104" w:type="dxa"/>
            <w:tcBorders>
              <w:top w:val="nil"/>
              <w:bottom w:val="nil"/>
            </w:tcBorders>
            <w:shd w:val="clear" w:color="auto" w:fill="E6E6E6"/>
            <w:tcMar>
              <w:top w:w="0" w:type="nil"/>
              <w:left w:w="0" w:type="nil"/>
              <w:bottom w:w="0" w:type="nil"/>
              <w:right w:w="0" w:type="nil"/>
            </w:tcMar>
          </w:tcPr>
          <w:p w:rsidR="00871692" w:rsidRPr="00C7007B" w:rsidRDefault="00871692" w:rsidP="002106F9">
            <w:pPr>
              <w:ind w:left="0" w:right="113"/>
              <w:jc w:val="right"/>
              <w:rPr>
                <w:rFonts w:ascii="Calibri" w:hAnsi="Calibri" w:cs="Calibri"/>
                <w:color w:val="002B45"/>
                <w:lang w:val="en-US"/>
              </w:rPr>
            </w:pPr>
            <w:r w:rsidRPr="00C7007B">
              <w:rPr>
                <w:rFonts w:ascii="Calibri" w:hAnsi="Calibri" w:cs="Calibri"/>
                <w:color w:val="002B45"/>
                <w:lang w:val="en-US"/>
              </w:rPr>
              <w:t>(1,236.5)</w:t>
            </w:r>
          </w:p>
        </w:tc>
        <w:tc>
          <w:tcPr>
            <w:tcW w:w="1164" w:type="dxa"/>
            <w:tcBorders>
              <w:top w:val="nil"/>
              <w:bottom w:val="nil"/>
            </w:tcBorders>
            <w:tcMar>
              <w:top w:w="0" w:type="nil"/>
              <w:left w:w="0" w:type="nil"/>
              <w:bottom w:w="0" w:type="nil"/>
              <w:right w:w="0" w:type="nil"/>
            </w:tcMar>
          </w:tcPr>
          <w:p w:rsidR="00871692" w:rsidRPr="00C7007B" w:rsidRDefault="00871692" w:rsidP="002106F9">
            <w:pPr>
              <w:ind w:left="0" w:right="113"/>
              <w:jc w:val="right"/>
              <w:rPr>
                <w:rFonts w:ascii="Calibri" w:hAnsi="Calibri" w:cs="Calibri"/>
                <w:color w:val="002B45"/>
                <w:lang w:val="en-US"/>
              </w:rPr>
            </w:pPr>
            <w:r w:rsidRPr="00C7007B">
              <w:rPr>
                <w:rFonts w:ascii="Calibri" w:hAnsi="Calibri" w:cs="Calibri"/>
                <w:color w:val="002B45"/>
                <w:lang w:val="en-US"/>
              </w:rPr>
              <w:t>(2,407.5)</w:t>
            </w:r>
          </w:p>
        </w:tc>
      </w:tr>
      <w:tr w:rsidR="00871692" w:rsidRPr="00C44CA2" w:rsidTr="007152F7">
        <w:trPr>
          <w:trHeight w:val="283"/>
        </w:trPr>
        <w:tc>
          <w:tcPr>
            <w:tcW w:w="6096" w:type="dxa"/>
            <w:tcBorders>
              <w:top w:val="nil"/>
              <w:bottom w:val="nil"/>
            </w:tcBorders>
            <w:tcMar>
              <w:top w:w="0" w:type="nil"/>
              <w:left w:w="0" w:type="nil"/>
              <w:bottom w:w="0" w:type="nil"/>
              <w:right w:w="0" w:type="nil"/>
            </w:tcMar>
          </w:tcPr>
          <w:p w:rsidR="00871692" w:rsidRPr="00721877" w:rsidRDefault="00871692" w:rsidP="002106F9">
            <w:pPr>
              <w:pStyle w:val="Tabletext0"/>
              <w:ind w:left="0"/>
              <w:rPr>
                <w:rFonts w:ascii="Calibri" w:hAnsi="Calibri" w:cs="Calibri"/>
                <w:color w:val="002B45"/>
              </w:rPr>
            </w:pPr>
            <w:r w:rsidRPr="00721877">
              <w:rPr>
                <w:rFonts w:ascii="Calibri" w:hAnsi="Calibri" w:cs="Calibri"/>
                <w:color w:val="002B45"/>
              </w:rPr>
              <w:t>Drawdown of bank loan</w:t>
            </w:r>
          </w:p>
        </w:tc>
        <w:tc>
          <w:tcPr>
            <w:tcW w:w="1134" w:type="dxa"/>
            <w:tcBorders>
              <w:top w:val="nil"/>
              <w:bottom w:val="nil"/>
            </w:tcBorders>
            <w:tcMar>
              <w:top w:w="0" w:type="nil"/>
              <w:left w:w="0" w:type="nil"/>
              <w:bottom w:w="0" w:type="nil"/>
              <w:right w:w="0" w:type="nil"/>
            </w:tcMar>
          </w:tcPr>
          <w:p w:rsidR="00871692" w:rsidRPr="000C3FB5" w:rsidRDefault="00871692" w:rsidP="002106F9">
            <w:pPr>
              <w:pStyle w:val="TableFigures"/>
              <w:ind w:left="0" w:right="113"/>
              <w:rPr>
                <w:rFonts w:ascii="Calibri" w:hAnsi="Calibri" w:cs="Calibri"/>
                <w:color w:val="00305C"/>
                <w:sz w:val="19"/>
                <w:szCs w:val="24"/>
                <w:lang w:val="en-US" w:eastAsia="en-US"/>
              </w:rPr>
            </w:pPr>
          </w:p>
        </w:tc>
        <w:tc>
          <w:tcPr>
            <w:tcW w:w="1104" w:type="dxa"/>
            <w:tcBorders>
              <w:top w:val="nil"/>
              <w:bottom w:val="nil"/>
            </w:tcBorders>
            <w:shd w:val="clear" w:color="auto" w:fill="E6E6E6"/>
            <w:tcMar>
              <w:top w:w="0" w:type="nil"/>
              <w:left w:w="0" w:type="nil"/>
              <w:bottom w:w="0" w:type="nil"/>
              <w:right w:w="0" w:type="nil"/>
            </w:tcMar>
          </w:tcPr>
          <w:p w:rsidR="00871692" w:rsidRPr="00C7007B" w:rsidRDefault="00871692" w:rsidP="002106F9">
            <w:pPr>
              <w:ind w:left="0" w:right="113"/>
              <w:jc w:val="right"/>
              <w:rPr>
                <w:rFonts w:ascii="Calibri" w:hAnsi="Calibri" w:cs="Calibri"/>
                <w:color w:val="002B45"/>
                <w:lang w:val="en-US"/>
              </w:rPr>
            </w:pPr>
            <w:r w:rsidRPr="00C7007B">
              <w:rPr>
                <w:rFonts w:ascii="Calibri" w:hAnsi="Calibri" w:cs="Calibri"/>
                <w:color w:val="002B45"/>
                <w:lang w:val="en-US"/>
              </w:rPr>
              <w:t xml:space="preserve"> 1,447.7 </w:t>
            </w:r>
          </w:p>
        </w:tc>
        <w:tc>
          <w:tcPr>
            <w:tcW w:w="1164" w:type="dxa"/>
            <w:tcBorders>
              <w:top w:val="nil"/>
              <w:bottom w:val="nil"/>
            </w:tcBorders>
            <w:tcMar>
              <w:top w:w="0" w:type="nil"/>
              <w:left w:w="0" w:type="nil"/>
              <w:bottom w:w="0" w:type="nil"/>
              <w:right w:w="0" w:type="nil"/>
            </w:tcMar>
          </w:tcPr>
          <w:p w:rsidR="00871692" w:rsidRPr="00C7007B" w:rsidRDefault="00871692" w:rsidP="002106F9">
            <w:pPr>
              <w:ind w:left="0" w:right="113"/>
              <w:jc w:val="right"/>
              <w:rPr>
                <w:rFonts w:ascii="Calibri" w:hAnsi="Calibri" w:cs="Calibri"/>
                <w:color w:val="002B45"/>
                <w:lang w:val="en-US"/>
              </w:rPr>
            </w:pPr>
            <w:r w:rsidRPr="00C7007B">
              <w:rPr>
                <w:rFonts w:ascii="Calibri" w:hAnsi="Calibri" w:cs="Calibri"/>
                <w:color w:val="002B45"/>
                <w:lang w:val="en-US"/>
              </w:rPr>
              <w:t xml:space="preserve"> 565.0 </w:t>
            </w:r>
          </w:p>
        </w:tc>
      </w:tr>
      <w:tr w:rsidR="00871692" w:rsidRPr="00C44CA2" w:rsidTr="007152F7">
        <w:trPr>
          <w:trHeight w:val="283"/>
        </w:trPr>
        <w:tc>
          <w:tcPr>
            <w:tcW w:w="6096" w:type="dxa"/>
            <w:tcBorders>
              <w:top w:val="nil"/>
              <w:bottom w:val="nil"/>
            </w:tcBorders>
            <w:tcMar>
              <w:top w:w="0" w:type="nil"/>
              <w:left w:w="0" w:type="nil"/>
              <w:bottom w:w="0" w:type="nil"/>
              <w:right w:w="0" w:type="nil"/>
            </w:tcMar>
          </w:tcPr>
          <w:p w:rsidR="00871692" w:rsidRPr="00721877" w:rsidRDefault="00871692" w:rsidP="002106F9">
            <w:pPr>
              <w:pStyle w:val="Tabletext0"/>
              <w:ind w:left="0"/>
              <w:rPr>
                <w:rFonts w:ascii="Calibri" w:hAnsi="Calibri" w:cs="Calibri"/>
                <w:color w:val="002B45"/>
              </w:rPr>
            </w:pPr>
            <w:r>
              <w:rPr>
                <w:rFonts w:ascii="Calibri" w:hAnsi="Calibri" w:cs="Calibri"/>
                <w:color w:val="002B45"/>
              </w:rPr>
              <w:t>Issue of senior loan notes</w:t>
            </w:r>
          </w:p>
        </w:tc>
        <w:tc>
          <w:tcPr>
            <w:tcW w:w="1134" w:type="dxa"/>
            <w:tcBorders>
              <w:top w:val="nil"/>
              <w:bottom w:val="nil"/>
            </w:tcBorders>
            <w:tcMar>
              <w:top w:w="0" w:type="nil"/>
              <w:left w:w="0" w:type="nil"/>
              <w:bottom w:w="0" w:type="nil"/>
              <w:right w:w="0" w:type="nil"/>
            </w:tcMar>
          </w:tcPr>
          <w:p w:rsidR="00871692" w:rsidRPr="000C3FB5" w:rsidRDefault="00871692" w:rsidP="002106F9">
            <w:pPr>
              <w:pStyle w:val="TableFigures"/>
              <w:ind w:right="113"/>
              <w:rPr>
                <w:rFonts w:ascii="Calibri" w:hAnsi="Calibri" w:cs="Calibri"/>
                <w:color w:val="00305C"/>
                <w:sz w:val="19"/>
                <w:szCs w:val="24"/>
                <w:lang w:val="en-US" w:eastAsia="en-US"/>
              </w:rPr>
            </w:pPr>
          </w:p>
        </w:tc>
        <w:tc>
          <w:tcPr>
            <w:tcW w:w="1104" w:type="dxa"/>
            <w:tcBorders>
              <w:top w:val="nil"/>
              <w:bottom w:val="nil"/>
            </w:tcBorders>
            <w:shd w:val="clear" w:color="auto" w:fill="E6E6E6"/>
            <w:tcMar>
              <w:top w:w="0" w:type="nil"/>
              <w:left w:w="0" w:type="nil"/>
              <w:bottom w:w="0" w:type="nil"/>
              <w:right w:w="0" w:type="nil"/>
            </w:tcMar>
          </w:tcPr>
          <w:p w:rsidR="00871692" w:rsidRPr="00C7007B" w:rsidRDefault="00871692" w:rsidP="002106F9">
            <w:pPr>
              <w:ind w:left="0" w:right="113"/>
              <w:jc w:val="right"/>
              <w:rPr>
                <w:rFonts w:ascii="Calibri" w:hAnsi="Calibri" w:cs="Calibri"/>
                <w:color w:val="002B45"/>
                <w:lang w:val="en-US"/>
              </w:rPr>
            </w:pPr>
            <w:r w:rsidRPr="00C7007B">
              <w:rPr>
                <w:rFonts w:ascii="Calibri" w:hAnsi="Calibri" w:cs="Calibri"/>
                <w:color w:val="002B45"/>
                <w:lang w:val="en-US"/>
              </w:rPr>
              <w:t>650.0</w:t>
            </w:r>
          </w:p>
        </w:tc>
        <w:tc>
          <w:tcPr>
            <w:tcW w:w="1164" w:type="dxa"/>
            <w:tcBorders>
              <w:top w:val="nil"/>
              <w:bottom w:val="nil"/>
            </w:tcBorders>
            <w:tcMar>
              <w:top w:w="0" w:type="nil"/>
              <w:left w:w="0" w:type="nil"/>
              <w:bottom w:w="0" w:type="nil"/>
              <w:right w:w="0" w:type="nil"/>
            </w:tcMar>
          </w:tcPr>
          <w:p w:rsidR="00871692" w:rsidRPr="00C7007B" w:rsidRDefault="00871692" w:rsidP="002106F9">
            <w:pPr>
              <w:ind w:left="0" w:right="113"/>
              <w:jc w:val="right"/>
              <w:rPr>
                <w:rFonts w:ascii="Calibri" w:hAnsi="Calibri" w:cs="Calibri"/>
                <w:color w:val="002B45"/>
                <w:lang w:val="en-US"/>
              </w:rPr>
            </w:pPr>
            <w:r w:rsidRPr="00C7007B">
              <w:rPr>
                <w:rFonts w:ascii="Calibri" w:hAnsi="Calibri" w:cs="Calibri"/>
                <w:color w:val="002B45"/>
                <w:lang w:val="en-US"/>
              </w:rPr>
              <w:t xml:space="preserve">– </w:t>
            </w:r>
          </w:p>
        </w:tc>
      </w:tr>
      <w:tr w:rsidR="00871692" w:rsidRPr="00C44CA2" w:rsidTr="007152F7">
        <w:trPr>
          <w:trHeight w:val="283"/>
        </w:trPr>
        <w:tc>
          <w:tcPr>
            <w:tcW w:w="6096" w:type="dxa"/>
            <w:tcBorders>
              <w:top w:val="nil"/>
              <w:bottom w:val="nil"/>
            </w:tcBorders>
            <w:tcMar>
              <w:top w:w="0" w:type="nil"/>
              <w:left w:w="0" w:type="nil"/>
              <w:bottom w:w="0" w:type="nil"/>
              <w:right w:w="0" w:type="nil"/>
            </w:tcMar>
          </w:tcPr>
          <w:p w:rsidR="00871692" w:rsidRPr="00721877" w:rsidRDefault="00871692" w:rsidP="002106F9">
            <w:pPr>
              <w:pStyle w:val="Tabletext0"/>
              <w:ind w:left="0"/>
              <w:rPr>
                <w:rFonts w:ascii="Calibri" w:hAnsi="Calibri" w:cs="Calibri"/>
                <w:color w:val="002B45"/>
              </w:rPr>
            </w:pPr>
            <w:r w:rsidRPr="00721877">
              <w:rPr>
                <w:rFonts w:ascii="Calibri" w:hAnsi="Calibri" w:cs="Calibri"/>
                <w:color w:val="002B45"/>
              </w:rPr>
              <w:t>Repayment of obligations under finance leases</w:t>
            </w:r>
          </w:p>
        </w:tc>
        <w:tc>
          <w:tcPr>
            <w:tcW w:w="1134" w:type="dxa"/>
            <w:tcBorders>
              <w:top w:val="nil"/>
              <w:bottom w:val="nil"/>
            </w:tcBorders>
            <w:tcMar>
              <w:top w:w="0" w:type="nil"/>
              <w:left w:w="0" w:type="nil"/>
              <w:bottom w:w="0" w:type="nil"/>
              <w:right w:w="0" w:type="nil"/>
            </w:tcMar>
          </w:tcPr>
          <w:p w:rsidR="00871692" w:rsidRPr="000C3FB5" w:rsidRDefault="00871692" w:rsidP="002106F9">
            <w:pPr>
              <w:pStyle w:val="TableFigures"/>
              <w:ind w:left="0" w:right="113"/>
              <w:rPr>
                <w:rFonts w:ascii="Calibri" w:hAnsi="Calibri" w:cs="Calibri"/>
                <w:color w:val="00305C"/>
                <w:sz w:val="19"/>
                <w:szCs w:val="24"/>
                <w:lang w:val="en-US" w:eastAsia="en-US"/>
              </w:rPr>
            </w:pPr>
          </w:p>
        </w:tc>
        <w:tc>
          <w:tcPr>
            <w:tcW w:w="1104" w:type="dxa"/>
            <w:tcBorders>
              <w:top w:val="nil"/>
              <w:bottom w:val="nil"/>
            </w:tcBorders>
            <w:shd w:val="clear" w:color="auto" w:fill="E6E6E6"/>
            <w:tcMar>
              <w:top w:w="0" w:type="nil"/>
              <w:left w:w="0" w:type="nil"/>
              <w:bottom w:w="0" w:type="nil"/>
              <w:right w:w="0" w:type="nil"/>
            </w:tcMar>
          </w:tcPr>
          <w:p w:rsidR="00871692" w:rsidRPr="00C7007B" w:rsidRDefault="00871692" w:rsidP="002106F9">
            <w:pPr>
              <w:ind w:left="0" w:right="113"/>
              <w:jc w:val="right"/>
              <w:rPr>
                <w:rFonts w:ascii="Calibri" w:hAnsi="Calibri" w:cs="Calibri"/>
                <w:color w:val="002B45"/>
                <w:lang w:val="en-US"/>
              </w:rPr>
            </w:pPr>
            <w:r w:rsidRPr="00C7007B">
              <w:rPr>
                <w:rFonts w:ascii="Calibri" w:hAnsi="Calibri" w:cs="Calibri"/>
                <w:color w:val="002B45"/>
                <w:lang w:val="en-US"/>
              </w:rPr>
              <w:t>(3.3)</w:t>
            </w:r>
          </w:p>
        </w:tc>
        <w:tc>
          <w:tcPr>
            <w:tcW w:w="1164" w:type="dxa"/>
            <w:tcBorders>
              <w:top w:val="nil"/>
              <w:bottom w:val="nil"/>
            </w:tcBorders>
            <w:tcMar>
              <w:top w:w="0" w:type="nil"/>
              <w:left w:w="0" w:type="nil"/>
              <w:bottom w:w="0" w:type="nil"/>
              <w:right w:w="0" w:type="nil"/>
            </w:tcMar>
          </w:tcPr>
          <w:p w:rsidR="00871692" w:rsidRPr="00C7007B" w:rsidRDefault="00871692" w:rsidP="002106F9">
            <w:pPr>
              <w:ind w:left="0" w:right="113"/>
              <w:jc w:val="right"/>
              <w:rPr>
                <w:rFonts w:ascii="Calibri" w:hAnsi="Calibri" w:cs="Calibri"/>
                <w:color w:val="002B45"/>
                <w:lang w:val="en-US"/>
              </w:rPr>
            </w:pPr>
            <w:r w:rsidRPr="00C7007B">
              <w:rPr>
                <w:rFonts w:ascii="Calibri" w:hAnsi="Calibri" w:cs="Calibri"/>
                <w:color w:val="002B45"/>
                <w:lang w:val="en-US"/>
              </w:rPr>
              <w:t>(1.8)</w:t>
            </w:r>
          </w:p>
        </w:tc>
      </w:tr>
      <w:tr w:rsidR="00871692" w:rsidRPr="00C44CA2" w:rsidTr="007152F7">
        <w:trPr>
          <w:trHeight w:val="283"/>
        </w:trPr>
        <w:tc>
          <w:tcPr>
            <w:tcW w:w="6096" w:type="dxa"/>
            <w:tcBorders>
              <w:top w:val="nil"/>
              <w:bottom w:val="nil"/>
            </w:tcBorders>
            <w:tcMar>
              <w:top w:w="0" w:type="nil"/>
              <w:left w:w="0" w:type="nil"/>
              <w:bottom w:w="0" w:type="nil"/>
              <w:right w:w="0" w:type="nil"/>
            </w:tcMar>
          </w:tcPr>
          <w:p w:rsidR="00871692" w:rsidRPr="00721877" w:rsidRDefault="00871692" w:rsidP="002106F9">
            <w:pPr>
              <w:pStyle w:val="Tabletext0"/>
              <w:ind w:left="0"/>
              <w:rPr>
                <w:rFonts w:ascii="Calibri" w:hAnsi="Calibri" w:cs="Calibri"/>
                <w:color w:val="002B45"/>
              </w:rPr>
            </w:pPr>
            <w:r w:rsidRPr="00721877">
              <w:rPr>
                <w:rFonts w:ascii="Calibri" w:hAnsi="Calibri" w:cs="Calibri"/>
                <w:color w:val="002B45"/>
              </w:rPr>
              <w:t>Finance costs</w:t>
            </w:r>
          </w:p>
        </w:tc>
        <w:tc>
          <w:tcPr>
            <w:tcW w:w="1134" w:type="dxa"/>
            <w:tcBorders>
              <w:top w:val="nil"/>
              <w:bottom w:val="nil"/>
            </w:tcBorders>
            <w:tcMar>
              <w:top w:w="0" w:type="nil"/>
              <w:left w:w="0" w:type="nil"/>
              <w:bottom w:w="0" w:type="nil"/>
              <w:right w:w="0" w:type="nil"/>
            </w:tcMar>
          </w:tcPr>
          <w:p w:rsidR="00871692" w:rsidRPr="000C3FB5" w:rsidRDefault="00871692" w:rsidP="002106F9">
            <w:pPr>
              <w:pStyle w:val="TableFigures"/>
              <w:ind w:left="0" w:right="113"/>
              <w:rPr>
                <w:rFonts w:ascii="Calibri" w:hAnsi="Calibri" w:cs="Calibri"/>
                <w:color w:val="00305C"/>
                <w:sz w:val="19"/>
                <w:szCs w:val="24"/>
                <w:lang w:val="en-US" w:eastAsia="en-US"/>
              </w:rPr>
            </w:pPr>
          </w:p>
        </w:tc>
        <w:tc>
          <w:tcPr>
            <w:tcW w:w="1104" w:type="dxa"/>
            <w:tcBorders>
              <w:top w:val="nil"/>
              <w:bottom w:val="nil"/>
            </w:tcBorders>
            <w:shd w:val="clear" w:color="auto" w:fill="E6E6E6"/>
            <w:tcMar>
              <w:top w:w="0" w:type="nil"/>
              <w:left w:w="0" w:type="nil"/>
              <w:bottom w:w="0" w:type="nil"/>
              <w:right w:w="0" w:type="nil"/>
            </w:tcMar>
          </w:tcPr>
          <w:p w:rsidR="00871692" w:rsidRPr="00C7007B" w:rsidRDefault="00871692" w:rsidP="002106F9">
            <w:pPr>
              <w:ind w:left="0" w:right="113"/>
              <w:jc w:val="right"/>
              <w:rPr>
                <w:rFonts w:ascii="Calibri" w:hAnsi="Calibri" w:cs="Calibri"/>
                <w:color w:val="002B45"/>
                <w:lang w:val="en-US"/>
              </w:rPr>
            </w:pPr>
            <w:r w:rsidRPr="00C7007B">
              <w:rPr>
                <w:rFonts w:ascii="Calibri" w:hAnsi="Calibri" w:cs="Calibri"/>
                <w:color w:val="002B45"/>
                <w:lang w:val="en-US"/>
              </w:rPr>
              <w:t>(103.5)</w:t>
            </w:r>
          </w:p>
        </w:tc>
        <w:tc>
          <w:tcPr>
            <w:tcW w:w="1164" w:type="dxa"/>
            <w:tcBorders>
              <w:top w:val="nil"/>
              <w:bottom w:val="nil"/>
            </w:tcBorders>
            <w:tcMar>
              <w:top w:w="0" w:type="nil"/>
              <w:left w:w="0" w:type="nil"/>
              <w:bottom w:w="0" w:type="nil"/>
              <w:right w:w="0" w:type="nil"/>
            </w:tcMar>
          </w:tcPr>
          <w:p w:rsidR="00871692" w:rsidRPr="00C7007B" w:rsidRDefault="00871692" w:rsidP="002106F9">
            <w:pPr>
              <w:ind w:left="0" w:right="113"/>
              <w:jc w:val="right"/>
              <w:rPr>
                <w:rFonts w:ascii="Calibri" w:hAnsi="Calibri" w:cs="Calibri"/>
                <w:color w:val="002B45"/>
                <w:lang w:val="en-US"/>
              </w:rPr>
            </w:pPr>
            <w:r w:rsidRPr="00C7007B">
              <w:rPr>
                <w:rFonts w:ascii="Calibri" w:hAnsi="Calibri" w:cs="Calibri"/>
                <w:color w:val="002B45"/>
                <w:lang w:val="en-US"/>
              </w:rPr>
              <w:t>(103.2)</w:t>
            </w:r>
          </w:p>
        </w:tc>
      </w:tr>
      <w:tr w:rsidR="00871692" w:rsidRPr="00C44CA2" w:rsidTr="007152F7">
        <w:trPr>
          <w:trHeight w:val="283"/>
        </w:trPr>
        <w:tc>
          <w:tcPr>
            <w:tcW w:w="6096" w:type="dxa"/>
            <w:tcBorders>
              <w:top w:val="nil"/>
              <w:bottom w:val="nil"/>
            </w:tcBorders>
            <w:tcMar>
              <w:top w:w="0" w:type="nil"/>
              <w:left w:w="0" w:type="nil"/>
              <w:bottom w:w="0" w:type="nil"/>
              <w:right w:w="0" w:type="nil"/>
            </w:tcMar>
          </w:tcPr>
          <w:p w:rsidR="00871692" w:rsidRPr="00721877" w:rsidRDefault="00871692" w:rsidP="002106F9">
            <w:pPr>
              <w:pStyle w:val="Tabletext0"/>
              <w:ind w:left="0"/>
              <w:rPr>
                <w:rFonts w:ascii="Calibri" w:hAnsi="Calibri" w:cs="Calibri"/>
                <w:color w:val="002B45"/>
              </w:rPr>
            </w:pPr>
            <w:r w:rsidRPr="00721877">
              <w:rPr>
                <w:rFonts w:ascii="Calibri" w:hAnsi="Calibri" w:cs="Calibri"/>
                <w:color w:val="002B45"/>
              </w:rPr>
              <w:t xml:space="preserve">Dividends paid </w:t>
            </w:r>
          </w:p>
        </w:tc>
        <w:tc>
          <w:tcPr>
            <w:tcW w:w="1134" w:type="dxa"/>
            <w:tcBorders>
              <w:top w:val="nil"/>
              <w:bottom w:val="nil"/>
            </w:tcBorders>
            <w:tcMar>
              <w:top w:w="0" w:type="nil"/>
              <w:left w:w="0" w:type="nil"/>
              <w:bottom w:w="0" w:type="nil"/>
              <w:right w:w="0" w:type="nil"/>
            </w:tcMar>
          </w:tcPr>
          <w:p w:rsidR="00871692" w:rsidRPr="000C3FB5" w:rsidRDefault="00871692" w:rsidP="002106F9">
            <w:pPr>
              <w:pStyle w:val="TableFigures"/>
              <w:ind w:left="0" w:right="113"/>
              <w:rPr>
                <w:rFonts w:ascii="Calibri" w:hAnsi="Calibri" w:cs="Calibri"/>
                <w:color w:val="00305C"/>
                <w:sz w:val="19"/>
                <w:szCs w:val="24"/>
                <w:lang w:val="en-US" w:eastAsia="en-US"/>
              </w:rPr>
            </w:pPr>
          </w:p>
        </w:tc>
        <w:tc>
          <w:tcPr>
            <w:tcW w:w="1104" w:type="dxa"/>
            <w:tcBorders>
              <w:top w:val="nil"/>
              <w:bottom w:val="nil"/>
            </w:tcBorders>
            <w:shd w:val="clear" w:color="auto" w:fill="E6E6E6"/>
            <w:tcMar>
              <w:top w:w="0" w:type="nil"/>
              <w:left w:w="0" w:type="nil"/>
              <w:bottom w:w="0" w:type="nil"/>
              <w:right w:w="0" w:type="nil"/>
            </w:tcMar>
          </w:tcPr>
          <w:p w:rsidR="00871692" w:rsidRPr="00C7007B" w:rsidRDefault="00871692" w:rsidP="002106F9">
            <w:pPr>
              <w:ind w:left="0" w:right="113"/>
              <w:jc w:val="right"/>
              <w:rPr>
                <w:rFonts w:ascii="Calibri" w:hAnsi="Calibri" w:cs="Calibri"/>
                <w:color w:val="002B45"/>
                <w:lang w:val="en-US"/>
              </w:rPr>
            </w:pPr>
            <w:r w:rsidRPr="00C7007B">
              <w:rPr>
                <w:rFonts w:ascii="Calibri" w:hAnsi="Calibri" w:cs="Calibri"/>
                <w:color w:val="002B45"/>
                <w:lang w:val="en-US"/>
              </w:rPr>
              <w:t>(167.4)</w:t>
            </w:r>
          </w:p>
        </w:tc>
        <w:tc>
          <w:tcPr>
            <w:tcW w:w="1164" w:type="dxa"/>
            <w:tcBorders>
              <w:top w:val="nil"/>
              <w:bottom w:val="nil"/>
            </w:tcBorders>
            <w:tcMar>
              <w:top w:w="0" w:type="nil"/>
              <w:left w:w="0" w:type="nil"/>
              <w:bottom w:w="0" w:type="nil"/>
              <w:right w:w="0" w:type="nil"/>
            </w:tcMar>
          </w:tcPr>
          <w:p w:rsidR="00871692" w:rsidRPr="00C7007B" w:rsidRDefault="00871692" w:rsidP="002106F9">
            <w:pPr>
              <w:ind w:left="0" w:right="113"/>
              <w:jc w:val="right"/>
              <w:rPr>
                <w:rFonts w:ascii="Calibri" w:hAnsi="Calibri" w:cs="Calibri"/>
                <w:color w:val="002B45"/>
                <w:lang w:val="en-US"/>
              </w:rPr>
            </w:pPr>
            <w:r w:rsidRPr="00C7007B">
              <w:rPr>
                <w:rFonts w:ascii="Calibri" w:hAnsi="Calibri" w:cs="Calibri"/>
                <w:color w:val="002B45"/>
                <w:lang w:val="en-US"/>
              </w:rPr>
              <w:t>(173.2)</w:t>
            </w:r>
          </w:p>
        </w:tc>
      </w:tr>
      <w:tr w:rsidR="00871692" w:rsidRPr="00C44CA2" w:rsidTr="007152F7">
        <w:trPr>
          <w:trHeight w:val="283"/>
        </w:trPr>
        <w:tc>
          <w:tcPr>
            <w:tcW w:w="6096" w:type="dxa"/>
            <w:tcBorders>
              <w:top w:val="nil"/>
              <w:bottom w:val="single" w:sz="4" w:space="0" w:color="999999"/>
            </w:tcBorders>
            <w:tcMar>
              <w:top w:w="0" w:type="nil"/>
              <w:left w:w="0" w:type="nil"/>
              <w:bottom w:w="0" w:type="nil"/>
              <w:right w:w="0" w:type="nil"/>
            </w:tcMar>
          </w:tcPr>
          <w:p w:rsidR="00871692" w:rsidRPr="00721877" w:rsidRDefault="00871692" w:rsidP="002106F9">
            <w:pPr>
              <w:pStyle w:val="Tabletext0"/>
              <w:ind w:left="0"/>
              <w:rPr>
                <w:rFonts w:ascii="Calibri" w:hAnsi="Calibri" w:cs="Calibri"/>
                <w:color w:val="002B45"/>
              </w:rPr>
            </w:pPr>
            <w:r w:rsidRPr="00721877">
              <w:rPr>
                <w:rFonts w:ascii="Calibri" w:hAnsi="Calibri" w:cs="Calibri"/>
                <w:color w:val="002B45"/>
              </w:rPr>
              <w:t xml:space="preserve">Distribution to </w:t>
            </w:r>
            <w:r w:rsidR="00EB5D64">
              <w:rPr>
                <w:rFonts w:ascii="Calibri" w:hAnsi="Calibri" w:cs="Calibri"/>
                <w:color w:val="002B45"/>
              </w:rPr>
              <w:t>non controlling interests</w:t>
            </w:r>
          </w:p>
        </w:tc>
        <w:tc>
          <w:tcPr>
            <w:tcW w:w="1134" w:type="dxa"/>
            <w:tcBorders>
              <w:top w:val="nil"/>
              <w:bottom w:val="single" w:sz="4" w:space="0" w:color="999999"/>
            </w:tcBorders>
            <w:tcMar>
              <w:top w:w="0" w:type="nil"/>
              <w:left w:w="0" w:type="nil"/>
              <w:bottom w:w="0" w:type="nil"/>
              <w:right w:w="0" w:type="nil"/>
            </w:tcMar>
          </w:tcPr>
          <w:p w:rsidR="00871692" w:rsidRPr="000C3FB5" w:rsidRDefault="00871692" w:rsidP="002106F9">
            <w:pPr>
              <w:pStyle w:val="TableFigures"/>
              <w:ind w:left="0" w:right="113"/>
              <w:rPr>
                <w:rFonts w:ascii="Calibri" w:hAnsi="Calibri" w:cs="Calibri"/>
                <w:color w:val="00305C"/>
                <w:sz w:val="19"/>
                <w:szCs w:val="24"/>
                <w:lang w:val="en-US" w:eastAsia="en-US"/>
              </w:rPr>
            </w:pPr>
          </w:p>
        </w:tc>
        <w:tc>
          <w:tcPr>
            <w:tcW w:w="1104" w:type="dxa"/>
            <w:tcBorders>
              <w:top w:val="nil"/>
              <w:bottom w:val="single" w:sz="4" w:space="0" w:color="999999"/>
            </w:tcBorders>
            <w:shd w:val="clear" w:color="auto" w:fill="E6E6E6"/>
            <w:tcMar>
              <w:top w:w="0" w:type="nil"/>
              <w:left w:w="0" w:type="nil"/>
              <w:bottom w:w="0" w:type="nil"/>
              <w:right w:w="0" w:type="nil"/>
            </w:tcMar>
          </w:tcPr>
          <w:p w:rsidR="00871692" w:rsidRPr="00C7007B" w:rsidRDefault="00871692" w:rsidP="002106F9">
            <w:pPr>
              <w:ind w:left="0" w:right="113"/>
              <w:jc w:val="right"/>
              <w:rPr>
                <w:rFonts w:ascii="Calibri" w:hAnsi="Calibri" w:cs="Calibri"/>
                <w:color w:val="002B45"/>
                <w:lang w:val="en-US"/>
              </w:rPr>
            </w:pPr>
            <w:r w:rsidRPr="00C7007B">
              <w:rPr>
                <w:rFonts w:ascii="Calibri" w:hAnsi="Calibri" w:cs="Calibri"/>
                <w:color w:val="002B45"/>
                <w:lang w:val="en-US"/>
              </w:rPr>
              <w:t>(16.0)</w:t>
            </w:r>
          </w:p>
        </w:tc>
        <w:tc>
          <w:tcPr>
            <w:tcW w:w="1164" w:type="dxa"/>
            <w:tcBorders>
              <w:top w:val="nil"/>
              <w:bottom w:val="single" w:sz="4" w:space="0" w:color="999999"/>
            </w:tcBorders>
            <w:tcMar>
              <w:top w:w="0" w:type="nil"/>
              <w:left w:w="0" w:type="nil"/>
              <w:bottom w:w="0" w:type="nil"/>
              <w:right w:w="0" w:type="nil"/>
            </w:tcMar>
          </w:tcPr>
          <w:p w:rsidR="00871692" w:rsidRPr="00C7007B" w:rsidRDefault="00871692" w:rsidP="002106F9">
            <w:pPr>
              <w:ind w:left="0" w:right="113"/>
              <w:jc w:val="right"/>
              <w:rPr>
                <w:rFonts w:ascii="Calibri" w:hAnsi="Calibri" w:cs="Calibri"/>
                <w:color w:val="002B45"/>
                <w:lang w:val="en-US"/>
              </w:rPr>
            </w:pPr>
            <w:r w:rsidRPr="00C7007B">
              <w:rPr>
                <w:rFonts w:ascii="Calibri" w:hAnsi="Calibri" w:cs="Calibri"/>
                <w:color w:val="002B45"/>
                <w:lang w:val="en-US"/>
              </w:rPr>
              <w:t>(25.1)</w:t>
            </w:r>
          </w:p>
        </w:tc>
      </w:tr>
      <w:tr w:rsidR="00871692" w:rsidTr="007152F7">
        <w:trPr>
          <w:trHeight w:val="283"/>
        </w:trPr>
        <w:tc>
          <w:tcPr>
            <w:tcW w:w="6096" w:type="dxa"/>
            <w:tcBorders>
              <w:top w:val="single" w:sz="4" w:space="0" w:color="999999"/>
              <w:bottom w:val="single" w:sz="4" w:space="0" w:color="999999"/>
            </w:tcBorders>
            <w:tcMar>
              <w:top w:w="0" w:type="nil"/>
              <w:left w:w="0" w:type="nil"/>
              <w:bottom w:w="0" w:type="nil"/>
              <w:right w:w="0" w:type="nil"/>
            </w:tcMar>
          </w:tcPr>
          <w:p w:rsidR="00871692" w:rsidRPr="00721877" w:rsidRDefault="00871692" w:rsidP="002106F9">
            <w:pPr>
              <w:pStyle w:val="Tabletext0"/>
              <w:ind w:left="0"/>
              <w:rPr>
                <w:rFonts w:ascii="Calibri" w:hAnsi="Calibri" w:cs="Calibri"/>
                <w:color w:val="002B45"/>
              </w:rPr>
            </w:pPr>
            <w:r w:rsidRPr="00721877">
              <w:rPr>
                <w:rFonts w:ascii="Calibri" w:hAnsi="Calibri" w:cs="Calibri"/>
                <w:color w:val="002B45"/>
              </w:rPr>
              <w:t xml:space="preserve">Net cash </w:t>
            </w:r>
            <w:r>
              <w:rPr>
                <w:rFonts w:ascii="Calibri" w:hAnsi="Calibri" w:cs="Calibri"/>
                <w:color w:val="002B45"/>
              </w:rPr>
              <w:t>generated by/(used in)</w:t>
            </w:r>
            <w:r w:rsidRPr="00721877">
              <w:rPr>
                <w:rFonts w:ascii="Calibri" w:hAnsi="Calibri" w:cs="Calibri"/>
                <w:color w:val="002B45"/>
              </w:rPr>
              <w:t xml:space="preserve"> financing activities </w:t>
            </w:r>
          </w:p>
        </w:tc>
        <w:tc>
          <w:tcPr>
            <w:tcW w:w="1134" w:type="dxa"/>
            <w:tcBorders>
              <w:top w:val="single" w:sz="4" w:space="0" w:color="999999"/>
              <w:bottom w:val="single" w:sz="4" w:space="0" w:color="999999"/>
            </w:tcBorders>
            <w:tcMar>
              <w:top w:w="0" w:type="nil"/>
              <w:left w:w="0" w:type="nil"/>
              <w:bottom w:w="0" w:type="nil"/>
              <w:right w:w="0" w:type="nil"/>
            </w:tcMar>
          </w:tcPr>
          <w:p w:rsidR="00871692" w:rsidRPr="000C3FB5" w:rsidRDefault="00871692" w:rsidP="002106F9">
            <w:pPr>
              <w:pStyle w:val="TableFigures"/>
              <w:ind w:left="0" w:right="113"/>
              <w:rPr>
                <w:rFonts w:ascii="Calibri" w:hAnsi="Calibri" w:cs="Calibri"/>
                <w:color w:val="00305C"/>
                <w:sz w:val="19"/>
                <w:szCs w:val="24"/>
                <w:lang w:val="en-US" w:eastAsia="en-US"/>
              </w:rPr>
            </w:pPr>
          </w:p>
        </w:tc>
        <w:tc>
          <w:tcPr>
            <w:tcW w:w="1104" w:type="dxa"/>
            <w:tcBorders>
              <w:top w:val="single" w:sz="4" w:space="0" w:color="999999"/>
              <w:bottom w:val="single" w:sz="4" w:space="0" w:color="999999"/>
            </w:tcBorders>
            <w:shd w:val="clear" w:color="auto" w:fill="E6E6E6"/>
            <w:tcMar>
              <w:top w:w="0" w:type="nil"/>
              <w:left w:w="0" w:type="nil"/>
              <w:bottom w:w="0" w:type="nil"/>
              <w:right w:w="0" w:type="nil"/>
            </w:tcMar>
          </w:tcPr>
          <w:p w:rsidR="00871692" w:rsidRPr="00C7007B" w:rsidRDefault="00871692" w:rsidP="002106F9">
            <w:pPr>
              <w:ind w:left="0" w:right="113"/>
              <w:jc w:val="right"/>
              <w:rPr>
                <w:rFonts w:ascii="Calibri" w:hAnsi="Calibri" w:cs="Calibri"/>
                <w:color w:val="002B45"/>
                <w:lang w:val="en-US"/>
              </w:rPr>
            </w:pPr>
            <w:r w:rsidRPr="00C7007B">
              <w:rPr>
                <w:rFonts w:ascii="Calibri" w:hAnsi="Calibri" w:cs="Calibri"/>
                <w:color w:val="002B45"/>
                <w:lang w:val="en-US"/>
              </w:rPr>
              <w:t xml:space="preserve"> 563.5 </w:t>
            </w:r>
          </w:p>
        </w:tc>
        <w:tc>
          <w:tcPr>
            <w:tcW w:w="1164" w:type="dxa"/>
            <w:tcBorders>
              <w:top w:val="single" w:sz="4" w:space="0" w:color="999999"/>
              <w:bottom w:val="single" w:sz="4" w:space="0" w:color="999999"/>
            </w:tcBorders>
            <w:tcMar>
              <w:top w:w="0" w:type="nil"/>
              <w:left w:w="0" w:type="nil"/>
              <w:bottom w:w="0" w:type="nil"/>
              <w:right w:w="0" w:type="nil"/>
            </w:tcMar>
          </w:tcPr>
          <w:p w:rsidR="00871692" w:rsidRPr="00C7007B" w:rsidRDefault="00871692" w:rsidP="002106F9">
            <w:pPr>
              <w:ind w:left="0" w:right="113"/>
              <w:jc w:val="right"/>
              <w:rPr>
                <w:rFonts w:ascii="Calibri" w:hAnsi="Calibri" w:cs="Calibri"/>
                <w:color w:val="002B45"/>
                <w:lang w:val="en-US"/>
              </w:rPr>
            </w:pPr>
            <w:r w:rsidRPr="00C7007B">
              <w:rPr>
                <w:rFonts w:ascii="Calibri" w:hAnsi="Calibri" w:cs="Calibri"/>
                <w:color w:val="002B45"/>
                <w:lang w:val="en-US"/>
              </w:rPr>
              <w:t>(2,198.5)</w:t>
            </w:r>
          </w:p>
        </w:tc>
      </w:tr>
      <w:tr w:rsidR="00871692" w:rsidTr="007152F7">
        <w:trPr>
          <w:trHeight w:val="283"/>
        </w:trPr>
        <w:tc>
          <w:tcPr>
            <w:tcW w:w="6096" w:type="dxa"/>
            <w:tcBorders>
              <w:top w:val="single" w:sz="4" w:space="0" w:color="999999"/>
              <w:bottom w:val="nil"/>
            </w:tcBorders>
            <w:tcMar>
              <w:top w:w="0" w:type="nil"/>
              <w:left w:w="0" w:type="nil"/>
              <w:bottom w:w="0" w:type="nil"/>
              <w:right w:w="0" w:type="nil"/>
            </w:tcMar>
          </w:tcPr>
          <w:p w:rsidR="00871692" w:rsidRPr="00721877" w:rsidRDefault="00871692" w:rsidP="002106F9">
            <w:pPr>
              <w:pStyle w:val="Tabletext0"/>
              <w:ind w:left="0"/>
              <w:rPr>
                <w:rFonts w:ascii="Calibri" w:hAnsi="Calibri" w:cs="Calibri"/>
                <w:color w:val="002B45"/>
              </w:rPr>
            </w:pPr>
            <w:r w:rsidRPr="00721877">
              <w:rPr>
                <w:rFonts w:ascii="Calibri" w:hAnsi="Calibri" w:cs="Calibri"/>
                <w:color w:val="002B45"/>
              </w:rPr>
              <w:t xml:space="preserve">Net </w:t>
            </w:r>
            <w:r>
              <w:rPr>
                <w:rFonts w:ascii="Calibri" w:hAnsi="Calibri" w:cs="Calibri"/>
                <w:color w:val="002B45"/>
              </w:rPr>
              <w:t xml:space="preserve">increase </w:t>
            </w:r>
            <w:r w:rsidRPr="00721877">
              <w:rPr>
                <w:rFonts w:ascii="Calibri" w:hAnsi="Calibri" w:cs="Calibri"/>
                <w:color w:val="002B45"/>
              </w:rPr>
              <w:t xml:space="preserve">in cash and cash equivalents </w:t>
            </w:r>
          </w:p>
        </w:tc>
        <w:tc>
          <w:tcPr>
            <w:tcW w:w="1134" w:type="dxa"/>
            <w:tcBorders>
              <w:top w:val="single" w:sz="4" w:space="0" w:color="999999"/>
              <w:bottom w:val="nil"/>
            </w:tcBorders>
            <w:tcMar>
              <w:top w:w="0" w:type="nil"/>
              <w:left w:w="0" w:type="nil"/>
              <w:bottom w:w="0" w:type="nil"/>
              <w:right w:w="0" w:type="nil"/>
            </w:tcMar>
          </w:tcPr>
          <w:p w:rsidR="00871692" w:rsidRPr="000C3FB5" w:rsidRDefault="00871692" w:rsidP="002106F9">
            <w:pPr>
              <w:pStyle w:val="TableFigures"/>
              <w:ind w:left="0" w:right="113"/>
              <w:rPr>
                <w:rFonts w:ascii="Calibri" w:hAnsi="Calibri" w:cs="Calibri"/>
                <w:color w:val="00305C"/>
                <w:sz w:val="19"/>
                <w:szCs w:val="24"/>
                <w:lang w:val="en-US" w:eastAsia="en-US"/>
              </w:rPr>
            </w:pPr>
          </w:p>
        </w:tc>
        <w:tc>
          <w:tcPr>
            <w:tcW w:w="1104" w:type="dxa"/>
            <w:tcBorders>
              <w:top w:val="single" w:sz="4" w:space="0" w:color="999999"/>
              <w:bottom w:val="nil"/>
            </w:tcBorders>
            <w:shd w:val="clear" w:color="auto" w:fill="E6E6E6"/>
            <w:tcMar>
              <w:top w:w="0" w:type="nil"/>
              <w:left w:w="0" w:type="nil"/>
              <w:bottom w:w="0" w:type="nil"/>
              <w:right w:w="0" w:type="nil"/>
            </w:tcMar>
          </w:tcPr>
          <w:p w:rsidR="00871692" w:rsidRPr="00C7007B" w:rsidRDefault="00871692" w:rsidP="002106F9">
            <w:pPr>
              <w:ind w:left="0" w:right="113"/>
              <w:jc w:val="right"/>
              <w:rPr>
                <w:rFonts w:ascii="Calibri" w:hAnsi="Calibri" w:cs="Calibri"/>
                <w:color w:val="002B45"/>
                <w:lang w:val="en-US"/>
              </w:rPr>
            </w:pPr>
            <w:r w:rsidRPr="00C7007B">
              <w:rPr>
                <w:rFonts w:ascii="Calibri" w:hAnsi="Calibri" w:cs="Calibri"/>
                <w:color w:val="002B45"/>
                <w:lang w:val="en-US"/>
              </w:rPr>
              <w:t xml:space="preserve"> 21.3 </w:t>
            </w:r>
          </w:p>
        </w:tc>
        <w:tc>
          <w:tcPr>
            <w:tcW w:w="1164" w:type="dxa"/>
            <w:tcBorders>
              <w:top w:val="single" w:sz="4" w:space="0" w:color="999999"/>
              <w:bottom w:val="nil"/>
            </w:tcBorders>
            <w:tcMar>
              <w:top w:w="0" w:type="nil"/>
              <w:left w:w="0" w:type="nil"/>
              <w:bottom w:w="0" w:type="nil"/>
              <w:right w:w="0" w:type="nil"/>
            </w:tcMar>
          </w:tcPr>
          <w:p w:rsidR="00871692" w:rsidRPr="00C7007B" w:rsidRDefault="00871692" w:rsidP="002106F9">
            <w:pPr>
              <w:ind w:left="0" w:right="113"/>
              <w:jc w:val="right"/>
              <w:rPr>
                <w:rFonts w:ascii="Calibri" w:hAnsi="Calibri" w:cs="Calibri"/>
                <w:color w:val="002B45"/>
                <w:lang w:val="en-US"/>
              </w:rPr>
            </w:pPr>
            <w:r w:rsidRPr="00C7007B">
              <w:rPr>
                <w:rFonts w:ascii="Calibri" w:hAnsi="Calibri" w:cs="Calibri"/>
                <w:color w:val="002B45"/>
                <w:lang w:val="en-US"/>
              </w:rPr>
              <w:t xml:space="preserve"> 43.6 </w:t>
            </w:r>
          </w:p>
        </w:tc>
      </w:tr>
      <w:tr w:rsidR="00871692" w:rsidRPr="00C44CA2" w:rsidTr="007152F7">
        <w:trPr>
          <w:trHeight w:val="283"/>
        </w:trPr>
        <w:tc>
          <w:tcPr>
            <w:tcW w:w="6096" w:type="dxa"/>
            <w:tcBorders>
              <w:top w:val="nil"/>
              <w:bottom w:val="nil"/>
            </w:tcBorders>
            <w:tcMar>
              <w:top w:w="0" w:type="nil"/>
              <w:left w:w="0" w:type="nil"/>
              <w:bottom w:w="0" w:type="nil"/>
              <w:right w:w="0" w:type="nil"/>
            </w:tcMar>
          </w:tcPr>
          <w:p w:rsidR="00871692" w:rsidRPr="00721877" w:rsidRDefault="00871692" w:rsidP="002106F9">
            <w:pPr>
              <w:pStyle w:val="Tabletext0"/>
              <w:ind w:left="0"/>
              <w:rPr>
                <w:rFonts w:ascii="Calibri" w:hAnsi="Calibri" w:cs="Calibri"/>
                <w:color w:val="002B45"/>
              </w:rPr>
            </w:pPr>
            <w:r w:rsidRPr="00721877">
              <w:rPr>
                <w:rFonts w:ascii="Calibri" w:hAnsi="Calibri" w:cs="Calibri"/>
                <w:color w:val="002B45"/>
              </w:rPr>
              <w:t xml:space="preserve">Cash and cash equivalents at beginning of year </w:t>
            </w:r>
          </w:p>
        </w:tc>
        <w:tc>
          <w:tcPr>
            <w:tcW w:w="1134" w:type="dxa"/>
            <w:tcBorders>
              <w:top w:val="nil"/>
              <w:bottom w:val="nil"/>
            </w:tcBorders>
            <w:tcMar>
              <w:top w:w="0" w:type="nil"/>
              <w:left w:w="0" w:type="nil"/>
              <w:bottom w:w="0" w:type="nil"/>
              <w:right w:w="0" w:type="nil"/>
            </w:tcMar>
          </w:tcPr>
          <w:p w:rsidR="00871692" w:rsidRPr="000C3FB5" w:rsidRDefault="00871692" w:rsidP="002106F9">
            <w:pPr>
              <w:pStyle w:val="TableFigures"/>
              <w:ind w:left="0" w:right="113"/>
              <w:rPr>
                <w:rFonts w:ascii="Calibri" w:hAnsi="Calibri" w:cs="Calibri"/>
                <w:color w:val="00305C"/>
                <w:sz w:val="19"/>
                <w:szCs w:val="24"/>
                <w:lang w:val="en-US" w:eastAsia="en-US"/>
              </w:rPr>
            </w:pPr>
          </w:p>
        </w:tc>
        <w:tc>
          <w:tcPr>
            <w:tcW w:w="1104" w:type="dxa"/>
            <w:tcBorders>
              <w:top w:val="nil"/>
              <w:bottom w:val="nil"/>
            </w:tcBorders>
            <w:shd w:val="clear" w:color="auto" w:fill="E6E6E6"/>
            <w:tcMar>
              <w:top w:w="0" w:type="nil"/>
              <w:left w:w="0" w:type="nil"/>
              <w:bottom w:w="0" w:type="nil"/>
              <w:right w:w="0" w:type="nil"/>
            </w:tcMar>
          </w:tcPr>
          <w:p w:rsidR="00871692" w:rsidRPr="00C7007B" w:rsidRDefault="00871692" w:rsidP="002106F9">
            <w:pPr>
              <w:ind w:left="0" w:right="113"/>
              <w:jc w:val="right"/>
              <w:rPr>
                <w:rFonts w:ascii="Calibri" w:hAnsi="Calibri" w:cs="Calibri"/>
                <w:color w:val="002B45"/>
                <w:lang w:val="en-US"/>
              </w:rPr>
            </w:pPr>
            <w:r w:rsidRPr="00C7007B">
              <w:rPr>
                <w:rFonts w:ascii="Calibri" w:hAnsi="Calibri" w:cs="Calibri"/>
                <w:color w:val="002B45"/>
                <w:lang w:val="en-US"/>
              </w:rPr>
              <w:t xml:space="preserve"> 330.2 </w:t>
            </w:r>
          </w:p>
        </w:tc>
        <w:tc>
          <w:tcPr>
            <w:tcW w:w="1164" w:type="dxa"/>
            <w:tcBorders>
              <w:top w:val="nil"/>
              <w:bottom w:val="nil"/>
            </w:tcBorders>
            <w:tcMar>
              <w:top w:w="0" w:type="nil"/>
              <w:left w:w="0" w:type="nil"/>
              <w:bottom w:w="0" w:type="nil"/>
              <w:right w:w="0" w:type="nil"/>
            </w:tcMar>
          </w:tcPr>
          <w:p w:rsidR="00871692" w:rsidRPr="00C7007B" w:rsidRDefault="00871692" w:rsidP="002106F9">
            <w:pPr>
              <w:ind w:left="0" w:right="113"/>
              <w:jc w:val="right"/>
              <w:rPr>
                <w:rFonts w:ascii="Calibri" w:hAnsi="Calibri" w:cs="Calibri"/>
                <w:color w:val="002B45"/>
                <w:lang w:val="en-US"/>
              </w:rPr>
            </w:pPr>
            <w:r w:rsidRPr="00C7007B">
              <w:rPr>
                <w:rFonts w:ascii="Calibri" w:hAnsi="Calibri" w:cs="Calibri"/>
                <w:color w:val="002B45"/>
                <w:lang w:val="en-US"/>
              </w:rPr>
              <w:t xml:space="preserve"> 307.1 </w:t>
            </w:r>
          </w:p>
        </w:tc>
      </w:tr>
      <w:tr w:rsidR="00871692" w:rsidRPr="00C44CA2" w:rsidTr="007152F7">
        <w:trPr>
          <w:trHeight w:val="283"/>
        </w:trPr>
        <w:tc>
          <w:tcPr>
            <w:tcW w:w="6096" w:type="dxa"/>
            <w:tcBorders>
              <w:top w:val="nil"/>
              <w:bottom w:val="nil"/>
            </w:tcBorders>
            <w:tcMar>
              <w:top w:w="0" w:type="nil"/>
              <w:left w:w="0" w:type="nil"/>
              <w:bottom w:w="0" w:type="nil"/>
              <w:right w:w="0" w:type="nil"/>
            </w:tcMar>
          </w:tcPr>
          <w:p w:rsidR="00871692" w:rsidRPr="00721877" w:rsidRDefault="00871692" w:rsidP="002106F9">
            <w:pPr>
              <w:pStyle w:val="Tabletext0"/>
              <w:ind w:left="0"/>
              <w:rPr>
                <w:rFonts w:ascii="Calibri" w:hAnsi="Calibri" w:cs="Calibri"/>
                <w:color w:val="002B45"/>
              </w:rPr>
            </w:pPr>
            <w:r>
              <w:rPr>
                <w:rFonts w:ascii="Calibri" w:hAnsi="Calibri" w:cs="Calibri"/>
                <w:color w:val="002B45"/>
              </w:rPr>
              <w:t>Cash transferred to held for sale</w:t>
            </w:r>
          </w:p>
        </w:tc>
        <w:tc>
          <w:tcPr>
            <w:tcW w:w="1134" w:type="dxa"/>
            <w:tcBorders>
              <w:top w:val="nil"/>
              <w:bottom w:val="nil"/>
            </w:tcBorders>
            <w:tcMar>
              <w:top w:w="0" w:type="nil"/>
              <w:left w:w="0" w:type="nil"/>
              <w:bottom w:w="0" w:type="nil"/>
              <w:right w:w="0" w:type="nil"/>
            </w:tcMar>
          </w:tcPr>
          <w:p w:rsidR="00871692" w:rsidRPr="000C3FB5" w:rsidRDefault="00871692" w:rsidP="002106F9">
            <w:pPr>
              <w:pStyle w:val="TableFigures"/>
              <w:ind w:left="0" w:right="113"/>
              <w:rPr>
                <w:rFonts w:ascii="Calibri" w:hAnsi="Calibri" w:cs="Calibri"/>
                <w:color w:val="00305C"/>
                <w:sz w:val="19"/>
                <w:szCs w:val="24"/>
                <w:lang w:val="en-US" w:eastAsia="en-US"/>
              </w:rPr>
            </w:pPr>
          </w:p>
        </w:tc>
        <w:tc>
          <w:tcPr>
            <w:tcW w:w="1104" w:type="dxa"/>
            <w:tcBorders>
              <w:top w:val="nil"/>
              <w:bottom w:val="nil"/>
            </w:tcBorders>
            <w:shd w:val="clear" w:color="auto" w:fill="E6E6E6"/>
            <w:tcMar>
              <w:top w:w="0" w:type="nil"/>
              <w:left w:w="0" w:type="nil"/>
              <w:bottom w:w="0" w:type="nil"/>
              <w:right w:w="0" w:type="nil"/>
            </w:tcMar>
          </w:tcPr>
          <w:p w:rsidR="00871692" w:rsidRPr="00C7007B" w:rsidRDefault="00871692" w:rsidP="002106F9">
            <w:pPr>
              <w:ind w:left="0" w:right="113"/>
              <w:jc w:val="right"/>
              <w:rPr>
                <w:rFonts w:ascii="Calibri" w:hAnsi="Calibri" w:cs="Calibri"/>
                <w:color w:val="002B45"/>
                <w:lang w:val="en-US"/>
              </w:rPr>
            </w:pPr>
            <w:r w:rsidRPr="00C7007B">
              <w:rPr>
                <w:rFonts w:ascii="Calibri" w:hAnsi="Calibri" w:cs="Calibri"/>
                <w:color w:val="002B45"/>
                <w:lang w:val="en-US"/>
              </w:rPr>
              <w:t xml:space="preserve"> 0.6 </w:t>
            </w:r>
          </w:p>
        </w:tc>
        <w:tc>
          <w:tcPr>
            <w:tcW w:w="1164" w:type="dxa"/>
            <w:tcBorders>
              <w:top w:val="nil"/>
              <w:bottom w:val="nil"/>
            </w:tcBorders>
            <w:tcMar>
              <w:top w:w="0" w:type="nil"/>
              <w:left w:w="0" w:type="nil"/>
              <w:bottom w:w="0" w:type="nil"/>
              <w:right w:w="0" w:type="nil"/>
            </w:tcMar>
          </w:tcPr>
          <w:p w:rsidR="00871692" w:rsidRPr="00C7007B" w:rsidRDefault="00871692" w:rsidP="002106F9">
            <w:pPr>
              <w:ind w:left="0" w:right="113"/>
              <w:jc w:val="right"/>
              <w:rPr>
                <w:rFonts w:ascii="Calibri" w:hAnsi="Calibri" w:cs="Calibri"/>
                <w:color w:val="002B45"/>
                <w:lang w:val="en-US"/>
              </w:rPr>
            </w:pPr>
            <w:r w:rsidRPr="00C7007B">
              <w:rPr>
                <w:rFonts w:ascii="Calibri" w:hAnsi="Calibri" w:cs="Calibri"/>
                <w:color w:val="002B45"/>
                <w:lang w:val="en-US"/>
              </w:rPr>
              <w:t>(18.0)</w:t>
            </w:r>
          </w:p>
        </w:tc>
      </w:tr>
      <w:tr w:rsidR="00871692" w:rsidTr="007152F7">
        <w:trPr>
          <w:trHeight w:val="283"/>
        </w:trPr>
        <w:tc>
          <w:tcPr>
            <w:tcW w:w="6096" w:type="dxa"/>
            <w:tcBorders>
              <w:top w:val="nil"/>
              <w:bottom w:val="single" w:sz="12" w:space="0" w:color="999999"/>
            </w:tcBorders>
            <w:tcMar>
              <w:top w:w="0" w:type="nil"/>
              <w:left w:w="0" w:type="nil"/>
              <w:bottom w:w="0" w:type="nil"/>
              <w:right w:w="0" w:type="nil"/>
            </w:tcMar>
          </w:tcPr>
          <w:p w:rsidR="00871692" w:rsidRPr="00721877" w:rsidRDefault="00871692" w:rsidP="002106F9">
            <w:pPr>
              <w:pStyle w:val="Tabletext0"/>
              <w:ind w:left="0"/>
              <w:rPr>
                <w:rFonts w:ascii="Calibri" w:hAnsi="Calibri" w:cs="Calibri"/>
                <w:color w:val="002B45"/>
              </w:rPr>
            </w:pPr>
            <w:r w:rsidRPr="00721877">
              <w:rPr>
                <w:rFonts w:ascii="Calibri" w:hAnsi="Calibri" w:cs="Calibri"/>
                <w:color w:val="002B45"/>
              </w:rPr>
              <w:t>Foreign exchange</w:t>
            </w:r>
            <w:r>
              <w:rPr>
                <w:rFonts w:ascii="Calibri" w:hAnsi="Calibri" w:cs="Calibri"/>
                <w:color w:val="002B45"/>
              </w:rPr>
              <w:t xml:space="preserve"> gain/(loss)</w:t>
            </w:r>
          </w:p>
        </w:tc>
        <w:tc>
          <w:tcPr>
            <w:tcW w:w="1134" w:type="dxa"/>
            <w:tcBorders>
              <w:top w:val="nil"/>
              <w:bottom w:val="single" w:sz="12" w:space="0" w:color="999999"/>
            </w:tcBorders>
            <w:tcMar>
              <w:top w:w="0" w:type="nil"/>
              <w:left w:w="0" w:type="nil"/>
              <w:bottom w:w="0" w:type="nil"/>
              <w:right w:w="0" w:type="nil"/>
            </w:tcMar>
          </w:tcPr>
          <w:p w:rsidR="00871692" w:rsidRPr="000C3FB5" w:rsidRDefault="00871692" w:rsidP="002106F9">
            <w:pPr>
              <w:pStyle w:val="TableFigures"/>
              <w:ind w:right="113"/>
              <w:rPr>
                <w:rFonts w:ascii="Calibri" w:hAnsi="Calibri" w:cs="Calibri"/>
                <w:color w:val="00305C"/>
                <w:sz w:val="19"/>
                <w:szCs w:val="24"/>
                <w:lang w:val="en-US" w:eastAsia="en-US"/>
              </w:rPr>
            </w:pPr>
          </w:p>
        </w:tc>
        <w:tc>
          <w:tcPr>
            <w:tcW w:w="1104" w:type="dxa"/>
            <w:tcBorders>
              <w:top w:val="nil"/>
              <w:bottom w:val="single" w:sz="12" w:space="0" w:color="999999"/>
            </w:tcBorders>
            <w:shd w:val="clear" w:color="auto" w:fill="E6E6E6"/>
            <w:tcMar>
              <w:top w:w="0" w:type="nil"/>
              <w:left w:w="0" w:type="nil"/>
              <w:bottom w:w="0" w:type="nil"/>
              <w:right w:w="0" w:type="nil"/>
            </w:tcMar>
          </w:tcPr>
          <w:p w:rsidR="00871692" w:rsidRPr="00C7007B" w:rsidRDefault="00871692" w:rsidP="002106F9">
            <w:pPr>
              <w:ind w:left="0" w:right="113"/>
              <w:jc w:val="right"/>
              <w:rPr>
                <w:rFonts w:ascii="Calibri" w:hAnsi="Calibri" w:cs="Calibri"/>
                <w:color w:val="002B45"/>
                <w:lang w:val="en-US"/>
              </w:rPr>
            </w:pPr>
            <w:r w:rsidRPr="00C7007B">
              <w:rPr>
                <w:rFonts w:ascii="Calibri" w:hAnsi="Calibri" w:cs="Calibri"/>
                <w:color w:val="002B45"/>
                <w:lang w:val="en-US"/>
              </w:rPr>
              <w:t xml:space="preserve"> 0.8 </w:t>
            </w:r>
          </w:p>
        </w:tc>
        <w:tc>
          <w:tcPr>
            <w:tcW w:w="1164" w:type="dxa"/>
            <w:tcBorders>
              <w:top w:val="nil"/>
              <w:bottom w:val="single" w:sz="12" w:space="0" w:color="999999"/>
            </w:tcBorders>
            <w:tcMar>
              <w:top w:w="0" w:type="nil"/>
              <w:left w:w="0" w:type="nil"/>
              <w:bottom w:w="0" w:type="nil"/>
              <w:right w:w="0" w:type="nil"/>
            </w:tcMar>
          </w:tcPr>
          <w:p w:rsidR="00871692" w:rsidRPr="00C7007B" w:rsidRDefault="00871692" w:rsidP="002106F9">
            <w:pPr>
              <w:ind w:left="0" w:right="113"/>
              <w:jc w:val="right"/>
              <w:rPr>
                <w:rFonts w:ascii="Calibri" w:hAnsi="Calibri" w:cs="Calibri"/>
                <w:color w:val="002B45"/>
                <w:lang w:val="en-US"/>
              </w:rPr>
            </w:pPr>
            <w:r w:rsidRPr="00C7007B">
              <w:rPr>
                <w:rFonts w:ascii="Calibri" w:hAnsi="Calibri" w:cs="Calibri"/>
                <w:color w:val="002B45"/>
                <w:lang w:val="en-US"/>
              </w:rPr>
              <w:t>(2.5)</w:t>
            </w:r>
          </w:p>
        </w:tc>
      </w:tr>
      <w:tr w:rsidR="00871692" w:rsidTr="007152F7">
        <w:trPr>
          <w:trHeight w:val="283"/>
        </w:trPr>
        <w:tc>
          <w:tcPr>
            <w:tcW w:w="6096" w:type="dxa"/>
            <w:tcBorders>
              <w:top w:val="single" w:sz="4" w:space="0" w:color="999999"/>
              <w:bottom w:val="single" w:sz="12" w:space="0" w:color="999999"/>
            </w:tcBorders>
            <w:tcMar>
              <w:top w:w="0" w:type="nil"/>
              <w:left w:w="0" w:type="nil"/>
              <w:bottom w:w="0" w:type="nil"/>
              <w:right w:w="0" w:type="nil"/>
            </w:tcMar>
          </w:tcPr>
          <w:p w:rsidR="00871692" w:rsidRPr="00721877" w:rsidRDefault="00871692" w:rsidP="002106F9">
            <w:pPr>
              <w:pStyle w:val="Tabletext0"/>
              <w:ind w:left="0"/>
              <w:rPr>
                <w:rFonts w:ascii="Calibri" w:hAnsi="Calibri" w:cs="Calibri"/>
                <w:color w:val="002B45"/>
              </w:rPr>
            </w:pPr>
            <w:r w:rsidRPr="00721877">
              <w:rPr>
                <w:rFonts w:ascii="Calibri" w:hAnsi="Calibri" w:cs="Calibri"/>
                <w:color w:val="002B45"/>
              </w:rPr>
              <w:t>Cash and cash equivalents at end of year</w:t>
            </w:r>
          </w:p>
        </w:tc>
        <w:tc>
          <w:tcPr>
            <w:tcW w:w="1134" w:type="dxa"/>
            <w:tcBorders>
              <w:top w:val="single" w:sz="4" w:space="0" w:color="999999"/>
              <w:bottom w:val="single" w:sz="12" w:space="0" w:color="999999"/>
            </w:tcBorders>
            <w:tcMar>
              <w:top w:w="0" w:type="nil"/>
              <w:left w:w="0" w:type="nil"/>
              <w:bottom w:w="0" w:type="nil"/>
              <w:right w:w="0" w:type="nil"/>
            </w:tcMar>
          </w:tcPr>
          <w:p w:rsidR="00871692" w:rsidRPr="000C3FB5" w:rsidRDefault="00871692" w:rsidP="002106F9">
            <w:pPr>
              <w:pStyle w:val="TableFigures"/>
              <w:ind w:left="0" w:right="113"/>
              <w:rPr>
                <w:rFonts w:ascii="Calibri" w:hAnsi="Calibri" w:cs="Calibri"/>
                <w:color w:val="00305C"/>
                <w:sz w:val="19"/>
                <w:szCs w:val="24"/>
                <w:lang w:val="en-US" w:eastAsia="en-US"/>
              </w:rPr>
            </w:pPr>
          </w:p>
        </w:tc>
        <w:tc>
          <w:tcPr>
            <w:tcW w:w="1104" w:type="dxa"/>
            <w:tcBorders>
              <w:top w:val="single" w:sz="4" w:space="0" w:color="999999"/>
              <w:bottom w:val="single" w:sz="12" w:space="0" w:color="999999"/>
            </w:tcBorders>
            <w:shd w:val="clear" w:color="auto" w:fill="E6E6E6"/>
            <w:tcMar>
              <w:top w:w="0" w:type="nil"/>
              <w:left w:w="0" w:type="nil"/>
              <w:bottom w:w="0" w:type="nil"/>
              <w:right w:w="0" w:type="nil"/>
            </w:tcMar>
          </w:tcPr>
          <w:p w:rsidR="00871692" w:rsidRPr="00C7007B" w:rsidRDefault="00871692" w:rsidP="002106F9">
            <w:pPr>
              <w:ind w:left="0" w:right="113"/>
              <w:jc w:val="right"/>
              <w:rPr>
                <w:rFonts w:ascii="Calibri" w:hAnsi="Calibri" w:cs="Calibri"/>
                <w:color w:val="002B45"/>
                <w:lang w:val="en-US"/>
              </w:rPr>
            </w:pPr>
            <w:r>
              <w:rPr>
                <w:rFonts w:ascii="Calibri" w:hAnsi="Calibri" w:cs="Calibri"/>
                <w:color w:val="002B45"/>
                <w:lang w:val="en-US"/>
              </w:rPr>
              <w:t>352.9</w:t>
            </w:r>
          </w:p>
        </w:tc>
        <w:tc>
          <w:tcPr>
            <w:tcW w:w="1164" w:type="dxa"/>
            <w:tcBorders>
              <w:top w:val="single" w:sz="4" w:space="0" w:color="999999"/>
              <w:bottom w:val="single" w:sz="12" w:space="0" w:color="999999"/>
            </w:tcBorders>
            <w:tcMar>
              <w:top w:w="0" w:type="nil"/>
              <w:left w:w="0" w:type="nil"/>
              <w:bottom w:w="0" w:type="nil"/>
              <w:right w:w="0" w:type="nil"/>
            </w:tcMar>
          </w:tcPr>
          <w:p w:rsidR="00871692" w:rsidRPr="00C7007B" w:rsidRDefault="00871692" w:rsidP="002106F9">
            <w:pPr>
              <w:ind w:left="0" w:right="113"/>
              <w:jc w:val="right"/>
              <w:rPr>
                <w:rFonts w:ascii="Calibri" w:hAnsi="Calibri" w:cs="Calibri"/>
                <w:color w:val="002B45"/>
                <w:lang w:val="en-US"/>
              </w:rPr>
            </w:pPr>
            <w:r>
              <w:rPr>
                <w:rFonts w:ascii="Calibri" w:hAnsi="Calibri" w:cs="Calibri"/>
                <w:color w:val="002B45"/>
                <w:lang w:val="en-US"/>
              </w:rPr>
              <w:t>330.2</w:t>
            </w:r>
          </w:p>
        </w:tc>
      </w:tr>
    </w:tbl>
    <w:p w:rsidR="00871692" w:rsidRPr="009318F0" w:rsidRDefault="00871692" w:rsidP="00871692">
      <w:pPr>
        <w:pStyle w:val="StyleTableheadingCustomColorRGB1533154"/>
        <w:rPr>
          <w:rFonts w:ascii="Calibri" w:hAnsi="Calibri" w:cs="Calibri"/>
          <w:b/>
        </w:rPr>
      </w:pPr>
      <w:r w:rsidRPr="009318F0">
        <w:rPr>
          <w:rFonts w:ascii="Calibri" w:hAnsi="Calibri" w:cs="Calibri"/>
          <w:highlight w:val="yellow"/>
        </w:rPr>
        <w:br w:type="page"/>
      </w:r>
      <w:r w:rsidRPr="009318F0">
        <w:rPr>
          <w:rFonts w:ascii="Calibri" w:hAnsi="Calibri" w:cs="Calibri"/>
          <w:b/>
        </w:rPr>
        <w:t>Notes to the preliminary financial statements</w:t>
      </w:r>
    </w:p>
    <w:p w:rsidR="00871692" w:rsidRPr="009318F0" w:rsidRDefault="00871692" w:rsidP="00EA138B">
      <w:pPr>
        <w:pStyle w:val="Tablesub-haeding"/>
        <w:rPr>
          <w:rFonts w:ascii="Calibri" w:hAnsi="Calibri" w:cs="Calibri"/>
          <w:color w:val="5F5F5F"/>
          <w:highlight w:val="yellow"/>
        </w:rPr>
      </w:pPr>
      <w:r>
        <w:rPr>
          <w:rFonts w:ascii="Calibri" w:hAnsi="Calibri" w:cs="Calibri"/>
          <w:color w:val="5F5F5F"/>
        </w:rPr>
        <w:t>Year ended 31 December 2013</w:t>
      </w:r>
    </w:p>
    <w:p w:rsidR="00871692" w:rsidRPr="00EA138B" w:rsidRDefault="00871692" w:rsidP="00871692">
      <w:pPr>
        <w:numPr>
          <w:ilvl w:val="0"/>
          <w:numId w:val="6"/>
        </w:numPr>
        <w:spacing w:before="240" w:after="40"/>
        <w:ind w:left="0" w:firstLine="0"/>
        <w:rPr>
          <w:rFonts w:ascii="Calibri" w:hAnsi="Calibri" w:cs="Calibri"/>
          <w:color w:val="5F5F5F"/>
          <w:szCs w:val="20"/>
          <w:lang w:val="en-US"/>
        </w:rPr>
      </w:pPr>
      <w:r w:rsidRPr="00EA138B">
        <w:rPr>
          <w:rFonts w:ascii="Calibri" w:hAnsi="Calibri" w:cs="Calibri"/>
          <w:b/>
          <w:color w:val="00305C"/>
          <w:sz w:val="22"/>
          <w:szCs w:val="22"/>
          <w:lang w:val="en-US"/>
        </w:rPr>
        <w:t>Basis of Accounting and Presentation of Financial Information</w:t>
      </w:r>
    </w:p>
    <w:p w:rsidR="00871692" w:rsidRPr="009318F0" w:rsidRDefault="00871692" w:rsidP="00EA138B">
      <w:pPr>
        <w:spacing w:after="120"/>
        <w:rPr>
          <w:rFonts w:ascii="Calibri" w:hAnsi="Calibri" w:cs="Calibri"/>
          <w:color w:val="5F5F5F"/>
          <w:lang w:val="en-IE"/>
        </w:rPr>
      </w:pPr>
      <w:r w:rsidRPr="009318F0">
        <w:rPr>
          <w:rFonts w:ascii="Calibri" w:hAnsi="Calibri" w:cs="Calibri"/>
          <w:color w:val="5F5F5F"/>
          <w:lang w:val="en-IE"/>
        </w:rPr>
        <w:t>Whilst the financial information in this preliminary announcement has been prepared in accordance with International Financial Reporting Standards (IFRS) and International Financial Reporting Interpretation Committee (IFRIC) interpretations adopted for use by the European Union, with those parts of the Companies Act 2006 applicable to companies reporting under IFRS and with the requirements of the United Kingdom Listing Authority (UKLA) Listing Rules, this announcement does not contain sufficient information to comply with IFRS. The Group will publish full financial statements tha</w:t>
      </w:r>
      <w:r>
        <w:rPr>
          <w:rFonts w:ascii="Calibri" w:hAnsi="Calibri" w:cs="Calibri"/>
          <w:color w:val="5F5F5F"/>
          <w:lang w:val="en-IE"/>
        </w:rPr>
        <w:t>t comply with IFRS in March 2014</w:t>
      </w:r>
      <w:r w:rsidRPr="009318F0">
        <w:rPr>
          <w:rFonts w:ascii="Calibri" w:hAnsi="Calibri" w:cs="Calibri"/>
          <w:color w:val="5F5F5F"/>
          <w:lang w:val="en-IE"/>
        </w:rPr>
        <w:t>.</w:t>
      </w:r>
    </w:p>
    <w:p w:rsidR="00871692" w:rsidRPr="009318F0" w:rsidRDefault="00871692" w:rsidP="00EA138B">
      <w:pPr>
        <w:spacing w:after="120"/>
        <w:rPr>
          <w:rFonts w:ascii="Calibri" w:hAnsi="Calibri" w:cs="Calibri"/>
          <w:color w:val="5F5F5F"/>
          <w:lang w:val="en-IE"/>
        </w:rPr>
      </w:pPr>
      <w:r w:rsidRPr="009318F0">
        <w:rPr>
          <w:rFonts w:ascii="Calibri" w:hAnsi="Calibri" w:cs="Calibri"/>
          <w:color w:val="5F5F5F"/>
          <w:lang w:val="en-IE"/>
        </w:rPr>
        <w:t>The financial information for</w:t>
      </w:r>
      <w:r>
        <w:rPr>
          <w:rFonts w:ascii="Calibri" w:hAnsi="Calibri" w:cs="Calibri"/>
          <w:color w:val="5F5F5F"/>
          <w:lang w:val="en-IE"/>
        </w:rPr>
        <w:t xml:space="preserve"> the year ended 31 December 2013</w:t>
      </w:r>
      <w:r w:rsidRPr="009318F0">
        <w:rPr>
          <w:rFonts w:ascii="Calibri" w:hAnsi="Calibri" w:cs="Calibri"/>
          <w:color w:val="5F5F5F"/>
          <w:lang w:val="en-IE"/>
        </w:rPr>
        <w:t xml:space="preserve"> does not constitute statutory accounts as defined in sections 435 (1) and (2) of the Companies Act 2006. Statutory accounts for</w:t>
      </w:r>
      <w:r>
        <w:rPr>
          <w:rFonts w:ascii="Calibri" w:hAnsi="Calibri" w:cs="Calibri"/>
          <w:color w:val="5F5F5F"/>
          <w:lang w:val="en-IE"/>
        </w:rPr>
        <w:t xml:space="preserve"> the year ended 31 December 2012</w:t>
      </w:r>
      <w:r w:rsidRPr="009318F0">
        <w:rPr>
          <w:rFonts w:ascii="Calibri" w:hAnsi="Calibri" w:cs="Calibri"/>
          <w:color w:val="5F5F5F"/>
          <w:lang w:val="en-IE"/>
        </w:rPr>
        <w:t xml:space="preserve"> have been delivered to the Registrar of Companies and those </w:t>
      </w:r>
      <w:r>
        <w:rPr>
          <w:rFonts w:ascii="Calibri" w:hAnsi="Calibri" w:cs="Calibri"/>
          <w:color w:val="5F5F5F"/>
          <w:lang w:val="en-IE"/>
        </w:rPr>
        <w:t>for 2013</w:t>
      </w:r>
      <w:r w:rsidRPr="009318F0">
        <w:rPr>
          <w:rFonts w:ascii="Calibri" w:hAnsi="Calibri" w:cs="Calibri"/>
          <w:color w:val="5F5F5F"/>
          <w:lang w:val="en-IE"/>
        </w:rPr>
        <w:t xml:space="preserve"> will be delivered following the Company’s annual general meeting. The auditor has reported on these accounts; their reports were unqualified, did not include a reference to any matters to which the auditor drew attention by way of emphasis of matter and did not contain a statement under section 498 (2) or (3) of the Companies Act 2006.</w:t>
      </w:r>
    </w:p>
    <w:p w:rsidR="00871692" w:rsidRPr="009318F0" w:rsidRDefault="00871692" w:rsidP="00EA138B">
      <w:pPr>
        <w:jc w:val="left"/>
        <w:rPr>
          <w:rFonts w:ascii="Calibri" w:hAnsi="Calibri" w:cs="Calibri"/>
          <w:color w:val="5F5F5F"/>
          <w:lang w:val="en-IE"/>
        </w:rPr>
      </w:pPr>
      <w:r>
        <w:rPr>
          <w:rFonts w:ascii="Calibri" w:hAnsi="Calibri" w:cs="Calibri"/>
          <w:color w:val="5F5F5F"/>
          <w:lang w:val="en-IE"/>
        </w:rPr>
        <w:t>T</w:t>
      </w:r>
      <w:r w:rsidRPr="009318F0">
        <w:rPr>
          <w:rFonts w:ascii="Calibri" w:hAnsi="Calibri" w:cs="Calibri"/>
          <w:color w:val="5F5F5F"/>
          <w:lang w:val="en-IE"/>
        </w:rPr>
        <w:t>he accounting policies applied are consistent with those adopted and disclosed in the Group’s financial statements fo</w:t>
      </w:r>
      <w:r>
        <w:rPr>
          <w:rFonts w:ascii="Calibri" w:hAnsi="Calibri" w:cs="Calibri"/>
          <w:color w:val="5F5F5F"/>
          <w:lang w:val="en-IE"/>
        </w:rPr>
        <w:t>r the year ended 31 December 2012</w:t>
      </w:r>
      <w:r w:rsidRPr="009318F0">
        <w:rPr>
          <w:rFonts w:ascii="Calibri" w:hAnsi="Calibri" w:cs="Calibri"/>
          <w:color w:val="5F5F5F"/>
          <w:lang w:val="en-IE"/>
        </w:rPr>
        <w:t>. There have been a number of amendments to accounting standards and new interpretations issued by the International Accounting Standards Board which wer</w:t>
      </w:r>
      <w:r>
        <w:rPr>
          <w:rFonts w:ascii="Calibri" w:hAnsi="Calibri" w:cs="Calibri"/>
          <w:color w:val="5F5F5F"/>
          <w:lang w:val="en-IE"/>
        </w:rPr>
        <w:t>e applicable from 1 January 2013;</w:t>
      </w:r>
      <w:r w:rsidRPr="009318F0">
        <w:rPr>
          <w:rFonts w:ascii="Calibri" w:hAnsi="Calibri" w:cs="Calibri"/>
          <w:color w:val="5F5F5F"/>
          <w:lang w:val="en-IE"/>
        </w:rPr>
        <w:t xml:space="preserve"> however these have not had a material impact on the accounting policies, methods of computation or presentation applied by the Group.</w:t>
      </w:r>
    </w:p>
    <w:p w:rsidR="00871692" w:rsidRPr="00EA138B" w:rsidRDefault="00871692" w:rsidP="00EA138B">
      <w:pPr>
        <w:numPr>
          <w:ilvl w:val="0"/>
          <w:numId w:val="6"/>
        </w:numPr>
        <w:spacing w:before="240" w:after="40"/>
        <w:ind w:left="0" w:firstLine="0"/>
        <w:rPr>
          <w:rFonts w:ascii="Calibri" w:hAnsi="Calibri" w:cs="Calibri"/>
          <w:b/>
          <w:color w:val="00305C"/>
          <w:sz w:val="22"/>
          <w:szCs w:val="22"/>
          <w:lang w:val="en-US"/>
        </w:rPr>
      </w:pPr>
      <w:r w:rsidRPr="00EA138B">
        <w:rPr>
          <w:rFonts w:ascii="Calibri" w:hAnsi="Calibri" w:cs="Calibri"/>
          <w:b/>
          <w:color w:val="00305C"/>
          <w:sz w:val="22"/>
          <w:szCs w:val="22"/>
          <w:lang w:val="en-US"/>
        </w:rPr>
        <w:t>Earnings per Share</w:t>
      </w:r>
    </w:p>
    <w:p w:rsidR="00871692" w:rsidRPr="009318F0" w:rsidRDefault="00871692" w:rsidP="00EA138B">
      <w:pPr>
        <w:spacing w:after="120"/>
        <w:rPr>
          <w:rFonts w:ascii="Calibri" w:hAnsi="Calibri" w:cs="Calibri"/>
          <w:color w:val="5F5F5F"/>
          <w:lang w:val="en-IE"/>
        </w:rPr>
      </w:pPr>
      <w:r w:rsidRPr="009318F0">
        <w:rPr>
          <w:rFonts w:ascii="Calibri" w:hAnsi="Calibri" w:cs="Calibri"/>
          <w:color w:val="5F5F5F"/>
          <w:lang w:val="en-IE"/>
        </w:rPr>
        <w:t>The calculation of basic earnings per share is based on the profit for the year after taxation attributable to equ</w:t>
      </w:r>
      <w:r>
        <w:rPr>
          <w:rFonts w:ascii="Calibri" w:hAnsi="Calibri" w:cs="Calibri"/>
          <w:color w:val="5F5F5F"/>
          <w:lang w:val="en-IE"/>
        </w:rPr>
        <w:t xml:space="preserve">ity holders of the parent of $169.0 million (2012: $624.3 </w:t>
      </w:r>
      <w:r w:rsidRPr="009318F0">
        <w:rPr>
          <w:rFonts w:ascii="Calibri" w:hAnsi="Calibri" w:cs="Calibri"/>
          <w:color w:val="5F5F5F"/>
          <w:lang w:val="en-IE"/>
        </w:rPr>
        <w:t>million) and a weighted average number of shares in issue of</w:t>
      </w:r>
      <w:r>
        <w:rPr>
          <w:rFonts w:ascii="Calibri" w:hAnsi="Calibri" w:cs="Calibri"/>
          <w:color w:val="5F5F5F"/>
          <w:lang w:val="en-IE"/>
        </w:rPr>
        <w:t xml:space="preserve"> 908.</w:t>
      </w:r>
      <w:r w:rsidR="001808A9">
        <w:rPr>
          <w:rFonts w:ascii="Calibri" w:hAnsi="Calibri" w:cs="Calibri"/>
          <w:color w:val="5F5F5F"/>
          <w:lang w:val="en-IE"/>
        </w:rPr>
        <w:t>3</w:t>
      </w:r>
      <w:r>
        <w:rPr>
          <w:rFonts w:ascii="Calibri" w:hAnsi="Calibri" w:cs="Calibri"/>
          <w:color w:val="5F5F5F"/>
          <w:lang w:val="en-IE"/>
        </w:rPr>
        <w:t xml:space="preserve"> million (2012</w:t>
      </w:r>
      <w:r w:rsidRPr="009318F0">
        <w:rPr>
          <w:rFonts w:ascii="Calibri" w:hAnsi="Calibri" w:cs="Calibri"/>
          <w:color w:val="5F5F5F"/>
          <w:lang w:val="en-IE"/>
        </w:rPr>
        <w:t xml:space="preserve">: </w:t>
      </w:r>
      <w:r>
        <w:rPr>
          <w:rFonts w:ascii="Calibri" w:hAnsi="Calibri" w:cs="Calibri"/>
          <w:color w:val="5F5F5F"/>
          <w:lang w:val="en-IE"/>
        </w:rPr>
        <w:t xml:space="preserve">906.8 </w:t>
      </w:r>
      <w:r w:rsidRPr="009318F0">
        <w:rPr>
          <w:rFonts w:ascii="Calibri" w:hAnsi="Calibri" w:cs="Calibri"/>
          <w:color w:val="5F5F5F"/>
          <w:lang w:val="en-IE"/>
        </w:rPr>
        <w:t>million).</w:t>
      </w:r>
    </w:p>
    <w:p w:rsidR="00871692" w:rsidRPr="009318F0" w:rsidRDefault="00871692" w:rsidP="00EA138B">
      <w:pPr>
        <w:spacing w:after="120"/>
        <w:rPr>
          <w:rFonts w:ascii="Calibri" w:hAnsi="Calibri" w:cs="Calibri"/>
          <w:color w:val="5F5F5F"/>
          <w:lang w:val="en-IE"/>
        </w:rPr>
      </w:pPr>
      <w:r w:rsidRPr="009318F0">
        <w:rPr>
          <w:rFonts w:ascii="Calibri" w:hAnsi="Calibri" w:cs="Calibri"/>
          <w:color w:val="5F5F5F"/>
          <w:lang w:val="en-IE"/>
        </w:rPr>
        <w:t xml:space="preserve">The calculation of diluted earnings per share is based on the profit for the year after taxation as for basic earnings per share. The number of shares outstanding, however, is adjusted to show the potential dilution if employee share options are converted into ordinary shares. The weighted average number of ordinary shares is increased by </w:t>
      </w:r>
      <w:r>
        <w:rPr>
          <w:rFonts w:ascii="Calibri" w:hAnsi="Calibri" w:cs="Calibri"/>
          <w:color w:val="5F5F5F"/>
          <w:lang w:val="en-IE"/>
        </w:rPr>
        <w:t>6.</w:t>
      </w:r>
      <w:r w:rsidR="001808A9">
        <w:rPr>
          <w:rFonts w:ascii="Calibri" w:hAnsi="Calibri" w:cs="Calibri"/>
          <w:color w:val="5F5F5F"/>
          <w:lang w:val="en-IE"/>
        </w:rPr>
        <w:t>1</w:t>
      </w:r>
      <w:r w:rsidRPr="009318F0">
        <w:rPr>
          <w:rFonts w:ascii="Calibri" w:hAnsi="Calibri" w:cs="Calibri"/>
          <w:color w:val="5F5F5F"/>
          <w:lang w:val="en-IE"/>
        </w:rPr>
        <w:t xml:space="preserve"> million (20</w:t>
      </w:r>
      <w:r>
        <w:rPr>
          <w:rFonts w:ascii="Calibri" w:hAnsi="Calibri" w:cs="Calibri"/>
          <w:color w:val="5F5F5F"/>
          <w:lang w:val="en-IE"/>
        </w:rPr>
        <w:t>12</w:t>
      </w:r>
      <w:r w:rsidRPr="009318F0">
        <w:rPr>
          <w:rFonts w:ascii="Calibri" w:hAnsi="Calibri" w:cs="Calibri"/>
          <w:color w:val="5F5F5F"/>
          <w:lang w:val="en-IE"/>
        </w:rPr>
        <w:t xml:space="preserve">: </w:t>
      </w:r>
      <w:r>
        <w:rPr>
          <w:rFonts w:ascii="Calibri" w:hAnsi="Calibri" w:cs="Calibri"/>
          <w:color w:val="5F5F5F"/>
          <w:lang w:val="en-IE"/>
        </w:rPr>
        <w:t>5.5</w:t>
      </w:r>
      <w:r w:rsidRPr="009318F0">
        <w:rPr>
          <w:rFonts w:ascii="Calibri" w:hAnsi="Calibri" w:cs="Calibri"/>
          <w:color w:val="5F5F5F"/>
          <w:lang w:val="en-IE"/>
        </w:rPr>
        <w:t xml:space="preserve"> million) in respect of employee share options, resulting in a diluted weight</w:t>
      </w:r>
      <w:r>
        <w:rPr>
          <w:rFonts w:ascii="Calibri" w:hAnsi="Calibri" w:cs="Calibri"/>
          <w:color w:val="5F5F5F"/>
          <w:lang w:val="en-IE"/>
        </w:rPr>
        <w:t>ed average number of shares of 914.</w:t>
      </w:r>
      <w:r w:rsidR="001808A9">
        <w:rPr>
          <w:rFonts w:ascii="Calibri" w:hAnsi="Calibri" w:cs="Calibri"/>
          <w:color w:val="5F5F5F"/>
          <w:lang w:val="en-IE"/>
        </w:rPr>
        <w:t>4</w:t>
      </w:r>
      <w:r w:rsidRPr="009318F0">
        <w:rPr>
          <w:rFonts w:ascii="Calibri" w:hAnsi="Calibri" w:cs="Calibri"/>
          <w:color w:val="5F5F5F"/>
          <w:lang w:val="en-IE"/>
        </w:rPr>
        <w:t xml:space="preserve"> million (20</w:t>
      </w:r>
      <w:r>
        <w:rPr>
          <w:rFonts w:ascii="Calibri" w:hAnsi="Calibri" w:cs="Calibri"/>
          <w:color w:val="5F5F5F"/>
          <w:lang w:val="en-IE"/>
        </w:rPr>
        <w:t>12</w:t>
      </w:r>
      <w:r w:rsidRPr="009318F0">
        <w:rPr>
          <w:rFonts w:ascii="Calibri" w:hAnsi="Calibri" w:cs="Calibri"/>
          <w:color w:val="5F5F5F"/>
          <w:lang w:val="en-IE"/>
        </w:rPr>
        <w:t xml:space="preserve">: </w:t>
      </w:r>
      <w:r>
        <w:rPr>
          <w:rFonts w:ascii="Calibri" w:hAnsi="Calibri" w:cs="Calibri"/>
          <w:color w:val="5F5F5F"/>
          <w:lang w:val="en-IE"/>
        </w:rPr>
        <w:t xml:space="preserve">912.4 </w:t>
      </w:r>
      <w:r w:rsidRPr="009318F0">
        <w:rPr>
          <w:rFonts w:ascii="Calibri" w:hAnsi="Calibri" w:cs="Calibri"/>
          <w:color w:val="5F5F5F"/>
          <w:lang w:val="en-IE"/>
        </w:rPr>
        <w:t>million).</w:t>
      </w:r>
    </w:p>
    <w:p w:rsidR="00871692" w:rsidRPr="00EA138B" w:rsidRDefault="00871692" w:rsidP="00EA138B">
      <w:pPr>
        <w:numPr>
          <w:ilvl w:val="0"/>
          <w:numId w:val="6"/>
        </w:numPr>
        <w:spacing w:before="240" w:after="40"/>
        <w:ind w:left="0" w:firstLine="0"/>
        <w:rPr>
          <w:rFonts w:ascii="Calibri" w:hAnsi="Calibri" w:cs="Calibri"/>
          <w:b/>
          <w:color w:val="00305C"/>
          <w:sz w:val="22"/>
          <w:szCs w:val="22"/>
          <w:lang w:val="en-US"/>
        </w:rPr>
      </w:pPr>
      <w:r w:rsidRPr="00EA138B">
        <w:rPr>
          <w:rFonts w:ascii="Calibri" w:hAnsi="Calibri" w:cs="Calibri"/>
          <w:b/>
          <w:color w:val="00305C"/>
          <w:sz w:val="22"/>
          <w:szCs w:val="22"/>
          <w:lang w:val="en-US"/>
        </w:rPr>
        <w:t>Dividends</w:t>
      </w:r>
    </w:p>
    <w:p w:rsidR="00871692" w:rsidRPr="009318F0" w:rsidRDefault="00871692" w:rsidP="00871692">
      <w:pPr>
        <w:rPr>
          <w:rFonts w:ascii="Calibri" w:hAnsi="Calibri" w:cs="Calibri"/>
          <w:color w:val="5F5F5F"/>
          <w:lang w:val="en-IE"/>
        </w:rPr>
      </w:pPr>
      <w:r w:rsidRPr="009318F0">
        <w:rPr>
          <w:rFonts w:ascii="Calibri" w:hAnsi="Calibri" w:cs="Calibri"/>
          <w:color w:val="5F5F5F"/>
          <w:lang w:val="en-IE"/>
        </w:rPr>
        <w:t>During the ye</w:t>
      </w:r>
      <w:r>
        <w:rPr>
          <w:rFonts w:ascii="Calibri" w:hAnsi="Calibri" w:cs="Calibri"/>
          <w:color w:val="5F5F5F"/>
          <w:lang w:val="en-IE"/>
        </w:rPr>
        <w:t>ar the Company paid a final 2012 dividend of 8</w:t>
      </w:r>
      <w:r w:rsidRPr="009318F0">
        <w:rPr>
          <w:rFonts w:ascii="Calibri" w:hAnsi="Calibri" w:cs="Calibri"/>
          <w:color w:val="5F5F5F"/>
          <w:lang w:val="en-IE"/>
        </w:rPr>
        <w:t>.0 pen</w:t>
      </w:r>
      <w:r>
        <w:rPr>
          <w:rFonts w:ascii="Calibri" w:hAnsi="Calibri" w:cs="Calibri"/>
          <w:color w:val="5F5F5F"/>
          <w:lang w:val="en-IE"/>
        </w:rPr>
        <w:t>ce per share and an interim 2013 dividend of 4</w:t>
      </w:r>
      <w:r w:rsidRPr="009318F0">
        <w:rPr>
          <w:rFonts w:ascii="Calibri" w:hAnsi="Calibri" w:cs="Calibri"/>
          <w:color w:val="5F5F5F"/>
          <w:lang w:val="en-IE"/>
        </w:rPr>
        <w:t>.0</w:t>
      </w:r>
      <w:r>
        <w:rPr>
          <w:rFonts w:ascii="Calibri" w:hAnsi="Calibri" w:cs="Calibri"/>
          <w:color w:val="5F5F5F"/>
          <w:lang w:val="en-IE"/>
        </w:rPr>
        <w:t xml:space="preserve"> </w:t>
      </w:r>
      <w:r w:rsidRPr="009318F0">
        <w:rPr>
          <w:rFonts w:ascii="Calibri" w:hAnsi="Calibri" w:cs="Calibri"/>
          <w:color w:val="5F5F5F"/>
          <w:lang w:val="en-IE"/>
        </w:rPr>
        <w:t>p</w:t>
      </w:r>
      <w:r>
        <w:rPr>
          <w:rFonts w:ascii="Calibri" w:hAnsi="Calibri" w:cs="Calibri"/>
          <w:color w:val="5F5F5F"/>
          <w:lang w:val="en-IE"/>
        </w:rPr>
        <w:t>ence</w:t>
      </w:r>
      <w:r w:rsidRPr="009318F0">
        <w:rPr>
          <w:rFonts w:ascii="Calibri" w:hAnsi="Calibri" w:cs="Calibri"/>
          <w:color w:val="5F5F5F"/>
          <w:lang w:val="en-IE"/>
        </w:rPr>
        <w:t xml:space="preserve"> </w:t>
      </w:r>
      <w:r>
        <w:rPr>
          <w:rFonts w:ascii="Calibri" w:hAnsi="Calibri" w:cs="Calibri"/>
          <w:color w:val="5F5F5F"/>
          <w:lang w:val="en-IE"/>
        </w:rPr>
        <w:t>per share, a total dividend of 12</w:t>
      </w:r>
      <w:r w:rsidRPr="009318F0">
        <w:rPr>
          <w:rFonts w:ascii="Calibri" w:hAnsi="Calibri" w:cs="Calibri"/>
          <w:color w:val="5F5F5F"/>
          <w:lang w:val="en-IE"/>
        </w:rPr>
        <w:t xml:space="preserve">.0 pence per </w:t>
      </w:r>
      <w:r>
        <w:rPr>
          <w:rFonts w:ascii="Calibri" w:hAnsi="Calibri" w:cs="Calibri"/>
          <w:color w:val="5F5F5F"/>
          <w:lang w:val="en-IE"/>
        </w:rPr>
        <w:t>share (2012</w:t>
      </w:r>
      <w:r w:rsidRPr="009318F0">
        <w:rPr>
          <w:rFonts w:ascii="Calibri" w:hAnsi="Calibri" w:cs="Calibri"/>
          <w:color w:val="5F5F5F"/>
          <w:lang w:val="en-IE"/>
        </w:rPr>
        <w:t xml:space="preserve">: </w:t>
      </w:r>
      <w:r>
        <w:rPr>
          <w:rFonts w:ascii="Calibri" w:hAnsi="Calibri" w:cs="Calibri"/>
          <w:color w:val="5F5F5F"/>
          <w:lang w:val="en-IE"/>
        </w:rPr>
        <w:t>12</w:t>
      </w:r>
      <w:r w:rsidRPr="009318F0">
        <w:rPr>
          <w:rFonts w:ascii="Calibri" w:hAnsi="Calibri" w:cs="Calibri"/>
          <w:color w:val="5F5F5F"/>
          <w:lang w:val="en-IE"/>
        </w:rPr>
        <w:t xml:space="preserve">.0 pence per share). The Directors </w:t>
      </w:r>
      <w:r>
        <w:rPr>
          <w:rFonts w:ascii="Calibri" w:hAnsi="Calibri" w:cs="Calibri"/>
          <w:color w:val="5F5F5F"/>
          <w:lang w:val="en-IE"/>
        </w:rPr>
        <w:t>intend to recommend a final 2013</w:t>
      </w:r>
      <w:r w:rsidRPr="009318F0">
        <w:rPr>
          <w:rFonts w:ascii="Calibri" w:hAnsi="Calibri" w:cs="Calibri"/>
          <w:color w:val="5F5F5F"/>
          <w:lang w:val="en-IE"/>
        </w:rPr>
        <w:t xml:space="preserve"> dividend </w:t>
      </w:r>
      <w:r w:rsidRPr="00E40760">
        <w:rPr>
          <w:rFonts w:ascii="Calibri" w:hAnsi="Calibri" w:cs="Calibri"/>
          <w:color w:val="5F5F5F"/>
          <w:lang w:val="en-IE"/>
        </w:rPr>
        <w:t>of 8.0</w:t>
      </w:r>
      <w:r w:rsidRPr="009318F0">
        <w:rPr>
          <w:rFonts w:ascii="Calibri" w:hAnsi="Calibri" w:cs="Calibri"/>
          <w:color w:val="5F5F5F"/>
          <w:lang w:val="en-IE"/>
        </w:rPr>
        <w:t xml:space="preserve"> pence </w:t>
      </w:r>
      <w:r w:rsidRPr="00125BD7">
        <w:rPr>
          <w:rFonts w:ascii="Calibri" w:hAnsi="Calibri" w:cs="Calibri"/>
          <w:color w:val="5F5F5F"/>
          <w:lang w:val="en-IE"/>
        </w:rPr>
        <w:t>per share, which, if appro</w:t>
      </w:r>
      <w:r w:rsidR="00F72249">
        <w:rPr>
          <w:rFonts w:ascii="Calibri" w:hAnsi="Calibri" w:cs="Calibri"/>
          <w:color w:val="5F5F5F"/>
          <w:lang w:val="en-IE"/>
        </w:rPr>
        <w:t>ved at the AGM, will be paid on 9 M</w:t>
      </w:r>
      <w:r>
        <w:rPr>
          <w:rFonts w:ascii="Calibri" w:hAnsi="Calibri" w:cs="Calibri"/>
          <w:color w:val="5F5F5F"/>
          <w:lang w:val="en-IE"/>
        </w:rPr>
        <w:t>ay 2014</w:t>
      </w:r>
      <w:r w:rsidRPr="00125BD7">
        <w:rPr>
          <w:rFonts w:ascii="Calibri" w:hAnsi="Calibri" w:cs="Calibri"/>
          <w:color w:val="5F5F5F"/>
          <w:lang w:val="en-IE"/>
        </w:rPr>
        <w:t xml:space="preserve"> to shareholders on</w:t>
      </w:r>
      <w:r w:rsidR="00F72249">
        <w:rPr>
          <w:rFonts w:ascii="Calibri" w:hAnsi="Calibri" w:cs="Calibri"/>
          <w:color w:val="5F5F5F"/>
          <w:lang w:val="en-IE"/>
        </w:rPr>
        <w:t xml:space="preserve"> the register of the Company on 4 </w:t>
      </w:r>
      <w:r w:rsidRPr="00125BD7">
        <w:rPr>
          <w:rFonts w:ascii="Calibri" w:hAnsi="Calibri" w:cs="Calibri"/>
          <w:color w:val="5F5F5F"/>
          <w:lang w:val="en-IE"/>
        </w:rPr>
        <w:t>April 201</w:t>
      </w:r>
      <w:r>
        <w:rPr>
          <w:rFonts w:ascii="Calibri" w:hAnsi="Calibri" w:cs="Calibri"/>
          <w:color w:val="5F5F5F"/>
          <w:lang w:val="en-IE"/>
        </w:rPr>
        <w:t>4</w:t>
      </w:r>
      <w:r w:rsidRPr="00125BD7">
        <w:rPr>
          <w:rFonts w:ascii="Calibri" w:hAnsi="Calibri" w:cs="Calibri"/>
          <w:color w:val="5F5F5F"/>
          <w:lang w:val="en-IE"/>
        </w:rPr>
        <w:t>.</w:t>
      </w:r>
    </w:p>
    <w:p w:rsidR="00871692" w:rsidRPr="00EA138B" w:rsidRDefault="00871692" w:rsidP="00EA138B">
      <w:pPr>
        <w:numPr>
          <w:ilvl w:val="0"/>
          <w:numId w:val="6"/>
        </w:numPr>
        <w:spacing w:before="240" w:after="40"/>
        <w:ind w:left="0" w:firstLine="0"/>
        <w:rPr>
          <w:rFonts w:ascii="Calibri" w:hAnsi="Calibri" w:cs="Calibri"/>
          <w:b/>
          <w:color w:val="00305C"/>
          <w:sz w:val="22"/>
          <w:szCs w:val="22"/>
          <w:lang w:val="en-US"/>
        </w:rPr>
      </w:pPr>
      <w:r w:rsidRPr="00EA138B">
        <w:rPr>
          <w:rFonts w:ascii="Calibri" w:hAnsi="Calibri" w:cs="Calibri"/>
          <w:b/>
          <w:color w:val="00305C"/>
          <w:sz w:val="22"/>
          <w:szCs w:val="22"/>
          <w:lang w:val="en-US"/>
        </w:rPr>
        <w:t>2013 Annual Report and Accounts</w:t>
      </w:r>
    </w:p>
    <w:p w:rsidR="00871692" w:rsidRPr="009318F0" w:rsidRDefault="00871692" w:rsidP="00871692">
      <w:pPr>
        <w:rPr>
          <w:rFonts w:ascii="Calibri" w:hAnsi="Calibri" w:cs="Calibri"/>
          <w:color w:val="5F5F5F"/>
          <w:lang w:val="en-IE"/>
        </w:rPr>
      </w:pPr>
      <w:r w:rsidRPr="009318F0">
        <w:rPr>
          <w:rFonts w:ascii="Calibri" w:hAnsi="Calibri" w:cs="Calibri"/>
          <w:color w:val="5F5F5F"/>
          <w:lang w:val="en-IE"/>
        </w:rPr>
        <w:t xml:space="preserve">The Annual Report and Accounts will be mailed </w:t>
      </w:r>
      <w:r w:rsidRPr="009B504F">
        <w:rPr>
          <w:rFonts w:ascii="Calibri" w:hAnsi="Calibri" w:cs="Calibri"/>
          <w:color w:val="5F5F5F"/>
          <w:lang w:val="en-IE"/>
        </w:rPr>
        <w:t xml:space="preserve">on </w:t>
      </w:r>
      <w:r w:rsidR="004013D0">
        <w:rPr>
          <w:rFonts w:ascii="Calibri" w:hAnsi="Calibri" w:cs="Calibri"/>
          <w:color w:val="5F5F5F"/>
          <w:lang w:val="en-IE"/>
        </w:rPr>
        <w:t>24</w:t>
      </w:r>
      <w:r>
        <w:rPr>
          <w:rFonts w:ascii="Calibri" w:hAnsi="Calibri" w:cs="Calibri"/>
          <w:color w:val="5F5F5F"/>
          <w:lang w:val="en-IE"/>
        </w:rPr>
        <w:t xml:space="preserve"> March 2014</w:t>
      </w:r>
      <w:r w:rsidRPr="009318F0">
        <w:rPr>
          <w:rFonts w:ascii="Calibri" w:hAnsi="Calibri" w:cs="Calibri"/>
          <w:color w:val="5F5F5F"/>
          <w:lang w:val="en-IE"/>
        </w:rPr>
        <w:t xml:space="preserve"> only to those shareholders who have elected to receive it. Otherwise, shareholders will be notified that the Annual Report and Accounts is available on the website (</w:t>
      </w:r>
      <w:hyperlink r:id="rId10" w:history="1">
        <w:r w:rsidRPr="009318F0">
          <w:rPr>
            <w:rFonts w:ascii="Calibri" w:hAnsi="Calibri" w:cs="Calibri"/>
            <w:color w:val="5F5F5F"/>
          </w:rPr>
          <w:t>www.tullowoil.com</w:t>
        </w:r>
      </w:hyperlink>
      <w:r w:rsidRPr="009318F0">
        <w:rPr>
          <w:rFonts w:ascii="Calibri" w:hAnsi="Calibri" w:cs="Calibri"/>
          <w:color w:val="5F5F5F"/>
          <w:lang w:val="en-IE"/>
        </w:rPr>
        <w:t>). Copies of the Annual Report and Accounts will also be available from the Company’s registered office at 9, Chiswick Park, 566 Chiswick High Road, London W4 5XT.</w:t>
      </w:r>
    </w:p>
    <w:p w:rsidR="00871692" w:rsidRPr="00EA138B" w:rsidRDefault="00871692" w:rsidP="00EA138B">
      <w:pPr>
        <w:numPr>
          <w:ilvl w:val="0"/>
          <w:numId w:val="6"/>
        </w:numPr>
        <w:spacing w:before="240" w:after="40"/>
        <w:ind w:left="0" w:firstLine="0"/>
        <w:rPr>
          <w:rFonts w:ascii="Calibri" w:hAnsi="Calibri" w:cs="Calibri"/>
          <w:b/>
          <w:color w:val="00305C"/>
          <w:sz w:val="22"/>
          <w:szCs w:val="22"/>
          <w:lang w:val="en-US"/>
        </w:rPr>
      </w:pPr>
      <w:r w:rsidRPr="00EA138B">
        <w:rPr>
          <w:rFonts w:ascii="Calibri" w:hAnsi="Calibri" w:cs="Calibri"/>
          <w:b/>
          <w:color w:val="00305C"/>
          <w:sz w:val="22"/>
          <w:szCs w:val="22"/>
          <w:lang w:val="en-US"/>
        </w:rPr>
        <w:t>Annual General Meeting</w:t>
      </w:r>
    </w:p>
    <w:p w:rsidR="00871692" w:rsidRPr="009318F0" w:rsidRDefault="00871692" w:rsidP="00871692">
      <w:pPr>
        <w:rPr>
          <w:rFonts w:ascii="Calibri" w:hAnsi="Calibri" w:cs="Calibri"/>
          <w:color w:val="5F5F5F"/>
          <w:szCs w:val="20"/>
          <w:lang w:val="en-US"/>
        </w:rPr>
      </w:pPr>
      <w:r w:rsidRPr="009318F0">
        <w:rPr>
          <w:rFonts w:ascii="Calibri" w:hAnsi="Calibri" w:cs="Calibri"/>
          <w:color w:val="5F5F5F"/>
          <w:lang w:val="en-IE"/>
        </w:rPr>
        <w:t xml:space="preserve">The Annual General Meeting is due to be held at </w:t>
      </w:r>
      <w:r w:rsidRPr="009B504F">
        <w:rPr>
          <w:rFonts w:ascii="Calibri" w:hAnsi="Calibri" w:cs="Calibri"/>
          <w:color w:val="5F5F5F"/>
          <w:lang w:val="en-IE"/>
        </w:rPr>
        <w:t xml:space="preserve">Haberdashers’ Hall, 18 West Smithfield, London EC1A 9HQ on </w:t>
      </w:r>
      <w:r>
        <w:rPr>
          <w:rFonts w:ascii="Calibri" w:hAnsi="Calibri" w:cs="Calibri"/>
          <w:color w:val="5F5F5F"/>
          <w:lang w:val="en-IE"/>
        </w:rPr>
        <w:t>Wednesday 30</w:t>
      </w:r>
      <w:r w:rsidRPr="00865BE0">
        <w:rPr>
          <w:rFonts w:ascii="Calibri" w:hAnsi="Calibri" w:cs="Calibri"/>
          <w:color w:val="5F5F5F"/>
          <w:lang w:val="en-IE"/>
        </w:rPr>
        <w:t xml:space="preserve"> </w:t>
      </w:r>
      <w:r>
        <w:rPr>
          <w:rFonts w:ascii="Calibri" w:hAnsi="Calibri" w:cs="Calibri"/>
          <w:color w:val="5F5F5F"/>
          <w:lang w:val="en-IE"/>
        </w:rPr>
        <w:t>April 2014 at 12 noon.</w:t>
      </w:r>
    </w:p>
    <w:p w:rsidR="00871692" w:rsidRPr="009318F0" w:rsidRDefault="00871692" w:rsidP="00871692">
      <w:pPr>
        <w:rPr>
          <w:rFonts w:ascii="Calibri" w:hAnsi="Calibri" w:cs="Calibri"/>
          <w:color w:val="5F5F5F"/>
          <w:highlight w:val="yellow"/>
          <w:lang w:val="en-IE"/>
        </w:rPr>
      </w:pPr>
    </w:p>
    <w:p w:rsidR="00871692" w:rsidRDefault="00871692" w:rsidP="00871692">
      <w:pPr>
        <w:rPr>
          <w:rFonts w:ascii="Calibri" w:hAnsi="Calibri" w:cs="Calibri"/>
          <w:color w:val="5F5F5F"/>
          <w:highlight w:val="yellow"/>
          <w:lang w:val="en-IE"/>
        </w:rPr>
        <w:sectPr w:rsidR="00871692" w:rsidSect="006B4FE1">
          <w:footerReference w:type="even" r:id="rId11"/>
          <w:footerReference w:type="default" r:id="rId12"/>
          <w:type w:val="continuous"/>
          <w:pgSz w:w="11906" w:h="16838" w:code="9"/>
          <w:pgMar w:top="851" w:right="1274" w:bottom="851" w:left="1134" w:header="709" w:footer="343" w:gutter="0"/>
          <w:cols w:space="708"/>
          <w:docGrid w:linePitch="360"/>
        </w:sectPr>
      </w:pPr>
    </w:p>
    <w:p w:rsidR="00871692" w:rsidRPr="00EA138B" w:rsidRDefault="00871692" w:rsidP="001676F4">
      <w:pPr>
        <w:numPr>
          <w:ilvl w:val="0"/>
          <w:numId w:val="6"/>
        </w:numPr>
        <w:spacing w:after="120"/>
        <w:ind w:left="0" w:firstLine="0"/>
        <w:rPr>
          <w:rFonts w:ascii="Calibri" w:hAnsi="Calibri" w:cs="Calibri"/>
          <w:b/>
          <w:color w:val="00305C"/>
          <w:sz w:val="22"/>
          <w:szCs w:val="22"/>
          <w:lang w:val="en-US"/>
        </w:rPr>
      </w:pPr>
      <w:r w:rsidRPr="00EA138B">
        <w:rPr>
          <w:rFonts w:ascii="Calibri" w:hAnsi="Calibri" w:cs="Calibri"/>
          <w:b/>
          <w:color w:val="00305C"/>
          <w:sz w:val="22"/>
          <w:szCs w:val="22"/>
          <w:lang w:val="en-US"/>
        </w:rPr>
        <w:t>Segmental Reporting</w:t>
      </w:r>
    </w:p>
    <w:p w:rsidR="00871692" w:rsidRDefault="00871692" w:rsidP="004F290B">
      <w:pPr>
        <w:rPr>
          <w:rFonts w:ascii="Calibri" w:hAnsi="Calibri" w:cs="Calibri"/>
          <w:color w:val="5F5F5F"/>
          <w:szCs w:val="19"/>
        </w:rPr>
      </w:pPr>
      <w:r w:rsidRPr="00073D2B">
        <w:rPr>
          <w:rFonts w:ascii="Calibri" w:hAnsi="Calibri" w:cs="Calibri"/>
          <w:color w:val="5F5F5F"/>
          <w:szCs w:val="19"/>
        </w:rPr>
        <w:t xml:space="preserve">Information reported to the Group’s Chief Executive Officer for the purposes of resource allocation and assessment of segment performance is focused on the three geographical </w:t>
      </w:r>
      <w:r w:rsidR="00F72249">
        <w:rPr>
          <w:rFonts w:ascii="Calibri" w:hAnsi="Calibri" w:cs="Calibri"/>
          <w:color w:val="5F5F5F"/>
          <w:szCs w:val="19"/>
        </w:rPr>
        <w:t>regions within which the Group operates</w:t>
      </w:r>
      <w:r w:rsidRPr="00073D2B">
        <w:rPr>
          <w:rFonts w:ascii="Calibri" w:hAnsi="Calibri" w:cs="Calibri"/>
          <w:color w:val="5F5F5F"/>
          <w:szCs w:val="19"/>
        </w:rPr>
        <w:t>. The Group has one class of business, being the exploration, development, production and sale of hydrocarbons and therefore the Group’s reportable segments under IFRS 8 are West and North Africa; South and East Africa; and Europe, South America and Asia. The following tables present revenue, profit and certain asset and liability information regarding the Group’s business segments for the year ended 31 Dec</w:t>
      </w:r>
      <w:r>
        <w:rPr>
          <w:rFonts w:ascii="Calibri" w:hAnsi="Calibri" w:cs="Calibri"/>
          <w:color w:val="5F5F5F"/>
          <w:szCs w:val="19"/>
        </w:rPr>
        <w:t>ember 2013 and 31 December 2012</w:t>
      </w:r>
      <w:r w:rsidRPr="00ED6868">
        <w:rPr>
          <w:rFonts w:ascii="Calibri" w:hAnsi="Calibri" w:cs="Calibri"/>
          <w:color w:val="5F5F5F"/>
          <w:szCs w:val="19"/>
        </w:rPr>
        <w:t>.</w:t>
      </w:r>
    </w:p>
    <w:p w:rsidR="00871692" w:rsidRDefault="00871692" w:rsidP="00871692">
      <w:pPr>
        <w:rPr>
          <w:rFonts w:ascii="Calibri" w:hAnsi="Calibri" w:cs="Calibri"/>
          <w:color w:val="5F5F5F"/>
          <w:szCs w:val="19"/>
        </w:rPr>
      </w:pPr>
    </w:p>
    <w:tbl>
      <w:tblPr>
        <w:tblW w:w="9498" w:type="dxa"/>
        <w:tblLayout w:type="fixed"/>
        <w:tblCellMar>
          <w:left w:w="0" w:type="dxa"/>
          <w:right w:w="57" w:type="dxa"/>
        </w:tblCellMar>
        <w:tblLook w:val="00A0" w:firstRow="1" w:lastRow="0" w:firstColumn="1" w:lastColumn="0" w:noHBand="0" w:noVBand="0"/>
      </w:tblPr>
      <w:tblGrid>
        <w:gridCol w:w="4253"/>
        <w:gridCol w:w="1134"/>
        <w:gridCol w:w="992"/>
        <w:gridCol w:w="1276"/>
        <w:gridCol w:w="992"/>
        <w:gridCol w:w="851"/>
      </w:tblGrid>
      <w:tr w:rsidR="00871692" w:rsidRPr="00C44CA2" w:rsidTr="004F290B">
        <w:tc>
          <w:tcPr>
            <w:tcW w:w="4253" w:type="dxa"/>
            <w:tcBorders>
              <w:bottom w:val="single" w:sz="12" w:space="0" w:color="999999"/>
            </w:tcBorders>
            <w:shd w:val="clear" w:color="auto" w:fill="auto"/>
            <w:vAlign w:val="bottom"/>
          </w:tcPr>
          <w:p w:rsidR="00871692" w:rsidRDefault="00871692" w:rsidP="009B4FC7">
            <w:pPr>
              <w:pStyle w:val="TableColHeads"/>
              <w:jc w:val="left"/>
            </w:pPr>
          </w:p>
        </w:tc>
        <w:tc>
          <w:tcPr>
            <w:tcW w:w="1134" w:type="dxa"/>
            <w:tcBorders>
              <w:bottom w:val="single" w:sz="12" w:space="0" w:color="999999"/>
            </w:tcBorders>
            <w:shd w:val="clear" w:color="auto" w:fill="auto"/>
            <w:vAlign w:val="bottom"/>
          </w:tcPr>
          <w:p w:rsidR="00871692" w:rsidRPr="00235E84" w:rsidRDefault="00871692" w:rsidP="009B4FC7">
            <w:pPr>
              <w:spacing w:line="180" w:lineRule="exact"/>
              <w:jc w:val="right"/>
              <w:rPr>
                <w:rStyle w:val="Bold"/>
                <w:rFonts w:ascii="Calibri" w:hAnsi="Calibri" w:cs="Calibri"/>
                <w:b/>
                <w:color w:val="002B45"/>
                <w:sz w:val="15"/>
                <w:szCs w:val="15"/>
              </w:rPr>
            </w:pPr>
            <w:r w:rsidRPr="00235E84">
              <w:rPr>
                <w:rStyle w:val="Bold"/>
                <w:rFonts w:ascii="Calibri" w:hAnsi="Calibri" w:cs="Calibri"/>
                <w:b/>
                <w:color w:val="002B45"/>
                <w:sz w:val="15"/>
                <w:szCs w:val="15"/>
              </w:rPr>
              <w:t xml:space="preserve">West </w:t>
            </w:r>
            <w:r w:rsidR="004F290B">
              <w:rPr>
                <w:rStyle w:val="Bold"/>
                <w:rFonts w:ascii="Calibri" w:hAnsi="Calibri" w:cs="Calibri"/>
                <w:b/>
                <w:color w:val="002B45"/>
                <w:sz w:val="15"/>
                <w:szCs w:val="15"/>
              </w:rPr>
              <w:br/>
            </w:r>
            <w:r w:rsidRPr="00235E84">
              <w:rPr>
                <w:rStyle w:val="Bold"/>
                <w:rFonts w:ascii="Calibri" w:hAnsi="Calibri" w:cs="Calibri"/>
                <w:b/>
                <w:color w:val="002B45"/>
                <w:sz w:val="15"/>
                <w:szCs w:val="15"/>
              </w:rPr>
              <w:t>and North</w:t>
            </w:r>
            <w:r w:rsidR="004F290B">
              <w:rPr>
                <w:rStyle w:val="Bold"/>
                <w:rFonts w:ascii="Calibri" w:hAnsi="Calibri" w:cs="Calibri"/>
                <w:b/>
                <w:color w:val="002B45"/>
                <w:sz w:val="15"/>
                <w:szCs w:val="15"/>
              </w:rPr>
              <w:br/>
            </w:r>
            <w:r w:rsidRPr="00235E84">
              <w:rPr>
                <w:rStyle w:val="Bold"/>
                <w:rFonts w:ascii="Calibri" w:hAnsi="Calibri" w:cs="Calibri"/>
                <w:b/>
                <w:color w:val="002B45"/>
                <w:sz w:val="15"/>
                <w:szCs w:val="15"/>
              </w:rPr>
              <w:t xml:space="preserve"> Africa</w:t>
            </w:r>
            <w:r w:rsidRPr="00235E84">
              <w:rPr>
                <w:rStyle w:val="Bold"/>
                <w:rFonts w:ascii="Calibri" w:hAnsi="Calibri" w:cs="Calibri"/>
                <w:b/>
                <w:color w:val="002B45"/>
                <w:sz w:val="15"/>
                <w:szCs w:val="15"/>
              </w:rPr>
              <w:br/>
              <w:t>$m</w:t>
            </w:r>
          </w:p>
        </w:tc>
        <w:tc>
          <w:tcPr>
            <w:tcW w:w="992" w:type="dxa"/>
            <w:tcBorders>
              <w:bottom w:val="single" w:sz="12" w:space="0" w:color="999999"/>
            </w:tcBorders>
            <w:shd w:val="clear" w:color="auto" w:fill="auto"/>
            <w:vAlign w:val="bottom"/>
          </w:tcPr>
          <w:p w:rsidR="00871692" w:rsidRPr="00235E84" w:rsidRDefault="00871692" w:rsidP="009B4FC7">
            <w:pPr>
              <w:spacing w:line="180" w:lineRule="exact"/>
              <w:jc w:val="right"/>
              <w:rPr>
                <w:rStyle w:val="Bold"/>
                <w:rFonts w:ascii="Calibri" w:hAnsi="Calibri" w:cs="Calibri"/>
                <w:b/>
                <w:color w:val="002B45"/>
                <w:sz w:val="15"/>
                <w:szCs w:val="15"/>
              </w:rPr>
            </w:pPr>
            <w:r w:rsidRPr="00235E84">
              <w:rPr>
                <w:rStyle w:val="Bold"/>
                <w:rFonts w:ascii="Calibri" w:hAnsi="Calibri" w:cs="Calibri"/>
                <w:b/>
                <w:color w:val="002B45"/>
                <w:sz w:val="15"/>
                <w:szCs w:val="15"/>
              </w:rPr>
              <w:t xml:space="preserve">South </w:t>
            </w:r>
            <w:r w:rsidR="004F290B">
              <w:rPr>
                <w:rStyle w:val="Bold"/>
                <w:rFonts w:ascii="Calibri" w:hAnsi="Calibri" w:cs="Calibri"/>
                <w:b/>
                <w:color w:val="002B45"/>
                <w:sz w:val="15"/>
                <w:szCs w:val="15"/>
              </w:rPr>
              <w:br/>
            </w:r>
            <w:r w:rsidRPr="00235E84">
              <w:rPr>
                <w:rStyle w:val="Bold"/>
                <w:rFonts w:ascii="Calibri" w:hAnsi="Calibri" w:cs="Calibri"/>
                <w:b/>
                <w:color w:val="002B45"/>
                <w:sz w:val="15"/>
                <w:szCs w:val="15"/>
              </w:rPr>
              <w:t>and East</w:t>
            </w:r>
            <w:r w:rsidR="004F290B">
              <w:rPr>
                <w:rStyle w:val="Bold"/>
                <w:rFonts w:ascii="Calibri" w:hAnsi="Calibri" w:cs="Calibri"/>
                <w:b/>
                <w:color w:val="002B45"/>
                <w:sz w:val="15"/>
                <w:szCs w:val="15"/>
              </w:rPr>
              <w:br/>
            </w:r>
            <w:r w:rsidRPr="00235E84">
              <w:rPr>
                <w:rStyle w:val="Bold"/>
                <w:rFonts w:ascii="Calibri" w:hAnsi="Calibri" w:cs="Calibri"/>
                <w:b/>
                <w:color w:val="002B45"/>
                <w:sz w:val="15"/>
                <w:szCs w:val="15"/>
              </w:rPr>
              <w:t xml:space="preserve"> Africa</w:t>
            </w:r>
            <w:r w:rsidRPr="00235E84">
              <w:rPr>
                <w:rStyle w:val="Bold"/>
                <w:rFonts w:ascii="Calibri" w:hAnsi="Calibri" w:cs="Calibri"/>
                <w:b/>
                <w:color w:val="002B45"/>
                <w:sz w:val="15"/>
                <w:szCs w:val="15"/>
              </w:rPr>
              <w:br/>
              <w:t>$m</w:t>
            </w:r>
          </w:p>
        </w:tc>
        <w:tc>
          <w:tcPr>
            <w:tcW w:w="1276" w:type="dxa"/>
            <w:tcBorders>
              <w:bottom w:val="single" w:sz="12" w:space="0" w:color="999999"/>
            </w:tcBorders>
            <w:shd w:val="clear" w:color="auto" w:fill="auto"/>
            <w:vAlign w:val="bottom"/>
          </w:tcPr>
          <w:p w:rsidR="00871692" w:rsidRPr="00235E84" w:rsidRDefault="00871692" w:rsidP="009B4FC7">
            <w:pPr>
              <w:spacing w:line="180" w:lineRule="exact"/>
              <w:jc w:val="right"/>
              <w:rPr>
                <w:rStyle w:val="Bold"/>
                <w:rFonts w:ascii="Calibri" w:hAnsi="Calibri" w:cs="Calibri"/>
                <w:b/>
                <w:color w:val="002B45"/>
                <w:sz w:val="15"/>
                <w:szCs w:val="15"/>
              </w:rPr>
            </w:pPr>
            <w:r w:rsidRPr="00235E84">
              <w:rPr>
                <w:rStyle w:val="Bold"/>
                <w:rFonts w:ascii="Calibri" w:hAnsi="Calibri" w:cs="Calibri"/>
                <w:b/>
                <w:color w:val="002B45"/>
                <w:sz w:val="15"/>
                <w:szCs w:val="15"/>
              </w:rPr>
              <w:t xml:space="preserve">Europe, South America </w:t>
            </w:r>
            <w:r w:rsidR="004F290B">
              <w:rPr>
                <w:rStyle w:val="Bold"/>
                <w:rFonts w:ascii="Calibri" w:hAnsi="Calibri" w:cs="Calibri"/>
                <w:b/>
                <w:color w:val="002B45"/>
                <w:sz w:val="15"/>
                <w:szCs w:val="15"/>
              </w:rPr>
              <w:br/>
            </w:r>
            <w:r w:rsidRPr="00235E84">
              <w:rPr>
                <w:rStyle w:val="Bold"/>
                <w:rFonts w:ascii="Calibri" w:hAnsi="Calibri" w:cs="Calibri"/>
                <w:b/>
                <w:color w:val="002B45"/>
                <w:sz w:val="15"/>
                <w:szCs w:val="15"/>
              </w:rPr>
              <w:t>and Asia</w:t>
            </w:r>
            <w:r w:rsidRPr="00235E84">
              <w:rPr>
                <w:rStyle w:val="Bold"/>
                <w:rFonts w:ascii="Calibri" w:hAnsi="Calibri" w:cs="Calibri"/>
                <w:b/>
                <w:color w:val="002B45"/>
                <w:sz w:val="15"/>
                <w:szCs w:val="15"/>
              </w:rPr>
              <w:br/>
              <w:t>$m</w:t>
            </w:r>
          </w:p>
        </w:tc>
        <w:tc>
          <w:tcPr>
            <w:tcW w:w="992" w:type="dxa"/>
            <w:tcBorders>
              <w:bottom w:val="single" w:sz="12" w:space="0" w:color="999999"/>
            </w:tcBorders>
            <w:shd w:val="clear" w:color="auto" w:fill="auto"/>
            <w:vAlign w:val="bottom"/>
          </w:tcPr>
          <w:p w:rsidR="00871692" w:rsidRPr="00235E84" w:rsidRDefault="00871692" w:rsidP="009B4FC7">
            <w:pPr>
              <w:spacing w:line="180" w:lineRule="exact"/>
              <w:jc w:val="right"/>
              <w:rPr>
                <w:rStyle w:val="Bold"/>
                <w:rFonts w:ascii="Calibri" w:hAnsi="Calibri" w:cs="Calibri"/>
                <w:b/>
                <w:color w:val="002B45"/>
                <w:sz w:val="15"/>
                <w:szCs w:val="15"/>
              </w:rPr>
            </w:pPr>
            <w:r w:rsidRPr="00235E84">
              <w:rPr>
                <w:rStyle w:val="Bold"/>
                <w:rFonts w:ascii="Calibri" w:hAnsi="Calibri" w:cs="Calibri"/>
                <w:b/>
                <w:color w:val="002B45"/>
                <w:sz w:val="15"/>
                <w:szCs w:val="15"/>
              </w:rPr>
              <w:t>Unallocated</w:t>
            </w:r>
            <w:r w:rsidRPr="00235E84">
              <w:rPr>
                <w:rStyle w:val="Bold"/>
                <w:rFonts w:ascii="Calibri" w:hAnsi="Calibri" w:cs="Calibri"/>
                <w:b/>
                <w:color w:val="002B45"/>
                <w:sz w:val="15"/>
                <w:szCs w:val="15"/>
              </w:rPr>
              <w:br/>
              <w:t>$m</w:t>
            </w:r>
          </w:p>
        </w:tc>
        <w:tc>
          <w:tcPr>
            <w:tcW w:w="851" w:type="dxa"/>
            <w:tcBorders>
              <w:bottom w:val="single" w:sz="12" w:space="0" w:color="999999"/>
            </w:tcBorders>
            <w:shd w:val="clear" w:color="auto" w:fill="auto"/>
            <w:vAlign w:val="bottom"/>
          </w:tcPr>
          <w:p w:rsidR="00871692" w:rsidRPr="00235E84" w:rsidRDefault="00871692" w:rsidP="009B4FC7">
            <w:pPr>
              <w:spacing w:line="180" w:lineRule="exact"/>
              <w:jc w:val="right"/>
              <w:rPr>
                <w:rStyle w:val="Bold"/>
                <w:rFonts w:ascii="Calibri" w:hAnsi="Calibri" w:cs="Calibri"/>
                <w:b/>
                <w:color w:val="002B45"/>
                <w:sz w:val="15"/>
                <w:szCs w:val="15"/>
              </w:rPr>
            </w:pPr>
            <w:r w:rsidRPr="00235E84">
              <w:rPr>
                <w:rStyle w:val="Bold"/>
                <w:rFonts w:ascii="Calibri" w:hAnsi="Calibri" w:cs="Calibri"/>
                <w:b/>
                <w:color w:val="002B45"/>
                <w:sz w:val="15"/>
                <w:szCs w:val="15"/>
              </w:rPr>
              <w:t>Total</w:t>
            </w:r>
            <w:r w:rsidRPr="00235E84">
              <w:rPr>
                <w:rStyle w:val="Bold"/>
                <w:rFonts w:ascii="Calibri" w:hAnsi="Calibri" w:cs="Calibri"/>
                <w:b/>
                <w:color w:val="002B45"/>
                <w:sz w:val="15"/>
                <w:szCs w:val="15"/>
              </w:rPr>
              <w:br/>
              <w:t>$m</w:t>
            </w:r>
          </w:p>
        </w:tc>
      </w:tr>
      <w:tr w:rsidR="00871692" w:rsidTr="004F290B">
        <w:trPr>
          <w:trHeight w:val="283"/>
        </w:trPr>
        <w:tc>
          <w:tcPr>
            <w:tcW w:w="4253" w:type="dxa"/>
            <w:tcBorders>
              <w:top w:val="single" w:sz="12" w:space="0" w:color="999999"/>
              <w:bottom w:val="single" w:sz="4" w:space="0" w:color="999999"/>
            </w:tcBorders>
            <w:vAlign w:val="bottom"/>
          </w:tcPr>
          <w:p w:rsidR="00871692" w:rsidRPr="00ED6868" w:rsidRDefault="00871692" w:rsidP="00EA138B">
            <w:pPr>
              <w:pStyle w:val="Tabletext0"/>
              <w:ind w:right="85"/>
              <w:rPr>
                <w:rFonts w:ascii="Calibri" w:hAnsi="Calibri" w:cs="Calibri"/>
                <w:color w:val="002B45"/>
              </w:rPr>
            </w:pPr>
            <w:r w:rsidRPr="00EA138B">
              <w:rPr>
                <w:rFonts w:ascii="Calibri" w:hAnsi="Calibri" w:cs="Calibri"/>
                <w:b/>
                <w:color w:val="002B45"/>
              </w:rPr>
              <w:t>2013</w:t>
            </w:r>
            <w:r w:rsidRPr="00ED6868">
              <w:rPr>
                <w:rFonts w:ascii="Calibri" w:hAnsi="Calibri" w:cs="Calibri"/>
                <w:color w:val="002B45"/>
              </w:rPr>
              <w:br/>
              <w:t>Sales revenue by origin</w:t>
            </w:r>
          </w:p>
        </w:tc>
        <w:tc>
          <w:tcPr>
            <w:tcW w:w="1134" w:type="dxa"/>
            <w:tcBorders>
              <w:top w:val="single" w:sz="12" w:space="0" w:color="999999"/>
              <w:bottom w:val="single" w:sz="4" w:space="0" w:color="999999"/>
            </w:tcBorders>
            <w:shd w:val="clear" w:color="auto" w:fill="E6E6E6"/>
            <w:vAlign w:val="bottom"/>
          </w:tcPr>
          <w:p w:rsidR="00871692" w:rsidRPr="00073D2B" w:rsidRDefault="00871692" w:rsidP="00EA138B">
            <w:pPr>
              <w:jc w:val="right"/>
              <w:rPr>
                <w:rFonts w:ascii="Calibri" w:hAnsi="Calibri" w:cs="Calibri"/>
                <w:color w:val="002B45"/>
                <w:lang w:val="en-US"/>
              </w:rPr>
            </w:pPr>
            <w:r w:rsidRPr="00073D2B">
              <w:rPr>
                <w:rFonts w:ascii="Calibri" w:hAnsi="Calibri" w:cs="Calibri"/>
                <w:color w:val="002B45"/>
                <w:lang w:val="en-US"/>
              </w:rPr>
              <w:t xml:space="preserve"> 2,247.5 </w:t>
            </w:r>
          </w:p>
        </w:tc>
        <w:tc>
          <w:tcPr>
            <w:tcW w:w="992" w:type="dxa"/>
            <w:tcBorders>
              <w:top w:val="single" w:sz="12" w:space="0" w:color="999999"/>
              <w:bottom w:val="single" w:sz="4" w:space="0" w:color="999999"/>
            </w:tcBorders>
            <w:shd w:val="clear" w:color="auto" w:fill="E6E6E6"/>
            <w:vAlign w:val="bottom"/>
          </w:tcPr>
          <w:p w:rsidR="00871692" w:rsidRPr="00073D2B" w:rsidRDefault="00871692" w:rsidP="00EA138B">
            <w:pPr>
              <w:jc w:val="right"/>
              <w:rPr>
                <w:rFonts w:ascii="Calibri" w:hAnsi="Calibri" w:cs="Calibri"/>
                <w:color w:val="002B45"/>
                <w:lang w:val="en-US"/>
              </w:rPr>
            </w:pPr>
            <w:r w:rsidRPr="00073D2B">
              <w:rPr>
                <w:rFonts w:ascii="Calibri" w:hAnsi="Calibri" w:cs="Calibri"/>
                <w:color w:val="002B45"/>
                <w:lang w:val="en-US"/>
              </w:rPr>
              <w:t xml:space="preserve"> –  </w:t>
            </w:r>
          </w:p>
        </w:tc>
        <w:tc>
          <w:tcPr>
            <w:tcW w:w="1276" w:type="dxa"/>
            <w:tcBorders>
              <w:top w:val="single" w:sz="12" w:space="0" w:color="999999"/>
              <w:bottom w:val="single" w:sz="4" w:space="0" w:color="999999"/>
            </w:tcBorders>
            <w:shd w:val="clear" w:color="auto" w:fill="E6E6E6"/>
            <w:vAlign w:val="bottom"/>
          </w:tcPr>
          <w:p w:rsidR="00871692" w:rsidRPr="00073D2B" w:rsidRDefault="00871692" w:rsidP="00EA138B">
            <w:pPr>
              <w:jc w:val="right"/>
              <w:rPr>
                <w:rFonts w:ascii="Calibri" w:hAnsi="Calibri" w:cs="Calibri"/>
                <w:color w:val="002B45"/>
                <w:lang w:val="en-US"/>
              </w:rPr>
            </w:pPr>
            <w:r w:rsidRPr="00073D2B">
              <w:rPr>
                <w:rFonts w:ascii="Calibri" w:hAnsi="Calibri" w:cs="Calibri"/>
                <w:color w:val="002B45"/>
                <w:lang w:val="en-US"/>
              </w:rPr>
              <w:t xml:space="preserve"> 399.4 </w:t>
            </w:r>
          </w:p>
        </w:tc>
        <w:tc>
          <w:tcPr>
            <w:tcW w:w="992" w:type="dxa"/>
            <w:tcBorders>
              <w:top w:val="single" w:sz="12" w:space="0" w:color="999999"/>
              <w:bottom w:val="single" w:sz="4" w:space="0" w:color="999999"/>
            </w:tcBorders>
            <w:shd w:val="clear" w:color="auto" w:fill="E6E6E6"/>
            <w:vAlign w:val="bottom"/>
          </w:tcPr>
          <w:p w:rsidR="00871692" w:rsidRPr="00073D2B" w:rsidRDefault="00871692" w:rsidP="00EA138B">
            <w:pPr>
              <w:jc w:val="right"/>
              <w:rPr>
                <w:rFonts w:ascii="Calibri" w:hAnsi="Calibri" w:cs="Calibri"/>
                <w:color w:val="002B45"/>
                <w:lang w:val="en-US"/>
              </w:rPr>
            </w:pPr>
            <w:r w:rsidRPr="00073D2B">
              <w:rPr>
                <w:rFonts w:ascii="Calibri" w:hAnsi="Calibri" w:cs="Calibri"/>
                <w:color w:val="002B45"/>
                <w:lang w:val="en-US"/>
              </w:rPr>
              <w:t xml:space="preserve"> –  </w:t>
            </w:r>
          </w:p>
        </w:tc>
        <w:tc>
          <w:tcPr>
            <w:tcW w:w="851" w:type="dxa"/>
            <w:tcBorders>
              <w:top w:val="single" w:sz="12" w:space="0" w:color="999999"/>
              <w:bottom w:val="single" w:sz="4" w:space="0" w:color="999999"/>
            </w:tcBorders>
            <w:shd w:val="clear" w:color="auto" w:fill="E6E6E6"/>
            <w:vAlign w:val="bottom"/>
          </w:tcPr>
          <w:p w:rsidR="00871692" w:rsidRPr="00073D2B" w:rsidRDefault="00871692" w:rsidP="00EA138B">
            <w:pPr>
              <w:jc w:val="right"/>
              <w:rPr>
                <w:rFonts w:ascii="Calibri" w:hAnsi="Calibri" w:cs="Calibri"/>
                <w:color w:val="002B45"/>
                <w:lang w:val="en-US"/>
              </w:rPr>
            </w:pPr>
            <w:r w:rsidRPr="00073D2B">
              <w:rPr>
                <w:rFonts w:ascii="Calibri" w:hAnsi="Calibri" w:cs="Calibri"/>
                <w:color w:val="002B45"/>
                <w:lang w:val="en-US"/>
              </w:rPr>
              <w:t xml:space="preserve"> 2,646.9 </w:t>
            </w:r>
          </w:p>
        </w:tc>
      </w:tr>
      <w:tr w:rsidR="00871692" w:rsidTr="004F290B">
        <w:trPr>
          <w:trHeight w:val="340"/>
        </w:trPr>
        <w:tc>
          <w:tcPr>
            <w:tcW w:w="4253" w:type="dxa"/>
            <w:tcBorders>
              <w:top w:val="single" w:sz="4" w:space="0" w:color="999999"/>
              <w:bottom w:val="single" w:sz="4" w:space="0" w:color="999999"/>
            </w:tcBorders>
            <w:vAlign w:val="center"/>
          </w:tcPr>
          <w:p w:rsidR="00871692" w:rsidRPr="00ED6868" w:rsidRDefault="00871692" w:rsidP="00EA138B">
            <w:pPr>
              <w:pStyle w:val="Tabletext0"/>
              <w:ind w:right="85"/>
              <w:rPr>
                <w:rFonts w:ascii="Calibri" w:hAnsi="Calibri" w:cs="Calibri"/>
                <w:color w:val="002B45"/>
              </w:rPr>
            </w:pPr>
            <w:r w:rsidRPr="00ED6868">
              <w:rPr>
                <w:rFonts w:ascii="Calibri" w:hAnsi="Calibri" w:cs="Calibri"/>
                <w:color w:val="002B45"/>
              </w:rPr>
              <w:t>Segment result</w:t>
            </w:r>
          </w:p>
        </w:tc>
        <w:tc>
          <w:tcPr>
            <w:tcW w:w="1134" w:type="dxa"/>
            <w:tcBorders>
              <w:top w:val="single" w:sz="4" w:space="0" w:color="999999"/>
              <w:bottom w:val="single" w:sz="4" w:space="0" w:color="999999"/>
            </w:tcBorders>
            <w:shd w:val="clear" w:color="auto" w:fill="E6E6E6"/>
            <w:vAlign w:val="center"/>
          </w:tcPr>
          <w:p w:rsidR="00871692" w:rsidRPr="00073D2B" w:rsidRDefault="00871692" w:rsidP="00EA138B">
            <w:pPr>
              <w:jc w:val="right"/>
              <w:rPr>
                <w:rFonts w:ascii="Calibri" w:hAnsi="Calibri" w:cs="Calibri"/>
                <w:color w:val="002B45"/>
                <w:lang w:val="en-US"/>
              </w:rPr>
            </w:pPr>
            <w:r w:rsidRPr="00073D2B">
              <w:rPr>
                <w:rFonts w:ascii="Calibri" w:hAnsi="Calibri" w:cs="Calibri"/>
                <w:color w:val="002B45"/>
                <w:lang w:val="en-US"/>
              </w:rPr>
              <w:t xml:space="preserve"> 1,285.5 </w:t>
            </w:r>
          </w:p>
        </w:tc>
        <w:tc>
          <w:tcPr>
            <w:tcW w:w="992" w:type="dxa"/>
            <w:tcBorders>
              <w:top w:val="single" w:sz="4" w:space="0" w:color="999999"/>
              <w:bottom w:val="single" w:sz="4" w:space="0" w:color="999999"/>
            </w:tcBorders>
            <w:shd w:val="clear" w:color="auto" w:fill="E6E6E6"/>
            <w:vAlign w:val="center"/>
          </w:tcPr>
          <w:p w:rsidR="00871692" w:rsidRPr="00073D2B" w:rsidRDefault="00871692" w:rsidP="00EA138B">
            <w:pPr>
              <w:jc w:val="right"/>
              <w:rPr>
                <w:rFonts w:ascii="Calibri" w:hAnsi="Calibri" w:cs="Calibri"/>
                <w:color w:val="002B45"/>
                <w:lang w:val="en-US"/>
              </w:rPr>
            </w:pPr>
            <w:r w:rsidRPr="00073D2B">
              <w:rPr>
                <w:rFonts w:ascii="Calibri" w:hAnsi="Calibri" w:cs="Calibri"/>
                <w:color w:val="002B45"/>
                <w:lang w:val="en-US"/>
              </w:rPr>
              <w:t>(339.6)</w:t>
            </w:r>
          </w:p>
        </w:tc>
        <w:tc>
          <w:tcPr>
            <w:tcW w:w="1276" w:type="dxa"/>
            <w:tcBorders>
              <w:top w:val="single" w:sz="4" w:space="0" w:color="999999"/>
              <w:bottom w:val="single" w:sz="4" w:space="0" w:color="999999"/>
            </w:tcBorders>
            <w:shd w:val="clear" w:color="auto" w:fill="E6E6E6"/>
            <w:vAlign w:val="center"/>
          </w:tcPr>
          <w:p w:rsidR="00871692" w:rsidRPr="00073D2B" w:rsidRDefault="00871692" w:rsidP="00EA138B">
            <w:pPr>
              <w:jc w:val="right"/>
              <w:rPr>
                <w:rFonts w:ascii="Calibri" w:hAnsi="Calibri" w:cs="Calibri"/>
                <w:color w:val="002B45"/>
                <w:lang w:val="en-US"/>
              </w:rPr>
            </w:pPr>
            <w:r w:rsidRPr="00073D2B">
              <w:rPr>
                <w:rFonts w:ascii="Calibri" w:hAnsi="Calibri" w:cs="Calibri"/>
                <w:color w:val="002B45"/>
                <w:lang w:val="en-US"/>
              </w:rPr>
              <w:t>(376.1)</w:t>
            </w:r>
          </w:p>
        </w:tc>
        <w:tc>
          <w:tcPr>
            <w:tcW w:w="992" w:type="dxa"/>
            <w:tcBorders>
              <w:top w:val="single" w:sz="4" w:space="0" w:color="999999"/>
              <w:bottom w:val="single" w:sz="4" w:space="0" w:color="999999"/>
            </w:tcBorders>
            <w:shd w:val="clear" w:color="auto" w:fill="E6E6E6"/>
            <w:vAlign w:val="center"/>
          </w:tcPr>
          <w:p w:rsidR="00871692" w:rsidRPr="00073D2B" w:rsidRDefault="00871692" w:rsidP="00EA138B">
            <w:pPr>
              <w:jc w:val="right"/>
              <w:rPr>
                <w:rFonts w:ascii="Calibri" w:hAnsi="Calibri" w:cs="Calibri"/>
                <w:color w:val="002B45"/>
                <w:lang w:val="en-US"/>
              </w:rPr>
            </w:pPr>
            <w:r w:rsidRPr="00073D2B">
              <w:rPr>
                <w:rFonts w:ascii="Calibri" w:hAnsi="Calibri" w:cs="Calibri"/>
                <w:color w:val="002B45"/>
                <w:lang w:val="en-US"/>
              </w:rPr>
              <w:t xml:space="preserve"> –  </w:t>
            </w:r>
          </w:p>
        </w:tc>
        <w:tc>
          <w:tcPr>
            <w:tcW w:w="851" w:type="dxa"/>
            <w:tcBorders>
              <w:top w:val="single" w:sz="4" w:space="0" w:color="999999"/>
              <w:bottom w:val="single" w:sz="4" w:space="0" w:color="999999"/>
            </w:tcBorders>
            <w:shd w:val="clear" w:color="auto" w:fill="E6E6E6"/>
            <w:vAlign w:val="center"/>
          </w:tcPr>
          <w:p w:rsidR="00871692" w:rsidRPr="00073D2B" w:rsidRDefault="00871692" w:rsidP="00EA138B">
            <w:pPr>
              <w:jc w:val="right"/>
              <w:rPr>
                <w:rFonts w:ascii="Calibri" w:hAnsi="Calibri" w:cs="Calibri"/>
                <w:color w:val="002B45"/>
                <w:lang w:val="en-US"/>
              </w:rPr>
            </w:pPr>
            <w:r w:rsidRPr="00073D2B">
              <w:rPr>
                <w:rFonts w:ascii="Calibri" w:hAnsi="Calibri" w:cs="Calibri"/>
                <w:color w:val="002B45"/>
                <w:lang w:val="en-US"/>
              </w:rPr>
              <w:t xml:space="preserve"> 569.8 </w:t>
            </w:r>
          </w:p>
        </w:tc>
      </w:tr>
      <w:tr w:rsidR="00871692" w:rsidRPr="00D35AF8" w:rsidTr="004F290B">
        <w:trPr>
          <w:trHeight w:val="340"/>
        </w:trPr>
        <w:tc>
          <w:tcPr>
            <w:tcW w:w="4253" w:type="dxa"/>
            <w:tcBorders>
              <w:top w:val="single" w:sz="4" w:space="0" w:color="999999"/>
            </w:tcBorders>
            <w:vAlign w:val="center"/>
          </w:tcPr>
          <w:p w:rsidR="00871692" w:rsidRPr="00ED6868" w:rsidRDefault="00263A06" w:rsidP="00EA138B">
            <w:pPr>
              <w:pStyle w:val="Tabletext0"/>
              <w:ind w:right="85"/>
              <w:rPr>
                <w:rFonts w:ascii="Calibri" w:hAnsi="Calibri" w:cs="Calibri"/>
                <w:color w:val="002B45"/>
              </w:rPr>
            </w:pPr>
            <w:r>
              <w:rPr>
                <w:rFonts w:ascii="Calibri" w:hAnsi="Calibri" w:cs="Calibri"/>
                <w:color w:val="002B45"/>
              </w:rPr>
              <w:t>Profit</w:t>
            </w:r>
            <w:r w:rsidR="00871692" w:rsidRPr="00ED6868">
              <w:rPr>
                <w:rFonts w:ascii="Calibri" w:hAnsi="Calibri" w:cs="Calibri"/>
                <w:color w:val="002B45"/>
              </w:rPr>
              <w:t xml:space="preserve"> on disposal of other assets</w:t>
            </w:r>
          </w:p>
        </w:tc>
        <w:tc>
          <w:tcPr>
            <w:tcW w:w="1134" w:type="dxa"/>
            <w:tcBorders>
              <w:top w:val="single" w:sz="4" w:space="0" w:color="999999"/>
            </w:tcBorders>
            <w:shd w:val="clear" w:color="auto" w:fill="E6E6E6"/>
            <w:vAlign w:val="center"/>
          </w:tcPr>
          <w:p w:rsidR="00871692" w:rsidRPr="00073D2B" w:rsidRDefault="00871692" w:rsidP="00EA138B">
            <w:pPr>
              <w:jc w:val="right"/>
              <w:rPr>
                <w:rFonts w:ascii="Calibri" w:hAnsi="Calibri" w:cs="Calibri"/>
                <w:color w:val="002B45"/>
                <w:lang w:val="en-US"/>
              </w:rPr>
            </w:pPr>
          </w:p>
        </w:tc>
        <w:tc>
          <w:tcPr>
            <w:tcW w:w="992" w:type="dxa"/>
            <w:tcBorders>
              <w:top w:val="single" w:sz="4" w:space="0" w:color="999999"/>
            </w:tcBorders>
            <w:shd w:val="clear" w:color="auto" w:fill="E6E6E6"/>
            <w:vAlign w:val="center"/>
          </w:tcPr>
          <w:p w:rsidR="00871692" w:rsidRPr="00073D2B" w:rsidRDefault="00871692" w:rsidP="00EA138B">
            <w:pPr>
              <w:jc w:val="right"/>
              <w:rPr>
                <w:rFonts w:ascii="Calibri" w:hAnsi="Calibri" w:cs="Calibri"/>
                <w:color w:val="002B45"/>
                <w:lang w:val="en-US"/>
              </w:rPr>
            </w:pPr>
          </w:p>
        </w:tc>
        <w:tc>
          <w:tcPr>
            <w:tcW w:w="1276" w:type="dxa"/>
            <w:tcBorders>
              <w:top w:val="single" w:sz="4" w:space="0" w:color="999999"/>
            </w:tcBorders>
            <w:shd w:val="clear" w:color="auto" w:fill="E6E6E6"/>
            <w:vAlign w:val="center"/>
          </w:tcPr>
          <w:p w:rsidR="00871692" w:rsidRPr="00073D2B" w:rsidRDefault="00871692" w:rsidP="00EA138B">
            <w:pPr>
              <w:jc w:val="right"/>
              <w:rPr>
                <w:rFonts w:ascii="Calibri" w:hAnsi="Calibri" w:cs="Calibri"/>
                <w:color w:val="002B45"/>
                <w:lang w:val="en-US"/>
              </w:rPr>
            </w:pPr>
          </w:p>
        </w:tc>
        <w:tc>
          <w:tcPr>
            <w:tcW w:w="992" w:type="dxa"/>
            <w:tcBorders>
              <w:top w:val="single" w:sz="4" w:space="0" w:color="999999"/>
            </w:tcBorders>
            <w:shd w:val="clear" w:color="auto" w:fill="E6E6E6"/>
            <w:vAlign w:val="center"/>
          </w:tcPr>
          <w:p w:rsidR="00871692" w:rsidRPr="00073D2B" w:rsidRDefault="00871692" w:rsidP="00EA138B">
            <w:pPr>
              <w:jc w:val="right"/>
              <w:rPr>
                <w:rFonts w:ascii="Calibri" w:hAnsi="Calibri" w:cs="Calibri"/>
                <w:color w:val="002B45"/>
                <w:lang w:val="en-US"/>
              </w:rPr>
            </w:pPr>
          </w:p>
        </w:tc>
        <w:tc>
          <w:tcPr>
            <w:tcW w:w="851" w:type="dxa"/>
            <w:tcBorders>
              <w:top w:val="single" w:sz="4" w:space="0" w:color="999999"/>
            </w:tcBorders>
            <w:shd w:val="clear" w:color="auto" w:fill="E6E6E6"/>
            <w:vAlign w:val="center"/>
          </w:tcPr>
          <w:p w:rsidR="00871692" w:rsidRPr="00073D2B" w:rsidRDefault="00263A06" w:rsidP="00263A06">
            <w:pPr>
              <w:jc w:val="right"/>
              <w:rPr>
                <w:rFonts w:ascii="Calibri" w:hAnsi="Calibri" w:cs="Calibri"/>
                <w:color w:val="002B45"/>
                <w:lang w:val="en-US"/>
              </w:rPr>
            </w:pPr>
            <w:r>
              <w:rPr>
                <w:rFonts w:ascii="Calibri" w:hAnsi="Calibri" w:cs="Calibri"/>
                <w:color w:val="002B45"/>
                <w:lang w:val="en-US"/>
              </w:rPr>
              <w:t>29</w:t>
            </w:r>
            <w:r w:rsidR="00871692" w:rsidRPr="00073D2B">
              <w:rPr>
                <w:rFonts w:ascii="Calibri" w:hAnsi="Calibri" w:cs="Calibri"/>
                <w:color w:val="002B45"/>
                <w:lang w:val="en-US"/>
              </w:rPr>
              <w:t>.5</w:t>
            </w:r>
          </w:p>
        </w:tc>
      </w:tr>
      <w:tr w:rsidR="00871692" w:rsidTr="004F290B">
        <w:trPr>
          <w:trHeight w:val="340"/>
        </w:trPr>
        <w:tc>
          <w:tcPr>
            <w:tcW w:w="4253" w:type="dxa"/>
            <w:tcBorders>
              <w:bottom w:val="single" w:sz="4" w:space="0" w:color="999999"/>
            </w:tcBorders>
            <w:vAlign w:val="center"/>
          </w:tcPr>
          <w:p w:rsidR="00871692" w:rsidRPr="00ED6868" w:rsidRDefault="00871692" w:rsidP="00EA138B">
            <w:pPr>
              <w:pStyle w:val="Tabletext0"/>
              <w:ind w:right="85"/>
              <w:rPr>
                <w:rFonts w:ascii="Calibri" w:hAnsi="Calibri" w:cs="Calibri"/>
                <w:color w:val="002B45"/>
              </w:rPr>
            </w:pPr>
            <w:r w:rsidRPr="00ED6868">
              <w:rPr>
                <w:rFonts w:ascii="Calibri" w:hAnsi="Calibri" w:cs="Calibri"/>
                <w:color w:val="002B45"/>
              </w:rPr>
              <w:t>Unallocated corporate expenses</w:t>
            </w:r>
          </w:p>
        </w:tc>
        <w:tc>
          <w:tcPr>
            <w:tcW w:w="1134" w:type="dxa"/>
            <w:tcBorders>
              <w:bottom w:val="single" w:sz="4" w:space="0" w:color="999999"/>
            </w:tcBorders>
            <w:shd w:val="clear" w:color="auto" w:fill="E6E6E6"/>
            <w:vAlign w:val="center"/>
          </w:tcPr>
          <w:p w:rsidR="00871692" w:rsidRPr="00073D2B" w:rsidRDefault="00871692" w:rsidP="00EA138B">
            <w:pPr>
              <w:jc w:val="right"/>
              <w:rPr>
                <w:rFonts w:ascii="Calibri" w:hAnsi="Calibri" w:cs="Calibri"/>
                <w:color w:val="002B45"/>
                <w:lang w:val="en-US"/>
              </w:rPr>
            </w:pPr>
          </w:p>
        </w:tc>
        <w:tc>
          <w:tcPr>
            <w:tcW w:w="992" w:type="dxa"/>
            <w:tcBorders>
              <w:bottom w:val="single" w:sz="4" w:space="0" w:color="999999"/>
            </w:tcBorders>
            <w:shd w:val="clear" w:color="auto" w:fill="E6E6E6"/>
            <w:vAlign w:val="center"/>
          </w:tcPr>
          <w:p w:rsidR="00871692" w:rsidRPr="00073D2B" w:rsidRDefault="00871692" w:rsidP="00EA138B">
            <w:pPr>
              <w:jc w:val="right"/>
              <w:rPr>
                <w:rFonts w:ascii="Calibri" w:hAnsi="Calibri" w:cs="Calibri"/>
                <w:color w:val="002B45"/>
                <w:lang w:val="en-US"/>
              </w:rPr>
            </w:pPr>
          </w:p>
        </w:tc>
        <w:tc>
          <w:tcPr>
            <w:tcW w:w="1276" w:type="dxa"/>
            <w:tcBorders>
              <w:bottom w:val="single" w:sz="4" w:space="0" w:color="999999"/>
            </w:tcBorders>
            <w:shd w:val="clear" w:color="auto" w:fill="E6E6E6"/>
            <w:vAlign w:val="center"/>
          </w:tcPr>
          <w:p w:rsidR="00871692" w:rsidRPr="00073D2B" w:rsidRDefault="00871692" w:rsidP="00EA138B">
            <w:pPr>
              <w:jc w:val="right"/>
              <w:rPr>
                <w:rFonts w:ascii="Calibri" w:hAnsi="Calibri" w:cs="Calibri"/>
                <w:color w:val="002B45"/>
                <w:lang w:val="en-US"/>
              </w:rPr>
            </w:pPr>
          </w:p>
        </w:tc>
        <w:tc>
          <w:tcPr>
            <w:tcW w:w="992" w:type="dxa"/>
            <w:tcBorders>
              <w:bottom w:val="single" w:sz="4" w:space="0" w:color="999999"/>
            </w:tcBorders>
            <w:shd w:val="clear" w:color="auto" w:fill="E6E6E6"/>
            <w:vAlign w:val="center"/>
          </w:tcPr>
          <w:p w:rsidR="00871692" w:rsidRPr="00073D2B" w:rsidRDefault="00871692" w:rsidP="00EA138B">
            <w:pPr>
              <w:jc w:val="right"/>
              <w:rPr>
                <w:rFonts w:ascii="Calibri" w:hAnsi="Calibri" w:cs="Calibri"/>
                <w:color w:val="002B45"/>
                <w:lang w:val="en-US"/>
              </w:rPr>
            </w:pPr>
          </w:p>
        </w:tc>
        <w:tc>
          <w:tcPr>
            <w:tcW w:w="851" w:type="dxa"/>
            <w:tcBorders>
              <w:bottom w:val="single" w:sz="4" w:space="0" w:color="999999"/>
            </w:tcBorders>
            <w:shd w:val="clear" w:color="auto" w:fill="E6E6E6"/>
            <w:vAlign w:val="center"/>
          </w:tcPr>
          <w:p w:rsidR="00871692" w:rsidRPr="00073D2B" w:rsidRDefault="00871692" w:rsidP="00EA138B">
            <w:pPr>
              <w:jc w:val="right"/>
              <w:rPr>
                <w:rFonts w:ascii="Calibri" w:hAnsi="Calibri" w:cs="Calibri"/>
                <w:color w:val="002B45"/>
                <w:lang w:val="en-US"/>
              </w:rPr>
            </w:pPr>
            <w:r w:rsidRPr="00073D2B">
              <w:rPr>
                <w:rFonts w:ascii="Calibri" w:hAnsi="Calibri" w:cs="Calibri"/>
                <w:color w:val="002B45"/>
                <w:lang w:val="en-US"/>
              </w:rPr>
              <w:t>(218.5)</w:t>
            </w:r>
          </w:p>
        </w:tc>
      </w:tr>
      <w:tr w:rsidR="00871692" w:rsidTr="004F290B">
        <w:trPr>
          <w:trHeight w:val="340"/>
        </w:trPr>
        <w:tc>
          <w:tcPr>
            <w:tcW w:w="4253" w:type="dxa"/>
            <w:tcBorders>
              <w:top w:val="single" w:sz="4" w:space="0" w:color="999999"/>
            </w:tcBorders>
            <w:vAlign w:val="center"/>
          </w:tcPr>
          <w:p w:rsidR="00871692" w:rsidRPr="00ED6868" w:rsidRDefault="00871692" w:rsidP="00EA138B">
            <w:pPr>
              <w:pStyle w:val="Tabletext0"/>
              <w:ind w:right="85"/>
              <w:rPr>
                <w:rFonts w:ascii="Calibri" w:hAnsi="Calibri" w:cs="Calibri"/>
                <w:color w:val="002B45"/>
              </w:rPr>
            </w:pPr>
            <w:r w:rsidRPr="00ED6868">
              <w:rPr>
                <w:rFonts w:ascii="Calibri" w:hAnsi="Calibri" w:cs="Calibri"/>
                <w:color w:val="002B45"/>
              </w:rPr>
              <w:t>Operating profit</w:t>
            </w:r>
          </w:p>
        </w:tc>
        <w:tc>
          <w:tcPr>
            <w:tcW w:w="1134" w:type="dxa"/>
            <w:tcBorders>
              <w:top w:val="single" w:sz="4" w:space="0" w:color="999999"/>
            </w:tcBorders>
            <w:shd w:val="clear" w:color="auto" w:fill="E6E6E6"/>
            <w:vAlign w:val="center"/>
          </w:tcPr>
          <w:p w:rsidR="00871692" w:rsidRPr="00073D2B" w:rsidRDefault="00871692" w:rsidP="00EA138B">
            <w:pPr>
              <w:jc w:val="right"/>
              <w:rPr>
                <w:rFonts w:ascii="Calibri" w:hAnsi="Calibri" w:cs="Calibri"/>
                <w:color w:val="002B45"/>
                <w:lang w:val="en-US"/>
              </w:rPr>
            </w:pPr>
          </w:p>
        </w:tc>
        <w:tc>
          <w:tcPr>
            <w:tcW w:w="992" w:type="dxa"/>
            <w:tcBorders>
              <w:top w:val="single" w:sz="4" w:space="0" w:color="999999"/>
            </w:tcBorders>
            <w:shd w:val="clear" w:color="auto" w:fill="E6E6E6"/>
            <w:vAlign w:val="center"/>
          </w:tcPr>
          <w:p w:rsidR="00871692" w:rsidRPr="00073D2B" w:rsidRDefault="00871692" w:rsidP="00EA138B">
            <w:pPr>
              <w:jc w:val="right"/>
              <w:rPr>
                <w:rFonts w:ascii="Calibri" w:hAnsi="Calibri" w:cs="Calibri"/>
                <w:color w:val="002B45"/>
                <w:lang w:val="en-US"/>
              </w:rPr>
            </w:pPr>
          </w:p>
        </w:tc>
        <w:tc>
          <w:tcPr>
            <w:tcW w:w="1276" w:type="dxa"/>
            <w:tcBorders>
              <w:top w:val="single" w:sz="4" w:space="0" w:color="999999"/>
            </w:tcBorders>
            <w:shd w:val="clear" w:color="auto" w:fill="E6E6E6"/>
            <w:vAlign w:val="center"/>
          </w:tcPr>
          <w:p w:rsidR="00871692" w:rsidRPr="00073D2B" w:rsidRDefault="00871692" w:rsidP="00EA138B">
            <w:pPr>
              <w:jc w:val="right"/>
              <w:rPr>
                <w:rFonts w:ascii="Calibri" w:hAnsi="Calibri" w:cs="Calibri"/>
                <w:color w:val="002B45"/>
                <w:lang w:val="en-US"/>
              </w:rPr>
            </w:pPr>
          </w:p>
        </w:tc>
        <w:tc>
          <w:tcPr>
            <w:tcW w:w="992" w:type="dxa"/>
            <w:tcBorders>
              <w:top w:val="single" w:sz="4" w:space="0" w:color="999999"/>
            </w:tcBorders>
            <w:shd w:val="clear" w:color="auto" w:fill="E6E6E6"/>
            <w:vAlign w:val="center"/>
          </w:tcPr>
          <w:p w:rsidR="00871692" w:rsidRPr="00073D2B" w:rsidRDefault="00871692" w:rsidP="00EA138B">
            <w:pPr>
              <w:jc w:val="right"/>
              <w:rPr>
                <w:rFonts w:ascii="Calibri" w:hAnsi="Calibri" w:cs="Calibri"/>
                <w:color w:val="002B45"/>
                <w:lang w:val="en-US"/>
              </w:rPr>
            </w:pPr>
          </w:p>
        </w:tc>
        <w:tc>
          <w:tcPr>
            <w:tcW w:w="851" w:type="dxa"/>
            <w:tcBorders>
              <w:top w:val="single" w:sz="4" w:space="0" w:color="999999"/>
            </w:tcBorders>
            <w:shd w:val="clear" w:color="auto" w:fill="E6E6E6"/>
            <w:vAlign w:val="center"/>
          </w:tcPr>
          <w:p w:rsidR="00871692" w:rsidRPr="00073D2B" w:rsidRDefault="00871692" w:rsidP="00263A06">
            <w:pPr>
              <w:jc w:val="right"/>
              <w:rPr>
                <w:rFonts w:ascii="Calibri" w:hAnsi="Calibri" w:cs="Calibri"/>
                <w:color w:val="002B45"/>
                <w:lang w:val="en-US"/>
              </w:rPr>
            </w:pPr>
            <w:r w:rsidRPr="00073D2B">
              <w:rPr>
                <w:rFonts w:ascii="Calibri" w:hAnsi="Calibri" w:cs="Calibri"/>
                <w:color w:val="002B45"/>
                <w:lang w:val="en-US"/>
              </w:rPr>
              <w:t xml:space="preserve"> 3</w:t>
            </w:r>
            <w:r w:rsidR="00263A06">
              <w:rPr>
                <w:rFonts w:ascii="Calibri" w:hAnsi="Calibri" w:cs="Calibri"/>
                <w:color w:val="002B45"/>
                <w:lang w:val="en-US"/>
              </w:rPr>
              <w:t>8</w:t>
            </w:r>
            <w:r w:rsidRPr="00073D2B">
              <w:rPr>
                <w:rFonts w:ascii="Calibri" w:hAnsi="Calibri" w:cs="Calibri"/>
                <w:color w:val="002B45"/>
                <w:lang w:val="en-US"/>
              </w:rPr>
              <w:t xml:space="preserve">0.8 </w:t>
            </w:r>
          </w:p>
        </w:tc>
      </w:tr>
      <w:tr w:rsidR="00871692" w:rsidRPr="00D35AF8" w:rsidTr="004F290B">
        <w:trPr>
          <w:trHeight w:val="340"/>
        </w:trPr>
        <w:tc>
          <w:tcPr>
            <w:tcW w:w="4253" w:type="dxa"/>
            <w:vAlign w:val="center"/>
          </w:tcPr>
          <w:p w:rsidR="00871692" w:rsidRPr="00ED6868" w:rsidRDefault="00871692" w:rsidP="00EA138B">
            <w:pPr>
              <w:pStyle w:val="Tabletext0"/>
              <w:ind w:right="85"/>
              <w:rPr>
                <w:rFonts w:ascii="Calibri" w:hAnsi="Calibri" w:cs="Calibri"/>
                <w:color w:val="002B45"/>
              </w:rPr>
            </w:pPr>
            <w:r w:rsidRPr="00ED6868">
              <w:rPr>
                <w:rFonts w:ascii="Calibri" w:hAnsi="Calibri" w:cs="Calibri"/>
                <w:color w:val="002B45"/>
              </w:rPr>
              <w:t>Loss on hedging instruments</w:t>
            </w:r>
          </w:p>
        </w:tc>
        <w:tc>
          <w:tcPr>
            <w:tcW w:w="1134" w:type="dxa"/>
            <w:shd w:val="clear" w:color="auto" w:fill="E6E6E6"/>
            <w:vAlign w:val="center"/>
          </w:tcPr>
          <w:p w:rsidR="00871692" w:rsidRPr="00073D2B" w:rsidRDefault="00871692" w:rsidP="00EA138B">
            <w:pPr>
              <w:jc w:val="right"/>
              <w:rPr>
                <w:rFonts w:ascii="Calibri" w:hAnsi="Calibri" w:cs="Calibri"/>
                <w:color w:val="002B45"/>
                <w:lang w:val="en-US"/>
              </w:rPr>
            </w:pPr>
          </w:p>
        </w:tc>
        <w:tc>
          <w:tcPr>
            <w:tcW w:w="992" w:type="dxa"/>
            <w:shd w:val="clear" w:color="auto" w:fill="E6E6E6"/>
            <w:vAlign w:val="center"/>
          </w:tcPr>
          <w:p w:rsidR="00871692" w:rsidRPr="00073D2B" w:rsidRDefault="00871692" w:rsidP="00EA138B">
            <w:pPr>
              <w:jc w:val="right"/>
              <w:rPr>
                <w:rFonts w:ascii="Calibri" w:hAnsi="Calibri" w:cs="Calibri"/>
                <w:color w:val="002B45"/>
                <w:lang w:val="en-US"/>
              </w:rPr>
            </w:pPr>
          </w:p>
        </w:tc>
        <w:tc>
          <w:tcPr>
            <w:tcW w:w="1276" w:type="dxa"/>
            <w:shd w:val="clear" w:color="auto" w:fill="E6E6E6"/>
            <w:vAlign w:val="center"/>
          </w:tcPr>
          <w:p w:rsidR="00871692" w:rsidRPr="00073D2B" w:rsidRDefault="00871692" w:rsidP="00EA138B">
            <w:pPr>
              <w:jc w:val="right"/>
              <w:rPr>
                <w:rFonts w:ascii="Calibri" w:hAnsi="Calibri" w:cs="Calibri"/>
                <w:color w:val="002B45"/>
                <w:lang w:val="en-US"/>
              </w:rPr>
            </w:pPr>
          </w:p>
        </w:tc>
        <w:tc>
          <w:tcPr>
            <w:tcW w:w="992" w:type="dxa"/>
            <w:shd w:val="clear" w:color="auto" w:fill="E6E6E6"/>
            <w:vAlign w:val="center"/>
          </w:tcPr>
          <w:p w:rsidR="00871692" w:rsidRPr="00073D2B" w:rsidRDefault="00871692" w:rsidP="00EA138B">
            <w:pPr>
              <w:jc w:val="right"/>
              <w:rPr>
                <w:rFonts w:ascii="Calibri" w:hAnsi="Calibri" w:cs="Calibri"/>
                <w:color w:val="002B45"/>
                <w:lang w:val="en-US"/>
              </w:rPr>
            </w:pPr>
          </w:p>
        </w:tc>
        <w:tc>
          <w:tcPr>
            <w:tcW w:w="851" w:type="dxa"/>
            <w:shd w:val="clear" w:color="auto" w:fill="E6E6E6"/>
            <w:vAlign w:val="center"/>
          </w:tcPr>
          <w:p w:rsidR="00871692" w:rsidRPr="00073D2B" w:rsidRDefault="00871692" w:rsidP="00EA138B">
            <w:pPr>
              <w:jc w:val="right"/>
              <w:rPr>
                <w:rFonts w:ascii="Calibri" w:hAnsi="Calibri" w:cs="Calibri"/>
                <w:color w:val="002B45"/>
                <w:lang w:val="en-US"/>
              </w:rPr>
            </w:pPr>
            <w:r w:rsidRPr="00073D2B">
              <w:rPr>
                <w:rFonts w:ascii="Calibri" w:hAnsi="Calibri" w:cs="Calibri"/>
                <w:color w:val="002B45"/>
                <w:lang w:val="en-US"/>
              </w:rPr>
              <w:t>(19.7)</w:t>
            </w:r>
          </w:p>
        </w:tc>
      </w:tr>
      <w:tr w:rsidR="00871692" w:rsidRPr="00D35AF8" w:rsidTr="004F290B">
        <w:trPr>
          <w:trHeight w:val="340"/>
        </w:trPr>
        <w:tc>
          <w:tcPr>
            <w:tcW w:w="4253" w:type="dxa"/>
            <w:vAlign w:val="center"/>
          </w:tcPr>
          <w:p w:rsidR="00871692" w:rsidRPr="00ED6868" w:rsidRDefault="00871692" w:rsidP="00EA138B">
            <w:pPr>
              <w:pStyle w:val="Tabletext0"/>
              <w:ind w:right="85"/>
              <w:rPr>
                <w:rFonts w:ascii="Calibri" w:hAnsi="Calibri" w:cs="Calibri"/>
                <w:color w:val="002B45"/>
              </w:rPr>
            </w:pPr>
            <w:r w:rsidRPr="00ED6868">
              <w:rPr>
                <w:rFonts w:ascii="Calibri" w:hAnsi="Calibri" w:cs="Calibri"/>
                <w:color w:val="002B45"/>
              </w:rPr>
              <w:t>Finance revenue</w:t>
            </w:r>
          </w:p>
        </w:tc>
        <w:tc>
          <w:tcPr>
            <w:tcW w:w="1134" w:type="dxa"/>
            <w:shd w:val="clear" w:color="auto" w:fill="E6E6E6"/>
            <w:vAlign w:val="center"/>
          </w:tcPr>
          <w:p w:rsidR="00871692" w:rsidRPr="00073D2B" w:rsidRDefault="00871692" w:rsidP="00EA138B">
            <w:pPr>
              <w:jc w:val="right"/>
              <w:rPr>
                <w:rFonts w:ascii="Calibri" w:hAnsi="Calibri" w:cs="Calibri"/>
                <w:color w:val="002B45"/>
                <w:lang w:val="en-US"/>
              </w:rPr>
            </w:pPr>
          </w:p>
        </w:tc>
        <w:tc>
          <w:tcPr>
            <w:tcW w:w="992" w:type="dxa"/>
            <w:shd w:val="clear" w:color="auto" w:fill="E6E6E6"/>
            <w:vAlign w:val="center"/>
          </w:tcPr>
          <w:p w:rsidR="00871692" w:rsidRPr="00073D2B" w:rsidRDefault="00871692" w:rsidP="00EA138B">
            <w:pPr>
              <w:jc w:val="right"/>
              <w:rPr>
                <w:rFonts w:ascii="Calibri" w:hAnsi="Calibri" w:cs="Calibri"/>
                <w:color w:val="002B45"/>
                <w:lang w:val="en-US"/>
              </w:rPr>
            </w:pPr>
          </w:p>
        </w:tc>
        <w:tc>
          <w:tcPr>
            <w:tcW w:w="1276" w:type="dxa"/>
            <w:shd w:val="clear" w:color="auto" w:fill="E6E6E6"/>
            <w:vAlign w:val="center"/>
          </w:tcPr>
          <w:p w:rsidR="00871692" w:rsidRPr="00073D2B" w:rsidRDefault="00871692" w:rsidP="00EA138B">
            <w:pPr>
              <w:jc w:val="right"/>
              <w:rPr>
                <w:rFonts w:ascii="Calibri" w:hAnsi="Calibri" w:cs="Calibri"/>
                <w:color w:val="002B45"/>
                <w:lang w:val="en-US"/>
              </w:rPr>
            </w:pPr>
          </w:p>
        </w:tc>
        <w:tc>
          <w:tcPr>
            <w:tcW w:w="992" w:type="dxa"/>
            <w:shd w:val="clear" w:color="auto" w:fill="E6E6E6"/>
            <w:vAlign w:val="center"/>
          </w:tcPr>
          <w:p w:rsidR="00871692" w:rsidRPr="00073D2B" w:rsidRDefault="00871692" w:rsidP="00EA138B">
            <w:pPr>
              <w:jc w:val="right"/>
              <w:rPr>
                <w:rFonts w:ascii="Calibri" w:hAnsi="Calibri" w:cs="Calibri"/>
                <w:color w:val="002B45"/>
                <w:lang w:val="en-US"/>
              </w:rPr>
            </w:pPr>
          </w:p>
        </w:tc>
        <w:tc>
          <w:tcPr>
            <w:tcW w:w="851" w:type="dxa"/>
            <w:shd w:val="clear" w:color="auto" w:fill="E6E6E6"/>
            <w:vAlign w:val="center"/>
          </w:tcPr>
          <w:p w:rsidR="00871692" w:rsidRPr="00073D2B" w:rsidRDefault="00871692" w:rsidP="00EA138B">
            <w:pPr>
              <w:jc w:val="right"/>
              <w:rPr>
                <w:rFonts w:ascii="Calibri" w:hAnsi="Calibri" w:cs="Calibri"/>
                <w:color w:val="002B45"/>
                <w:lang w:val="en-US"/>
              </w:rPr>
            </w:pPr>
            <w:r w:rsidRPr="00073D2B">
              <w:rPr>
                <w:rFonts w:ascii="Calibri" w:hAnsi="Calibri" w:cs="Calibri"/>
                <w:color w:val="002B45"/>
                <w:lang w:val="en-US"/>
              </w:rPr>
              <w:t xml:space="preserve"> 43.7 </w:t>
            </w:r>
          </w:p>
        </w:tc>
      </w:tr>
      <w:tr w:rsidR="00871692" w:rsidRPr="00D35AF8" w:rsidTr="004F290B">
        <w:trPr>
          <w:trHeight w:val="340"/>
        </w:trPr>
        <w:tc>
          <w:tcPr>
            <w:tcW w:w="4253" w:type="dxa"/>
            <w:vAlign w:val="center"/>
          </w:tcPr>
          <w:p w:rsidR="00871692" w:rsidRPr="00ED6868" w:rsidRDefault="00871692" w:rsidP="00EA138B">
            <w:pPr>
              <w:pStyle w:val="Tabletext0"/>
              <w:ind w:right="85"/>
              <w:rPr>
                <w:rFonts w:ascii="Calibri" w:hAnsi="Calibri" w:cs="Calibri"/>
                <w:color w:val="002B45"/>
              </w:rPr>
            </w:pPr>
            <w:r w:rsidRPr="00ED6868">
              <w:rPr>
                <w:rFonts w:ascii="Calibri" w:hAnsi="Calibri" w:cs="Calibri"/>
                <w:color w:val="002B45"/>
              </w:rPr>
              <w:t>Finance costs</w:t>
            </w:r>
          </w:p>
        </w:tc>
        <w:tc>
          <w:tcPr>
            <w:tcW w:w="1134" w:type="dxa"/>
            <w:shd w:val="clear" w:color="auto" w:fill="E6E6E6"/>
            <w:vAlign w:val="center"/>
          </w:tcPr>
          <w:p w:rsidR="00871692" w:rsidRPr="00073D2B" w:rsidRDefault="00871692" w:rsidP="00EA138B">
            <w:pPr>
              <w:jc w:val="right"/>
              <w:rPr>
                <w:rFonts w:ascii="Calibri" w:hAnsi="Calibri" w:cs="Calibri"/>
                <w:color w:val="002B45"/>
                <w:lang w:val="en-US"/>
              </w:rPr>
            </w:pPr>
          </w:p>
        </w:tc>
        <w:tc>
          <w:tcPr>
            <w:tcW w:w="992" w:type="dxa"/>
            <w:shd w:val="clear" w:color="auto" w:fill="E6E6E6"/>
            <w:vAlign w:val="center"/>
          </w:tcPr>
          <w:p w:rsidR="00871692" w:rsidRPr="00073D2B" w:rsidRDefault="00871692" w:rsidP="00EA138B">
            <w:pPr>
              <w:jc w:val="right"/>
              <w:rPr>
                <w:rFonts w:ascii="Calibri" w:hAnsi="Calibri" w:cs="Calibri"/>
                <w:color w:val="002B45"/>
                <w:lang w:val="en-US"/>
              </w:rPr>
            </w:pPr>
          </w:p>
        </w:tc>
        <w:tc>
          <w:tcPr>
            <w:tcW w:w="1276" w:type="dxa"/>
            <w:shd w:val="clear" w:color="auto" w:fill="E6E6E6"/>
            <w:vAlign w:val="center"/>
          </w:tcPr>
          <w:p w:rsidR="00871692" w:rsidRPr="00073D2B" w:rsidRDefault="00871692" w:rsidP="00EA138B">
            <w:pPr>
              <w:jc w:val="right"/>
              <w:rPr>
                <w:rFonts w:ascii="Calibri" w:hAnsi="Calibri" w:cs="Calibri"/>
                <w:color w:val="002B45"/>
                <w:lang w:val="en-US"/>
              </w:rPr>
            </w:pPr>
          </w:p>
        </w:tc>
        <w:tc>
          <w:tcPr>
            <w:tcW w:w="992" w:type="dxa"/>
            <w:shd w:val="clear" w:color="auto" w:fill="E6E6E6"/>
            <w:vAlign w:val="center"/>
          </w:tcPr>
          <w:p w:rsidR="00871692" w:rsidRPr="00073D2B" w:rsidRDefault="00871692" w:rsidP="00EA138B">
            <w:pPr>
              <w:jc w:val="right"/>
              <w:rPr>
                <w:rFonts w:ascii="Calibri" w:hAnsi="Calibri" w:cs="Calibri"/>
                <w:color w:val="002B45"/>
                <w:lang w:val="en-US"/>
              </w:rPr>
            </w:pPr>
          </w:p>
        </w:tc>
        <w:tc>
          <w:tcPr>
            <w:tcW w:w="851" w:type="dxa"/>
            <w:shd w:val="clear" w:color="auto" w:fill="E6E6E6"/>
            <w:vAlign w:val="center"/>
          </w:tcPr>
          <w:p w:rsidR="00871692" w:rsidRPr="00073D2B" w:rsidRDefault="00871692" w:rsidP="00EA138B">
            <w:pPr>
              <w:jc w:val="right"/>
              <w:rPr>
                <w:rFonts w:ascii="Calibri" w:hAnsi="Calibri" w:cs="Calibri"/>
                <w:color w:val="002B45"/>
                <w:lang w:val="en-US"/>
              </w:rPr>
            </w:pPr>
            <w:r w:rsidRPr="00073D2B">
              <w:rPr>
                <w:rFonts w:ascii="Calibri" w:hAnsi="Calibri" w:cs="Calibri"/>
                <w:color w:val="002B45"/>
                <w:lang w:val="en-US"/>
              </w:rPr>
              <w:t>(91.6)</w:t>
            </w:r>
          </w:p>
        </w:tc>
      </w:tr>
      <w:tr w:rsidR="00871692" w:rsidTr="004F290B">
        <w:trPr>
          <w:trHeight w:val="340"/>
        </w:trPr>
        <w:tc>
          <w:tcPr>
            <w:tcW w:w="4253" w:type="dxa"/>
            <w:tcBorders>
              <w:top w:val="single" w:sz="4" w:space="0" w:color="999999"/>
            </w:tcBorders>
            <w:vAlign w:val="center"/>
          </w:tcPr>
          <w:p w:rsidR="00871692" w:rsidRPr="00ED6868" w:rsidRDefault="00871692" w:rsidP="00EA138B">
            <w:pPr>
              <w:pStyle w:val="Tabletext0"/>
              <w:ind w:right="85"/>
              <w:rPr>
                <w:rFonts w:ascii="Calibri" w:hAnsi="Calibri" w:cs="Calibri"/>
                <w:color w:val="002B45"/>
              </w:rPr>
            </w:pPr>
            <w:r w:rsidRPr="00ED6868">
              <w:rPr>
                <w:rFonts w:ascii="Calibri" w:hAnsi="Calibri" w:cs="Calibri"/>
                <w:color w:val="002B45"/>
              </w:rPr>
              <w:t>Profit before tax</w:t>
            </w:r>
          </w:p>
        </w:tc>
        <w:tc>
          <w:tcPr>
            <w:tcW w:w="1134" w:type="dxa"/>
            <w:tcBorders>
              <w:top w:val="single" w:sz="4" w:space="0" w:color="999999"/>
            </w:tcBorders>
            <w:shd w:val="clear" w:color="auto" w:fill="E6E6E6"/>
            <w:vAlign w:val="center"/>
          </w:tcPr>
          <w:p w:rsidR="00871692" w:rsidRPr="00073D2B" w:rsidRDefault="00871692" w:rsidP="00EA138B">
            <w:pPr>
              <w:jc w:val="right"/>
              <w:rPr>
                <w:rFonts w:ascii="Calibri" w:hAnsi="Calibri" w:cs="Calibri"/>
                <w:color w:val="002B45"/>
                <w:lang w:val="en-US"/>
              </w:rPr>
            </w:pPr>
          </w:p>
        </w:tc>
        <w:tc>
          <w:tcPr>
            <w:tcW w:w="992" w:type="dxa"/>
            <w:tcBorders>
              <w:top w:val="single" w:sz="4" w:space="0" w:color="999999"/>
            </w:tcBorders>
            <w:shd w:val="clear" w:color="auto" w:fill="E6E6E6"/>
            <w:vAlign w:val="center"/>
          </w:tcPr>
          <w:p w:rsidR="00871692" w:rsidRPr="00073D2B" w:rsidRDefault="00871692" w:rsidP="00EA138B">
            <w:pPr>
              <w:jc w:val="right"/>
              <w:rPr>
                <w:rFonts w:ascii="Calibri" w:hAnsi="Calibri" w:cs="Calibri"/>
                <w:color w:val="002B45"/>
                <w:lang w:val="en-US"/>
              </w:rPr>
            </w:pPr>
          </w:p>
        </w:tc>
        <w:tc>
          <w:tcPr>
            <w:tcW w:w="1276" w:type="dxa"/>
            <w:tcBorders>
              <w:top w:val="single" w:sz="4" w:space="0" w:color="999999"/>
            </w:tcBorders>
            <w:shd w:val="clear" w:color="auto" w:fill="E6E6E6"/>
            <w:vAlign w:val="center"/>
          </w:tcPr>
          <w:p w:rsidR="00871692" w:rsidRPr="00073D2B" w:rsidRDefault="00871692" w:rsidP="00EA138B">
            <w:pPr>
              <w:jc w:val="right"/>
              <w:rPr>
                <w:rFonts w:ascii="Calibri" w:hAnsi="Calibri" w:cs="Calibri"/>
                <w:color w:val="002B45"/>
                <w:lang w:val="en-US"/>
              </w:rPr>
            </w:pPr>
          </w:p>
        </w:tc>
        <w:tc>
          <w:tcPr>
            <w:tcW w:w="992" w:type="dxa"/>
            <w:tcBorders>
              <w:top w:val="single" w:sz="4" w:space="0" w:color="999999"/>
            </w:tcBorders>
            <w:shd w:val="clear" w:color="auto" w:fill="E6E6E6"/>
            <w:vAlign w:val="center"/>
          </w:tcPr>
          <w:p w:rsidR="00871692" w:rsidRPr="00073D2B" w:rsidRDefault="00871692" w:rsidP="00EA138B">
            <w:pPr>
              <w:jc w:val="right"/>
              <w:rPr>
                <w:rFonts w:ascii="Calibri" w:hAnsi="Calibri" w:cs="Calibri"/>
                <w:color w:val="002B45"/>
                <w:lang w:val="en-US"/>
              </w:rPr>
            </w:pPr>
          </w:p>
        </w:tc>
        <w:tc>
          <w:tcPr>
            <w:tcW w:w="851" w:type="dxa"/>
            <w:tcBorders>
              <w:top w:val="single" w:sz="4" w:space="0" w:color="999999"/>
            </w:tcBorders>
            <w:shd w:val="clear" w:color="auto" w:fill="E6E6E6"/>
            <w:vAlign w:val="center"/>
          </w:tcPr>
          <w:p w:rsidR="00871692" w:rsidRPr="00073D2B" w:rsidRDefault="00871692" w:rsidP="00EA138B">
            <w:pPr>
              <w:jc w:val="right"/>
              <w:rPr>
                <w:rFonts w:ascii="Calibri" w:hAnsi="Calibri" w:cs="Calibri"/>
                <w:color w:val="002B45"/>
                <w:lang w:val="en-US"/>
              </w:rPr>
            </w:pPr>
            <w:r w:rsidRPr="00073D2B">
              <w:rPr>
                <w:rFonts w:ascii="Calibri" w:hAnsi="Calibri" w:cs="Calibri"/>
                <w:color w:val="002B45"/>
                <w:lang w:val="en-US"/>
              </w:rPr>
              <w:t xml:space="preserve"> 313.2 </w:t>
            </w:r>
          </w:p>
        </w:tc>
      </w:tr>
      <w:tr w:rsidR="00871692" w:rsidTr="004F290B">
        <w:trPr>
          <w:trHeight w:val="340"/>
        </w:trPr>
        <w:tc>
          <w:tcPr>
            <w:tcW w:w="4253" w:type="dxa"/>
            <w:tcBorders>
              <w:bottom w:val="single" w:sz="4" w:space="0" w:color="999999"/>
            </w:tcBorders>
            <w:vAlign w:val="center"/>
          </w:tcPr>
          <w:p w:rsidR="00871692" w:rsidRPr="00ED6868" w:rsidRDefault="00871692" w:rsidP="00EA138B">
            <w:pPr>
              <w:pStyle w:val="Tabletext0"/>
              <w:ind w:right="85"/>
              <w:rPr>
                <w:rFonts w:ascii="Calibri" w:hAnsi="Calibri" w:cs="Calibri"/>
                <w:color w:val="002B45"/>
              </w:rPr>
            </w:pPr>
            <w:r w:rsidRPr="00ED6868">
              <w:rPr>
                <w:rFonts w:ascii="Calibri" w:hAnsi="Calibri" w:cs="Calibri"/>
                <w:color w:val="002B45"/>
              </w:rPr>
              <w:t>Income tax expense</w:t>
            </w:r>
          </w:p>
        </w:tc>
        <w:tc>
          <w:tcPr>
            <w:tcW w:w="1134" w:type="dxa"/>
            <w:tcBorders>
              <w:bottom w:val="single" w:sz="4" w:space="0" w:color="999999"/>
            </w:tcBorders>
            <w:shd w:val="clear" w:color="auto" w:fill="E6E6E6"/>
            <w:vAlign w:val="center"/>
          </w:tcPr>
          <w:p w:rsidR="00871692" w:rsidRPr="00073D2B" w:rsidRDefault="00871692" w:rsidP="00EA138B">
            <w:pPr>
              <w:jc w:val="right"/>
              <w:rPr>
                <w:rFonts w:ascii="Calibri" w:hAnsi="Calibri" w:cs="Calibri"/>
                <w:color w:val="002B45"/>
                <w:lang w:val="en-US"/>
              </w:rPr>
            </w:pPr>
          </w:p>
        </w:tc>
        <w:tc>
          <w:tcPr>
            <w:tcW w:w="992" w:type="dxa"/>
            <w:tcBorders>
              <w:bottom w:val="single" w:sz="4" w:space="0" w:color="999999"/>
            </w:tcBorders>
            <w:shd w:val="clear" w:color="auto" w:fill="E6E6E6"/>
            <w:vAlign w:val="center"/>
          </w:tcPr>
          <w:p w:rsidR="00871692" w:rsidRPr="00073D2B" w:rsidRDefault="00871692" w:rsidP="00EA138B">
            <w:pPr>
              <w:jc w:val="right"/>
              <w:rPr>
                <w:rFonts w:ascii="Calibri" w:hAnsi="Calibri" w:cs="Calibri"/>
                <w:color w:val="002B45"/>
                <w:lang w:val="en-US"/>
              </w:rPr>
            </w:pPr>
          </w:p>
        </w:tc>
        <w:tc>
          <w:tcPr>
            <w:tcW w:w="1276" w:type="dxa"/>
            <w:tcBorders>
              <w:bottom w:val="single" w:sz="4" w:space="0" w:color="999999"/>
            </w:tcBorders>
            <w:shd w:val="clear" w:color="auto" w:fill="E6E6E6"/>
            <w:vAlign w:val="center"/>
          </w:tcPr>
          <w:p w:rsidR="00871692" w:rsidRPr="00073D2B" w:rsidRDefault="00871692" w:rsidP="00EA138B">
            <w:pPr>
              <w:jc w:val="right"/>
              <w:rPr>
                <w:rFonts w:ascii="Calibri" w:hAnsi="Calibri" w:cs="Calibri"/>
                <w:color w:val="002B45"/>
                <w:lang w:val="en-US"/>
              </w:rPr>
            </w:pPr>
          </w:p>
        </w:tc>
        <w:tc>
          <w:tcPr>
            <w:tcW w:w="992" w:type="dxa"/>
            <w:tcBorders>
              <w:bottom w:val="single" w:sz="4" w:space="0" w:color="999999"/>
            </w:tcBorders>
            <w:shd w:val="clear" w:color="auto" w:fill="E6E6E6"/>
            <w:vAlign w:val="center"/>
          </w:tcPr>
          <w:p w:rsidR="00871692" w:rsidRPr="00073D2B" w:rsidRDefault="00871692" w:rsidP="00EA138B">
            <w:pPr>
              <w:jc w:val="right"/>
              <w:rPr>
                <w:rFonts w:ascii="Calibri" w:hAnsi="Calibri" w:cs="Calibri"/>
                <w:color w:val="002B45"/>
                <w:lang w:val="en-US"/>
              </w:rPr>
            </w:pPr>
          </w:p>
        </w:tc>
        <w:tc>
          <w:tcPr>
            <w:tcW w:w="851" w:type="dxa"/>
            <w:tcBorders>
              <w:bottom w:val="single" w:sz="4" w:space="0" w:color="999999"/>
            </w:tcBorders>
            <w:shd w:val="clear" w:color="auto" w:fill="E6E6E6"/>
            <w:vAlign w:val="center"/>
          </w:tcPr>
          <w:p w:rsidR="00871692" w:rsidRPr="00073D2B" w:rsidRDefault="00871692" w:rsidP="00EA138B">
            <w:pPr>
              <w:jc w:val="right"/>
              <w:rPr>
                <w:rFonts w:ascii="Calibri" w:hAnsi="Calibri" w:cs="Calibri"/>
                <w:color w:val="002B45"/>
                <w:lang w:val="en-US"/>
              </w:rPr>
            </w:pPr>
            <w:r w:rsidRPr="00073D2B">
              <w:rPr>
                <w:rFonts w:ascii="Calibri" w:hAnsi="Calibri" w:cs="Calibri"/>
                <w:color w:val="002B45"/>
                <w:lang w:val="en-US"/>
              </w:rPr>
              <w:t>(97.1)</w:t>
            </w:r>
          </w:p>
        </w:tc>
      </w:tr>
      <w:tr w:rsidR="00871692" w:rsidTr="004F290B">
        <w:trPr>
          <w:trHeight w:val="340"/>
        </w:trPr>
        <w:tc>
          <w:tcPr>
            <w:tcW w:w="4253" w:type="dxa"/>
            <w:tcBorders>
              <w:top w:val="single" w:sz="4" w:space="0" w:color="999999"/>
              <w:bottom w:val="single" w:sz="4" w:space="0" w:color="999999"/>
            </w:tcBorders>
            <w:vAlign w:val="center"/>
          </w:tcPr>
          <w:p w:rsidR="00871692" w:rsidRPr="00ED6868" w:rsidRDefault="00871692" w:rsidP="00EA138B">
            <w:pPr>
              <w:pStyle w:val="Tabletext0"/>
              <w:ind w:right="85"/>
              <w:rPr>
                <w:rFonts w:ascii="Calibri" w:hAnsi="Calibri" w:cs="Calibri"/>
                <w:color w:val="002B45"/>
              </w:rPr>
            </w:pPr>
            <w:r w:rsidRPr="00ED6868">
              <w:rPr>
                <w:rFonts w:ascii="Calibri" w:hAnsi="Calibri" w:cs="Calibri"/>
                <w:color w:val="002B45"/>
              </w:rPr>
              <w:t>Profit after tax</w:t>
            </w:r>
          </w:p>
        </w:tc>
        <w:tc>
          <w:tcPr>
            <w:tcW w:w="1134" w:type="dxa"/>
            <w:tcBorders>
              <w:top w:val="single" w:sz="4" w:space="0" w:color="999999"/>
              <w:bottom w:val="single" w:sz="4" w:space="0" w:color="999999"/>
            </w:tcBorders>
            <w:shd w:val="clear" w:color="auto" w:fill="E6E6E6"/>
            <w:vAlign w:val="center"/>
          </w:tcPr>
          <w:p w:rsidR="00871692" w:rsidRPr="00073D2B" w:rsidRDefault="00871692" w:rsidP="00EA138B">
            <w:pPr>
              <w:jc w:val="right"/>
              <w:rPr>
                <w:rFonts w:ascii="Calibri" w:hAnsi="Calibri" w:cs="Calibri"/>
                <w:color w:val="002B45"/>
                <w:lang w:val="en-US"/>
              </w:rPr>
            </w:pPr>
          </w:p>
        </w:tc>
        <w:tc>
          <w:tcPr>
            <w:tcW w:w="992" w:type="dxa"/>
            <w:tcBorders>
              <w:top w:val="single" w:sz="4" w:space="0" w:color="999999"/>
              <w:bottom w:val="single" w:sz="4" w:space="0" w:color="999999"/>
            </w:tcBorders>
            <w:shd w:val="clear" w:color="auto" w:fill="E6E6E6"/>
            <w:vAlign w:val="center"/>
          </w:tcPr>
          <w:p w:rsidR="00871692" w:rsidRPr="00073D2B" w:rsidRDefault="00871692" w:rsidP="00EA138B">
            <w:pPr>
              <w:jc w:val="right"/>
              <w:rPr>
                <w:rFonts w:ascii="Calibri" w:hAnsi="Calibri" w:cs="Calibri"/>
                <w:color w:val="002B45"/>
                <w:lang w:val="en-US"/>
              </w:rPr>
            </w:pPr>
          </w:p>
        </w:tc>
        <w:tc>
          <w:tcPr>
            <w:tcW w:w="1276" w:type="dxa"/>
            <w:tcBorders>
              <w:top w:val="single" w:sz="4" w:space="0" w:color="999999"/>
              <w:bottom w:val="single" w:sz="4" w:space="0" w:color="999999"/>
            </w:tcBorders>
            <w:shd w:val="clear" w:color="auto" w:fill="E6E6E6"/>
            <w:vAlign w:val="center"/>
          </w:tcPr>
          <w:p w:rsidR="00871692" w:rsidRPr="00073D2B" w:rsidRDefault="00871692" w:rsidP="00EA138B">
            <w:pPr>
              <w:jc w:val="right"/>
              <w:rPr>
                <w:rFonts w:ascii="Calibri" w:hAnsi="Calibri" w:cs="Calibri"/>
                <w:color w:val="002B45"/>
                <w:lang w:val="en-US"/>
              </w:rPr>
            </w:pPr>
          </w:p>
        </w:tc>
        <w:tc>
          <w:tcPr>
            <w:tcW w:w="992" w:type="dxa"/>
            <w:tcBorders>
              <w:top w:val="single" w:sz="4" w:space="0" w:color="999999"/>
              <w:bottom w:val="single" w:sz="4" w:space="0" w:color="999999"/>
            </w:tcBorders>
            <w:shd w:val="clear" w:color="auto" w:fill="E6E6E6"/>
            <w:vAlign w:val="center"/>
          </w:tcPr>
          <w:p w:rsidR="00871692" w:rsidRPr="00073D2B" w:rsidRDefault="00871692" w:rsidP="00EA138B">
            <w:pPr>
              <w:jc w:val="right"/>
              <w:rPr>
                <w:rFonts w:ascii="Calibri" w:hAnsi="Calibri" w:cs="Calibri"/>
                <w:color w:val="002B45"/>
                <w:lang w:val="en-US"/>
              </w:rPr>
            </w:pPr>
          </w:p>
        </w:tc>
        <w:tc>
          <w:tcPr>
            <w:tcW w:w="851" w:type="dxa"/>
            <w:tcBorders>
              <w:top w:val="single" w:sz="4" w:space="0" w:color="999999"/>
              <w:bottom w:val="single" w:sz="4" w:space="0" w:color="999999"/>
            </w:tcBorders>
            <w:shd w:val="clear" w:color="auto" w:fill="E6E6E6"/>
            <w:vAlign w:val="center"/>
          </w:tcPr>
          <w:p w:rsidR="00871692" w:rsidRPr="00073D2B" w:rsidRDefault="00871692" w:rsidP="00EA138B">
            <w:pPr>
              <w:jc w:val="right"/>
              <w:rPr>
                <w:rFonts w:ascii="Calibri" w:hAnsi="Calibri" w:cs="Calibri"/>
                <w:color w:val="002B45"/>
                <w:lang w:val="en-US"/>
              </w:rPr>
            </w:pPr>
            <w:r w:rsidRPr="00073D2B">
              <w:rPr>
                <w:rFonts w:ascii="Calibri" w:hAnsi="Calibri" w:cs="Calibri"/>
                <w:color w:val="002B45"/>
                <w:lang w:val="en-US"/>
              </w:rPr>
              <w:t xml:space="preserve"> 216.1 </w:t>
            </w:r>
          </w:p>
        </w:tc>
      </w:tr>
      <w:tr w:rsidR="00871692" w:rsidTr="004F290B">
        <w:trPr>
          <w:trHeight w:val="340"/>
        </w:trPr>
        <w:tc>
          <w:tcPr>
            <w:tcW w:w="4253" w:type="dxa"/>
            <w:tcBorders>
              <w:top w:val="single" w:sz="4" w:space="0" w:color="999999"/>
              <w:bottom w:val="single" w:sz="4" w:space="0" w:color="999999"/>
            </w:tcBorders>
            <w:vAlign w:val="center"/>
          </w:tcPr>
          <w:p w:rsidR="00871692" w:rsidRPr="00ED6868" w:rsidRDefault="00871692" w:rsidP="00EA138B">
            <w:pPr>
              <w:pStyle w:val="Tabletext0"/>
              <w:ind w:right="85"/>
              <w:rPr>
                <w:rFonts w:ascii="Calibri" w:hAnsi="Calibri" w:cs="Calibri"/>
                <w:color w:val="002B45"/>
              </w:rPr>
            </w:pPr>
            <w:r w:rsidRPr="00ED6868">
              <w:rPr>
                <w:rFonts w:ascii="Calibri" w:hAnsi="Calibri" w:cs="Calibri"/>
                <w:color w:val="002B45"/>
              </w:rPr>
              <w:t>Total assets</w:t>
            </w:r>
          </w:p>
        </w:tc>
        <w:tc>
          <w:tcPr>
            <w:tcW w:w="1134" w:type="dxa"/>
            <w:tcBorders>
              <w:top w:val="single" w:sz="4" w:space="0" w:color="999999"/>
              <w:bottom w:val="single" w:sz="4" w:space="0" w:color="999999"/>
            </w:tcBorders>
            <w:shd w:val="clear" w:color="auto" w:fill="E6E6E6"/>
            <w:vAlign w:val="center"/>
          </w:tcPr>
          <w:p w:rsidR="00871692" w:rsidRPr="00073D2B" w:rsidRDefault="00871692" w:rsidP="007E10D2">
            <w:pPr>
              <w:jc w:val="right"/>
              <w:rPr>
                <w:rFonts w:ascii="Calibri" w:hAnsi="Calibri" w:cs="Calibri"/>
                <w:color w:val="002B45"/>
                <w:lang w:val="en-US"/>
              </w:rPr>
            </w:pPr>
            <w:r w:rsidRPr="00073D2B">
              <w:rPr>
                <w:rFonts w:ascii="Calibri" w:hAnsi="Calibri" w:cs="Calibri"/>
                <w:color w:val="002B45"/>
                <w:lang w:val="en-US"/>
              </w:rPr>
              <w:t xml:space="preserve"> 5,</w:t>
            </w:r>
            <w:r w:rsidR="007E10D2">
              <w:rPr>
                <w:rFonts w:ascii="Calibri" w:hAnsi="Calibri" w:cs="Calibri"/>
                <w:color w:val="002B45"/>
                <w:lang w:val="en-US"/>
              </w:rPr>
              <w:t>940.4</w:t>
            </w:r>
            <w:r w:rsidRPr="00073D2B">
              <w:rPr>
                <w:rFonts w:ascii="Calibri" w:hAnsi="Calibri" w:cs="Calibri"/>
                <w:color w:val="002B45"/>
                <w:lang w:val="en-US"/>
              </w:rPr>
              <w:t xml:space="preserve"> </w:t>
            </w:r>
          </w:p>
        </w:tc>
        <w:tc>
          <w:tcPr>
            <w:tcW w:w="992" w:type="dxa"/>
            <w:tcBorders>
              <w:top w:val="single" w:sz="4" w:space="0" w:color="999999"/>
              <w:bottom w:val="single" w:sz="4" w:space="0" w:color="999999"/>
            </w:tcBorders>
            <w:shd w:val="clear" w:color="auto" w:fill="E6E6E6"/>
            <w:vAlign w:val="center"/>
          </w:tcPr>
          <w:p w:rsidR="00871692" w:rsidRPr="00073D2B" w:rsidRDefault="00871692" w:rsidP="00EA138B">
            <w:pPr>
              <w:jc w:val="right"/>
              <w:rPr>
                <w:rFonts w:ascii="Calibri" w:hAnsi="Calibri" w:cs="Calibri"/>
                <w:color w:val="002B45"/>
                <w:lang w:val="en-US"/>
              </w:rPr>
            </w:pPr>
            <w:r w:rsidRPr="00073D2B">
              <w:rPr>
                <w:rFonts w:ascii="Calibri" w:hAnsi="Calibri" w:cs="Calibri"/>
                <w:color w:val="002B45"/>
                <w:lang w:val="en-US"/>
              </w:rPr>
              <w:t xml:space="preserve"> 2,173.3 </w:t>
            </w:r>
          </w:p>
        </w:tc>
        <w:tc>
          <w:tcPr>
            <w:tcW w:w="1276" w:type="dxa"/>
            <w:tcBorders>
              <w:top w:val="single" w:sz="4" w:space="0" w:color="999999"/>
              <w:bottom w:val="single" w:sz="4" w:space="0" w:color="999999"/>
            </w:tcBorders>
            <w:shd w:val="clear" w:color="auto" w:fill="E6E6E6"/>
            <w:vAlign w:val="center"/>
          </w:tcPr>
          <w:p w:rsidR="00871692" w:rsidRPr="00073D2B" w:rsidRDefault="00871692" w:rsidP="00EA138B">
            <w:pPr>
              <w:jc w:val="right"/>
              <w:rPr>
                <w:rFonts w:ascii="Calibri" w:hAnsi="Calibri" w:cs="Calibri"/>
                <w:color w:val="002B45"/>
                <w:lang w:val="en-US"/>
              </w:rPr>
            </w:pPr>
            <w:r w:rsidRPr="00073D2B">
              <w:rPr>
                <w:rFonts w:ascii="Calibri" w:hAnsi="Calibri" w:cs="Calibri"/>
                <w:color w:val="002B45"/>
                <w:lang w:val="en-US"/>
              </w:rPr>
              <w:t xml:space="preserve"> 3,212.0 </w:t>
            </w:r>
          </w:p>
        </w:tc>
        <w:tc>
          <w:tcPr>
            <w:tcW w:w="992" w:type="dxa"/>
            <w:tcBorders>
              <w:top w:val="single" w:sz="4" w:space="0" w:color="999999"/>
              <w:bottom w:val="single" w:sz="4" w:space="0" w:color="999999"/>
            </w:tcBorders>
            <w:shd w:val="clear" w:color="auto" w:fill="E6E6E6"/>
            <w:vAlign w:val="center"/>
          </w:tcPr>
          <w:p w:rsidR="00871692" w:rsidRPr="00073D2B" w:rsidRDefault="007E10D2" w:rsidP="007E10D2">
            <w:pPr>
              <w:jc w:val="right"/>
              <w:rPr>
                <w:rFonts w:ascii="Calibri" w:hAnsi="Calibri" w:cs="Calibri"/>
                <w:color w:val="002B45"/>
                <w:lang w:val="en-US"/>
              </w:rPr>
            </w:pPr>
            <w:r>
              <w:rPr>
                <w:rFonts w:ascii="Calibri" w:hAnsi="Calibri" w:cs="Calibri"/>
                <w:color w:val="002B45"/>
                <w:lang w:val="en-US"/>
              </w:rPr>
              <w:t xml:space="preserve"> 182.9</w:t>
            </w:r>
            <w:r w:rsidR="00871692" w:rsidRPr="00073D2B">
              <w:rPr>
                <w:rFonts w:ascii="Calibri" w:hAnsi="Calibri" w:cs="Calibri"/>
                <w:color w:val="002B45"/>
                <w:lang w:val="en-US"/>
              </w:rPr>
              <w:t xml:space="preserve"> </w:t>
            </w:r>
          </w:p>
        </w:tc>
        <w:tc>
          <w:tcPr>
            <w:tcW w:w="851" w:type="dxa"/>
            <w:tcBorders>
              <w:top w:val="single" w:sz="4" w:space="0" w:color="999999"/>
              <w:bottom w:val="single" w:sz="4" w:space="0" w:color="999999"/>
            </w:tcBorders>
            <w:shd w:val="clear" w:color="auto" w:fill="E6E6E6"/>
            <w:vAlign w:val="center"/>
          </w:tcPr>
          <w:p w:rsidR="00871692" w:rsidRPr="00073D2B" w:rsidRDefault="00871692" w:rsidP="007E10D2">
            <w:pPr>
              <w:jc w:val="right"/>
              <w:rPr>
                <w:rFonts w:ascii="Calibri" w:hAnsi="Calibri" w:cs="Calibri"/>
                <w:color w:val="002B45"/>
                <w:lang w:val="en-US"/>
              </w:rPr>
            </w:pPr>
            <w:r w:rsidRPr="00073D2B">
              <w:rPr>
                <w:rFonts w:ascii="Calibri" w:hAnsi="Calibri" w:cs="Calibri"/>
                <w:color w:val="002B45"/>
                <w:lang w:val="en-US"/>
              </w:rPr>
              <w:t xml:space="preserve"> 11,</w:t>
            </w:r>
            <w:r w:rsidR="007E10D2">
              <w:rPr>
                <w:rFonts w:ascii="Calibri" w:hAnsi="Calibri" w:cs="Calibri"/>
                <w:color w:val="002B45"/>
                <w:lang w:val="en-US"/>
              </w:rPr>
              <w:t>508.6</w:t>
            </w:r>
            <w:r w:rsidRPr="00073D2B">
              <w:rPr>
                <w:rFonts w:ascii="Calibri" w:hAnsi="Calibri" w:cs="Calibri"/>
                <w:color w:val="002B45"/>
                <w:lang w:val="en-US"/>
              </w:rPr>
              <w:t xml:space="preserve"> </w:t>
            </w:r>
          </w:p>
        </w:tc>
      </w:tr>
      <w:tr w:rsidR="00871692" w:rsidTr="004F290B">
        <w:trPr>
          <w:trHeight w:val="340"/>
        </w:trPr>
        <w:tc>
          <w:tcPr>
            <w:tcW w:w="4253" w:type="dxa"/>
            <w:tcBorders>
              <w:top w:val="single" w:sz="4" w:space="0" w:color="999999"/>
              <w:bottom w:val="single" w:sz="4" w:space="0" w:color="999999"/>
            </w:tcBorders>
            <w:vAlign w:val="center"/>
          </w:tcPr>
          <w:p w:rsidR="00871692" w:rsidRPr="00ED6868" w:rsidRDefault="00871692" w:rsidP="00EA138B">
            <w:pPr>
              <w:pStyle w:val="Tabletext0"/>
              <w:ind w:right="85"/>
              <w:rPr>
                <w:rFonts w:ascii="Calibri" w:hAnsi="Calibri" w:cs="Calibri"/>
                <w:color w:val="002B45"/>
              </w:rPr>
            </w:pPr>
            <w:r w:rsidRPr="00ED6868">
              <w:rPr>
                <w:rFonts w:ascii="Calibri" w:hAnsi="Calibri" w:cs="Calibri"/>
                <w:color w:val="002B45"/>
              </w:rPr>
              <w:t>Total liabilities</w:t>
            </w:r>
          </w:p>
        </w:tc>
        <w:tc>
          <w:tcPr>
            <w:tcW w:w="1134" w:type="dxa"/>
            <w:tcBorders>
              <w:top w:val="single" w:sz="4" w:space="0" w:color="999999"/>
              <w:bottom w:val="single" w:sz="4" w:space="0" w:color="999999"/>
            </w:tcBorders>
            <w:shd w:val="clear" w:color="auto" w:fill="E6E6E6"/>
            <w:vAlign w:val="center"/>
          </w:tcPr>
          <w:p w:rsidR="00871692" w:rsidRPr="00073D2B" w:rsidRDefault="00871692" w:rsidP="007E10D2">
            <w:pPr>
              <w:jc w:val="right"/>
              <w:rPr>
                <w:rFonts w:ascii="Calibri" w:hAnsi="Calibri" w:cs="Calibri"/>
                <w:color w:val="002B45"/>
                <w:lang w:val="en-US"/>
              </w:rPr>
            </w:pPr>
            <w:r w:rsidRPr="00073D2B">
              <w:rPr>
                <w:rFonts w:ascii="Calibri" w:hAnsi="Calibri" w:cs="Calibri"/>
                <w:color w:val="002B45"/>
                <w:lang w:val="en-US"/>
              </w:rPr>
              <w:t>(1,</w:t>
            </w:r>
            <w:r w:rsidR="007E10D2">
              <w:rPr>
                <w:rFonts w:ascii="Calibri" w:hAnsi="Calibri" w:cs="Calibri"/>
                <w:color w:val="002B45"/>
                <w:lang w:val="en-US"/>
              </w:rPr>
              <w:t>943.6</w:t>
            </w:r>
            <w:r w:rsidRPr="00073D2B">
              <w:rPr>
                <w:rFonts w:ascii="Calibri" w:hAnsi="Calibri" w:cs="Calibri"/>
                <w:color w:val="002B45"/>
                <w:lang w:val="en-US"/>
              </w:rPr>
              <w:t>)</w:t>
            </w:r>
          </w:p>
        </w:tc>
        <w:tc>
          <w:tcPr>
            <w:tcW w:w="992" w:type="dxa"/>
            <w:tcBorders>
              <w:top w:val="single" w:sz="4" w:space="0" w:color="999999"/>
              <w:bottom w:val="single" w:sz="4" w:space="0" w:color="999999"/>
            </w:tcBorders>
            <w:shd w:val="clear" w:color="auto" w:fill="E6E6E6"/>
            <w:vAlign w:val="center"/>
          </w:tcPr>
          <w:p w:rsidR="00871692" w:rsidRPr="00073D2B" w:rsidRDefault="00871692" w:rsidP="00EA138B">
            <w:pPr>
              <w:jc w:val="right"/>
              <w:rPr>
                <w:rFonts w:ascii="Calibri" w:hAnsi="Calibri" w:cs="Calibri"/>
                <w:color w:val="002B45"/>
                <w:lang w:val="en-US"/>
              </w:rPr>
            </w:pPr>
            <w:r w:rsidRPr="00073D2B">
              <w:rPr>
                <w:rFonts w:ascii="Calibri" w:hAnsi="Calibri" w:cs="Calibri"/>
                <w:color w:val="002B45"/>
                <w:lang w:val="en-US"/>
              </w:rPr>
              <w:t>(276.4)</w:t>
            </w:r>
          </w:p>
        </w:tc>
        <w:tc>
          <w:tcPr>
            <w:tcW w:w="1276" w:type="dxa"/>
            <w:tcBorders>
              <w:top w:val="single" w:sz="4" w:space="0" w:color="999999"/>
              <w:bottom w:val="single" w:sz="4" w:space="0" w:color="999999"/>
            </w:tcBorders>
            <w:shd w:val="clear" w:color="auto" w:fill="E6E6E6"/>
            <w:vAlign w:val="center"/>
          </w:tcPr>
          <w:p w:rsidR="00871692" w:rsidRPr="00073D2B" w:rsidRDefault="00871692" w:rsidP="00EA138B">
            <w:pPr>
              <w:jc w:val="right"/>
              <w:rPr>
                <w:rFonts w:ascii="Calibri" w:hAnsi="Calibri" w:cs="Calibri"/>
                <w:color w:val="002B45"/>
                <w:lang w:val="en-US"/>
              </w:rPr>
            </w:pPr>
            <w:r w:rsidRPr="00073D2B">
              <w:rPr>
                <w:rFonts w:ascii="Calibri" w:hAnsi="Calibri" w:cs="Calibri"/>
                <w:color w:val="002B45"/>
                <w:lang w:val="en-US"/>
              </w:rPr>
              <w:t>(1,771.6)</w:t>
            </w:r>
          </w:p>
        </w:tc>
        <w:tc>
          <w:tcPr>
            <w:tcW w:w="992" w:type="dxa"/>
            <w:tcBorders>
              <w:top w:val="single" w:sz="4" w:space="0" w:color="999999"/>
              <w:bottom w:val="single" w:sz="4" w:space="0" w:color="999999"/>
            </w:tcBorders>
            <w:shd w:val="clear" w:color="auto" w:fill="E6E6E6"/>
            <w:vAlign w:val="center"/>
          </w:tcPr>
          <w:p w:rsidR="00871692" w:rsidRPr="00073D2B" w:rsidRDefault="00871692" w:rsidP="007E10D2">
            <w:pPr>
              <w:jc w:val="right"/>
              <w:rPr>
                <w:rFonts w:ascii="Calibri" w:hAnsi="Calibri" w:cs="Calibri"/>
                <w:color w:val="002B45"/>
                <w:lang w:val="en-US"/>
              </w:rPr>
            </w:pPr>
            <w:r w:rsidRPr="00073D2B">
              <w:rPr>
                <w:rFonts w:ascii="Calibri" w:hAnsi="Calibri" w:cs="Calibri"/>
                <w:color w:val="002B45"/>
                <w:lang w:val="en-US"/>
              </w:rPr>
              <w:t>(2,</w:t>
            </w:r>
            <w:r w:rsidR="007E10D2">
              <w:rPr>
                <w:rFonts w:ascii="Calibri" w:hAnsi="Calibri" w:cs="Calibri"/>
                <w:color w:val="002B45"/>
                <w:lang w:val="en-US"/>
              </w:rPr>
              <w:t>070.6</w:t>
            </w:r>
            <w:r w:rsidRPr="00073D2B">
              <w:rPr>
                <w:rFonts w:ascii="Calibri" w:hAnsi="Calibri" w:cs="Calibri"/>
                <w:color w:val="002B45"/>
                <w:lang w:val="en-US"/>
              </w:rPr>
              <w:t>)</w:t>
            </w:r>
          </w:p>
        </w:tc>
        <w:tc>
          <w:tcPr>
            <w:tcW w:w="851" w:type="dxa"/>
            <w:tcBorders>
              <w:top w:val="single" w:sz="4" w:space="0" w:color="999999"/>
              <w:bottom w:val="single" w:sz="4" w:space="0" w:color="999999"/>
            </w:tcBorders>
            <w:shd w:val="clear" w:color="auto" w:fill="E6E6E6"/>
            <w:vAlign w:val="center"/>
          </w:tcPr>
          <w:p w:rsidR="00871692" w:rsidRPr="00073D2B" w:rsidRDefault="00871692" w:rsidP="007E10D2">
            <w:pPr>
              <w:jc w:val="right"/>
              <w:rPr>
                <w:rFonts w:ascii="Calibri" w:hAnsi="Calibri" w:cs="Calibri"/>
                <w:color w:val="002B45"/>
                <w:lang w:val="en-US"/>
              </w:rPr>
            </w:pPr>
            <w:r w:rsidRPr="00073D2B">
              <w:rPr>
                <w:rFonts w:ascii="Calibri" w:hAnsi="Calibri" w:cs="Calibri"/>
                <w:color w:val="002B45"/>
                <w:lang w:val="en-US"/>
              </w:rPr>
              <w:t>(</w:t>
            </w:r>
            <w:r w:rsidR="007E10D2">
              <w:rPr>
                <w:rFonts w:ascii="Calibri" w:hAnsi="Calibri" w:cs="Calibri"/>
                <w:color w:val="002B45"/>
                <w:lang w:val="en-US"/>
              </w:rPr>
              <w:t>6,060.2</w:t>
            </w:r>
            <w:r w:rsidRPr="00073D2B">
              <w:rPr>
                <w:rFonts w:ascii="Calibri" w:hAnsi="Calibri" w:cs="Calibri"/>
                <w:color w:val="002B45"/>
                <w:lang w:val="en-US"/>
              </w:rPr>
              <w:t>)</w:t>
            </w:r>
          </w:p>
        </w:tc>
      </w:tr>
      <w:tr w:rsidR="00871692" w:rsidTr="004F290B">
        <w:trPr>
          <w:trHeight w:val="340"/>
        </w:trPr>
        <w:tc>
          <w:tcPr>
            <w:tcW w:w="4253" w:type="dxa"/>
            <w:tcBorders>
              <w:top w:val="single" w:sz="4" w:space="0" w:color="999999"/>
            </w:tcBorders>
            <w:vAlign w:val="center"/>
          </w:tcPr>
          <w:p w:rsidR="00871692" w:rsidRPr="00EA138B" w:rsidRDefault="00871692" w:rsidP="00EA138B">
            <w:pPr>
              <w:pStyle w:val="Tabletext0"/>
              <w:ind w:right="85"/>
              <w:rPr>
                <w:rFonts w:ascii="Calibri" w:hAnsi="Calibri" w:cs="Calibri"/>
                <w:b/>
                <w:color w:val="002B45"/>
              </w:rPr>
            </w:pPr>
            <w:r w:rsidRPr="00EA138B">
              <w:rPr>
                <w:rFonts w:ascii="Calibri" w:hAnsi="Calibri" w:cs="Calibri"/>
                <w:b/>
                <w:color w:val="002B45"/>
              </w:rPr>
              <w:t>Other segment information</w:t>
            </w:r>
          </w:p>
        </w:tc>
        <w:tc>
          <w:tcPr>
            <w:tcW w:w="1134" w:type="dxa"/>
            <w:tcBorders>
              <w:top w:val="single" w:sz="4" w:space="0" w:color="999999"/>
            </w:tcBorders>
            <w:shd w:val="clear" w:color="auto" w:fill="E6E6E6"/>
            <w:vAlign w:val="center"/>
          </w:tcPr>
          <w:p w:rsidR="00871692" w:rsidRPr="00EA138B" w:rsidRDefault="00871692" w:rsidP="00EA138B">
            <w:pPr>
              <w:jc w:val="right"/>
              <w:rPr>
                <w:rFonts w:ascii="Calibri" w:hAnsi="Calibri" w:cs="Calibri"/>
                <w:b/>
                <w:color w:val="002B45"/>
                <w:lang w:val="en-US"/>
              </w:rPr>
            </w:pPr>
          </w:p>
        </w:tc>
        <w:tc>
          <w:tcPr>
            <w:tcW w:w="992" w:type="dxa"/>
            <w:tcBorders>
              <w:top w:val="single" w:sz="4" w:space="0" w:color="999999"/>
            </w:tcBorders>
            <w:shd w:val="clear" w:color="auto" w:fill="E6E6E6"/>
            <w:vAlign w:val="center"/>
          </w:tcPr>
          <w:p w:rsidR="00871692" w:rsidRPr="00EA138B" w:rsidRDefault="00871692" w:rsidP="00EA138B">
            <w:pPr>
              <w:jc w:val="right"/>
              <w:rPr>
                <w:rFonts w:ascii="Calibri" w:hAnsi="Calibri" w:cs="Calibri"/>
                <w:b/>
                <w:color w:val="002B45"/>
                <w:lang w:val="en-US"/>
              </w:rPr>
            </w:pPr>
          </w:p>
        </w:tc>
        <w:tc>
          <w:tcPr>
            <w:tcW w:w="1276" w:type="dxa"/>
            <w:tcBorders>
              <w:top w:val="single" w:sz="4" w:space="0" w:color="999999"/>
            </w:tcBorders>
            <w:shd w:val="clear" w:color="auto" w:fill="E6E6E6"/>
            <w:vAlign w:val="center"/>
          </w:tcPr>
          <w:p w:rsidR="00871692" w:rsidRPr="00EA138B" w:rsidRDefault="00871692" w:rsidP="00EA138B">
            <w:pPr>
              <w:jc w:val="right"/>
              <w:rPr>
                <w:rFonts w:ascii="Calibri" w:hAnsi="Calibri" w:cs="Calibri"/>
                <w:b/>
                <w:color w:val="002B45"/>
                <w:lang w:val="en-US"/>
              </w:rPr>
            </w:pPr>
          </w:p>
        </w:tc>
        <w:tc>
          <w:tcPr>
            <w:tcW w:w="992" w:type="dxa"/>
            <w:tcBorders>
              <w:top w:val="single" w:sz="4" w:space="0" w:color="999999"/>
            </w:tcBorders>
            <w:shd w:val="clear" w:color="auto" w:fill="E6E6E6"/>
            <w:vAlign w:val="center"/>
          </w:tcPr>
          <w:p w:rsidR="00871692" w:rsidRPr="00EA138B" w:rsidRDefault="00871692" w:rsidP="00EA138B">
            <w:pPr>
              <w:jc w:val="right"/>
              <w:rPr>
                <w:rFonts w:ascii="Calibri" w:hAnsi="Calibri" w:cs="Calibri"/>
                <w:b/>
                <w:color w:val="002B45"/>
                <w:lang w:val="en-US"/>
              </w:rPr>
            </w:pPr>
          </w:p>
        </w:tc>
        <w:tc>
          <w:tcPr>
            <w:tcW w:w="851" w:type="dxa"/>
            <w:tcBorders>
              <w:top w:val="single" w:sz="4" w:space="0" w:color="999999"/>
            </w:tcBorders>
            <w:shd w:val="clear" w:color="auto" w:fill="E6E6E6"/>
            <w:vAlign w:val="center"/>
          </w:tcPr>
          <w:p w:rsidR="00871692" w:rsidRPr="00EA138B" w:rsidRDefault="00871692" w:rsidP="00EA138B">
            <w:pPr>
              <w:jc w:val="right"/>
              <w:rPr>
                <w:rFonts w:ascii="Calibri" w:hAnsi="Calibri" w:cs="Calibri"/>
                <w:b/>
                <w:color w:val="002B45"/>
                <w:lang w:val="en-US"/>
              </w:rPr>
            </w:pPr>
          </w:p>
        </w:tc>
      </w:tr>
      <w:tr w:rsidR="00871692" w:rsidRPr="00D35AF8" w:rsidTr="004F290B">
        <w:trPr>
          <w:trHeight w:val="283"/>
        </w:trPr>
        <w:tc>
          <w:tcPr>
            <w:tcW w:w="4253" w:type="dxa"/>
            <w:vAlign w:val="center"/>
          </w:tcPr>
          <w:p w:rsidR="00871692" w:rsidRPr="00ED6868" w:rsidRDefault="00871692" w:rsidP="00EA138B">
            <w:pPr>
              <w:pStyle w:val="Tabletext0"/>
              <w:ind w:right="85"/>
              <w:rPr>
                <w:rFonts w:ascii="Calibri" w:hAnsi="Calibri" w:cs="Calibri"/>
                <w:color w:val="002B45"/>
              </w:rPr>
            </w:pPr>
            <w:r w:rsidRPr="00ED6868">
              <w:rPr>
                <w:rFonts w:ascii="Calibri" w:hAnsi="Calibri" w:cs="Calibri"/>
                <w:color w:val="002B45"/>
              </w:rPr>
              <w:t>Capital expenditure:</w:t>
            </w:r>
          </w:p>
        </w:tc>
        <w:tc>
          <w:tcPr>
            <w:tcW w:w="1134" w:type="dxa"/>
            <w:shd w:val="clear" w:color="auto" w:fill="E6E6E6"/>
            <w:vAlign w:val="center"/>
          </w:tcPr>
          <w:p w:rsidR="00871692" w:rsidRPr="00073D2B" w:rsidRDefault="00871692" w:rsidP="00EA138B">
            <w:pPr>
              <w:jc w:val="right"/>
              <w:rPr>
                <w:rFonts w:ascii="Calibri" w:hAnsi="Calibri" w:cs="Calibri"/>
                <w:color w:val="002B45"/>
                <w:lang w:val="en-US"/>
              </w:rPr>
            </w:pPr>
          </w:p>
        </w:tc>
        <w:tc>
          <w:tcPr>
            <w:tcW w:w="992" w:type="dxa"/>
            <w:shd w:val="clear" w:color="auto" w:fill="E6E6E6"/>
            <w:vAlign w:val="center"/>
          </w:tcPr>
          <w:p w:rsidR="00871692" w:rsidRPr="00073D2B" w:rsidRDefault="00871692" w:rsidP="00EA138B">
            <w:pPr>
              <w:jc w:val="right"/>
              <w:rPr>
                <w:rFonts w:ascii="Calibri" w:hAnsi="Calibri" w:cs="Calibri"/>
                <w:color w:val="002B45"/>
                <w:lang w:val="en-US"/>
              </w:rPr>
            </w:pPr>
          </w:p>
        </w:tc>
        <w:tc>
          <w:tcPr>
            <w:tcW w:w="1276" w:type="dxa"/>
            <w:shd w:val="clear" w:color="auto" w:fill="E6E6E6"/>
            <w:vAlign w:val="center"/>
          </w:tcPr>
          <w:p w:rsidR="00871692" w:rsidRPr="00073D2B" w:rsidRDefault="00871692" w:rsidP="00EA138B">
            <w:pPr>
              <w:jc w:val="right"/>
              <w:rPr>
                <w:rFonts w:ascii="Calibri" w:hAnsi="Calibri" w:cs="Calibri"/>
                <w:color w:val="002B45"/>
                <w:lang w:val="en-US"/>
              </w:rPr>
            </w:pPr>
          </w:p>
        </w:tc>
        <w:tc>
          <w:tcPr>
            <w:tcW w:w="992" w:type="dxa"/>
            <w:shd w:val="clear" w:color="auto" w:fill="E6E6E6"/>
            <w:vAlign w:val="center"/>
          </w:tcPr>
          <w:p w:rsidR="00871692" w:rsidRPr="00073D2B" w:rsidRDefault="00871692" w:rsidP="00EA138B">
            <w:pPr>
              <w:jc w:val="right"/>
              <w:rPr>
                <w:rFonts w:ascii="Calibri" w:hAnsi="Calibri" w:cs="Calibri"/>
                <w:color w:val="002B45"/>
                <w:lang w:val="en-US"/>
              </w:rPr>
            </w:pPr>
          </w:p>
        </w:tc>
        <w:tc>
          <w:tcPr>
            <w:tcW w:w="851" w:type="dxa"/>
            <w:shd w:val="clear" w:color="auto" w:fill="E6E6E6"/>
            <w:vAlign w:val="center"/>
          </w:tcPr>
          <w:p w:rsidR="00871692" w:rsidRPr="00073D2B" w:rsidRDefault="00871692" w:rsidP="00EA138B">
            <w:pPr>
              <w:jc w:val="right"/>
              <w:rPr>
                <w:rFonts w:ascii="Calibri" w:hAnsi="Calibri" w:cs="Calibri"/>
                <w:color w:val="002B45"/>
                <w:lang w:val="en-US"/>
              </w:rPr>
            </w:pPr>
          </w:p>
        </w:tc>
      </w:tr>
      <w:tr w:rsidR="00871692" w:rsidRPr="00D35AF8" w:rsidTr="004F290B">
        <w:trPr>
          <w:trHeight w:val="283"/>
        </w:trPr>
        <w:tc>
          <w:tcPr>
            <w:tcW w:w="4253" w:type="dxa"/>
            <w:vAlign w:val="center"/>
          </w:tcPr>
          <w:p w:rsidR="00871692" w:rsidRPr="00ED6868" w:rsidRDefault="00871692" w:rsidP="00EA138B">
            <w:pPr>
              <w:pStyle w:val="Tabletext0"/>
              <w:ind w:right="85" w:firstLine="567"/>
              <w:rPr>
                <w:rFonts w:ascii="Calibri" w:hAnsi="Calibri" w:cs="Calibri"/>
                <w:color w:val="002B45"/>
              </w:rPr>
            </w:pPr>
            <w:r w:rsidRPr="00ED6868">
              <w:rPr>
                <w:rFonts w:ascii="Calibri" w:hAnsi="Calibri" w:cs="Calibri"/>
                <w:color w:val="002B45"/>
              </w:rPr>
              <w:t>Property, plant and equipment</w:t>
            </w:r>
          </w:p>
        </w:tc>
        <w:tc>
          <w:tcPr>
            <w:tcW w:w="1134" w:type="dxa"/>
            <w:shd w:val="clear" w:color="auto" w:fill="E6E6E6"/>
            <w:vAlign w:val="center"/>
          </w:tcPr>
          <w:p w:rsidR="00871692" w:rsidRPr="00073D2B" w:rsidRDefault="00871692" w:rsidP="001808A9">
            <w:pPr>
              <w:jc w:val="right"/>
              <w:rPr>
                <w:rFonts w:ascii="Calibri" w:hAnsi="Calibri" w:cs="Calibri"/>
                <w:color w:val="002B45"/>
                <w:lang w:val="en-US"/>
              </w:rPr>
            </w:pPr>
            <w:r w:rsidRPr="00073D2B">
              <w:rPr>
                <w:rFonts w:ascii="Calibri" w:hAnsi="Calibri" w:cs="Calibri"/>
                <w:color w:val="002B45"/>
                <w:lang w:val="en-US"/>
              </w:rPr>
              <w:t xml:space="preserve"> </w:t>
            </w:r>
            <w:r w:rsidR="001808A9">
              <w:rPr>
                <w:rFonts w:ascii="Calibri" w:hAnsi="Calibri" w:cs="Calibri"/>
                <w:color w:val="002B45"/>
                <w:lang w:val="en-US"/>
              </w:rPr>
              <w:t>876.7</w:t>
            </w:r>
            <w:r w:rsidRPr="00073D2B">
              <w:rPr>
                <w:rFonts w:ascii="Calibri" w:hAnsi="Calibri" w:cs="Calibri"/>
                <w:color w:val="002B45"/>
                <w:lang w:val="en-US"/>
              </w:rPr>
              <w:t xml:space="preserve"> </w:t>
            </w:r>
          </w:p>
        </w:tc>
        <w:tc>
          <w:tcPr>
            <w:tcW w:w="992" w:type="dxa"/>
            <w:shd w:val="clear" w:color="auto" w:fill="E6E6E6"/>
            <w:vAlign w:val="center"/>
          </w:tcPr>
          <w:p w:rsidR="00871692" w:rsidRPr="00073D2B" w:rsidRDefault="00871692" w:rsidP="00EA138B">
            <w:pPr>
              <w:jc w:val="right"/>
              <w:rPr>
                <w:rFonts w:ascii="Calibri" w:hAnsi="Calibri" w:cs="Calibri"/>
                <w:color w:val="002B45"/>
                <w:lang w:val="en-US"/>
              </w:rPr>
            </w:pPr>
            <w:r w:rsidRPr="00073D2B">
              <w:rPr>
                <w:rFonts w:ascii="Calibri" w:hAnsi="Calibri" w:cs="Calibri"/>
                <w:color w:val="002B45"/>
                <w:lang w:val="en-US"/>
              </w:rPr>
              <w:t xml:space="preserve"> 2.3 </w:t>
            </w:r>
          </w:p>
        </w:tc>
        <w:tc>
          <w:tcPr>
            <w:tcW w:w="1276" w:type="dxa"/>
            <w:shd w:val="clear" w:color="auto" w:fill="E6E6E6"/>
            <w:vAlign w:val="center"/>
          </w:tcPr>
          <w:p w:rsidR="00871692" w:rsidRPr="00073D2B" w:rsidRDefault="00871692" w:rsidP="00EA138B">
            <w:pPr>
              <w:jc w:val="right"/>
              <w:rPr>
                <w:rFonts w:ascii="Calibri" w:hAnsi="Calibri" w:cs="Calibri"/>
                <w:color w:val="002B45"/>
                <w:lang w:val="en-US"/>
              </w:rPr>
            </w:pPr>
            <w:r w:rsidRPr="00073D2B">
              <w:rPr>
                <w:rFonts w:ascii="Calibri" w:hAnsi="Calibri" w:cs="Calibri"/>
                <w:color w:val="002B45"/>
                <w:lang w:val="en-US"/>
              </w:rPr>
              <w:t xml:space="preserve"> 164.2 </w:t>
            </w:r>
          </w:p>
        </w:tc>
        <w:tc>
          <w:tcPr>
            <w:tcW w:w="992" w:type="dxa"/>
            <w:shd w:val="clear" w:color="auto" w:fill="E6E6E6"/>
            <w:vAlign w:val="center"/>
          </w:tcPr>
          <w:p w:rsidR="00871692" w:rsidRPr="00073D2B" w:rsidRDefault="00871692" w:rsidP="00EA138B">
            <w:pPr>
              <w:jc w:val="right"/>
              <w:rPr>
                <w:rFonts w:ascii="Calibri" w:hAnsi="Calibri" w:cs="Calibri"/>
                <w:color w:val="002B45"/>
                <w:lang w:val="en-US"/>
              </w:rPr>
            </w:pPr>
            <w:r w:rsidRPr="00073D2B">
              <w:rPr>
                <w:rFonts w:ascii="Calibri" w:hAnsi="Calibri" w:cs="Calibri"/>
                <w:color w:val="002B45"/>
                <w:lang w:val="en-US"/>
              </w:rPr>
              <w:t xml:space="preserve"> 27.2 </w:t>
            </w:r>
          </w:p>
        </w:tc>
        <w:tc>
          <w:tcPr>
            <w:tcW w:w="851" w:type="dxa"/>
            <w:shd w:val="clear" w:color="auto" w:fill="E6E6E6"/>
            <w:vAlign w:val="center"/>
          </w:tcPr>
          <w:p w:rsidR="00871692" w:rsidRPr="00073D2B" w:rsidRDefault="00871692" w:rsidP="001808A9">
            <w:pPr>
              <w:jc w:val="right"/>
              <w:rPr>
                <w:rFonts w:ascii="Calibri" w:hAnsi="Calibri" w:cs="Calibri"/>
                <w:color w:val="002B45"/>
                <w:lang w:val="en-US"/>
              </w:rPr>
            </w:pPr>
            <w:r w:rsidRPr="00073D2B">
              <w:rPr>
                <w:rFonts w:ascii="Calibri" w:hAnsi="Calibri" w:cs="Calibri"/>
                <w:color w:val="002B45"/>
                <w:lang w:val="en-US"/>
              </w:rPr>
              <w:t xml:space="preserve"> </w:t>
            </w:r>
            <w:r w:rsidR="001808A9">
              <w:rPr>
                <w:rFonts w:ascii="Calibri" w:hAnsi="Calibri" w:cs="Calibri"/>
                <w:color w:val="002B45"/>
                <w:lang w:val="en-US"/>
              </w:rPr>
              <w:t>1,070.4</w:t>
            </w:r>
            <w:r w:rsidRPr="00073D2B">
              <w:rPr>
                <w:rFonts w:ascii="Calibri" w:hAnsi="Calibri" w:cs="Calibri"/>
                <w:color w:val="002B45"/>
                <w:lang w:val="en-US"/>
              </w:rPr>
              <w:t xml:space="preserve"> </w:t>
            </w:r>
          </w:p>
        </w:tc>
      </w:tr>
      <w:tr w:rsidR="00871692" w:rsidTr="004F290B">
        <w:trPr>
          <w:trHeight w:val="283"/>
        </w:trPr>
        <w:tc>
          <w:tcPr>
            <w:tcW w:w="4253" w:type="dxa"/>
            <w:vAlign w:val="center"/>
          </w:tcPr>
          <w:p w:rsidR="00871692" w:rsidRPr="00ED6868" w:rsidRDefault="00871692" w:rsidP="00EA138B">
            <w:pPr>
              <w:pStyle w:val="Tabletext0"/>
              <w:ind w:right="85" w:firstLine="567"/>
              <w:rPr>
                <w:rFonts w:ascii="Calibri" w:hAnsi="Calibri" w:cs="Calibri"/>
                <w:color w:val="002B45"/>
              </w:rPr>
            </w:pPr>
            <w:r w:rsidRPr="00ED6868">
              <w:rPr>
                <w:rFonts w:ascii="Calibri" w:hAnsi="Calibri" w:cs="Calibri"/>
                <w:color w:val="002B45"/>
              </w:rPr>
              <w:t>Intangible exploration and evaluation assets</w:t>
            </w:r>
          </w:p>
        </w:tc>
        <w:tc>
          <w:tcPr>
            <w:tcW w:w="1134" w:type="dxa"/>
            <w:shd w:val="clear" w:color="auto" w:fill="E6E6E6"/>
            <w:vAlign w:val="center"/>
          </w:tcPr>
          <w:p w:rsidR="00871692" w:rsidRPr="00073D2B" w:rsidRDefault="00871692" w:rsidP="00EA138B">
            <w:pPr>
              <w:jc w:val="right"/>
              <w:rPr>
                <w:rFonts w:ascii="Calibri" w:hAnsi="Calibri" w:cs="Calibri"/>
                <w:color w:val="002B45"/>
                <w:lang w:val="en-US"/>
              </w:rPr>
            </w:pPr>
            <w:r w:rsidRPr="00073D2B">
              <w:rPr>
                <w:rFonts w:ascii="Calibri" w:hAnsi="Calibri" w:cs="Calibri"/>
                <w:color w:val="002B45"/>
                <w:lang w:val="en-US"/>
              </w:rPr>
              <w:t xml:space="preserve"> 262.9 </w:t>
            </w:r>
          </w:p>
        </w:tc>
        <w:tc>
          <w:tcPr>
            <w:tcW w:w="992" w:type="dxa"/>
            <w:shd w:val="clear" w:color="auto" w:fill="E6E6E6"/>
            <w:vAlign w:val="center"/>
          </w:tcPr>
          <w:p w:rsidR="00871692" w:rsidRPr="00073D2B" w:rsidRDefault="00871692" w:rsidP="00EA138B">
            <w:pPr>
              <w:jc w:val="right"/>
              <w:rPr>
                <w:rFonts w:ascii="Calibri" w:hAnsi="Calibri" w:cs="Calibri"/>
                <w:color w:val="002B45"/>
                <w:lang w:val="en-US"/>
              </w:rPr>
            </w:pPr>
            <w:r w:rsidRPr="00073D2B">
              <w:rPr>
                <w:rFonts w:ascii="Calibri" w:hAnsi="Calibri" w:cs="Calibri"/>
                <w:color w:val="002B45"/>
                <w:lang w:val="en-US"/>
              </w:rPr>
              <w:t xml:space="preserve"> 570.0 </w:t>
            </w:r>
          </w:p>
        </w:tc>
        <w:tc>
          <w:tcPr>
            <w:tcW w:w="1276" w:type="dxa"/>
            <w:shd w:val="clear" w:color="auto" w:fill="E6E6E6"/>
            <w:vAlign w:val="center"/>
          </w:tcPr>
          <w:p w:rsidR="00871692" w:rsidRPr="00073D2B" w:rsidRDefault="00871692" w:rsidP="00EA138B">
            <w:pPr>
              <w:jc w:val="right"/>
              <w:rPr>
                <w:rFonts w:ascii="Calibri" w:hAnsi="Calibri" w:cs="Calibri"/>
                <w:color w:val="002B45"/>
                <w:lang w:val="en-US"/>
              </w:rPr>
            </w:pPr>
            <w:r w:rsidRPr="00073D2B">
              <w:rPr>
                <w:rFonts w:ascii="Calibri" w:hAnsi="Calibri" w:cs="Calibri"/>
                <w:color w:val="002B45"/>
                <w:lang w:val="en-US"/>
              </w:rPr>
              <w:t xml:space="preserve"> 669.8 </w:t>
            </w:r>
          </w:p>
        </w:tc>
        <w:tc>
          <w:tcPr>
            <w:tcW w:w="992" w:type="dxa"/>
            <w:shd w:val="clear" w:color="auto" w:fill="E6E6E6"/>
            <w:vAlign w:val="center"/>
          </w:tcPr>
          <w:p w:rsidR="00871692" w:rsidRPr="00073D2B" w:rsidRDefault="00871692" w:rsidP="00EA138B">
            <w:pPr>
              <w:jc w:val="right"/>
              <w:rPr>
                <w:rFonts w:ascii="Calibri" w:hAnsi="Calibri" w:cs="Calibri"/>
                <w:color w:val="002B45"/>
                <w:lang w:val="en-US"/>
              </w:rPr>
            </w:pPr>
            <w:r w:rsidRPr="00073D2B">
              <w:rPr>
                <w:rFonts w:ascii="Calibri" w:hAnsi="Calibri" w:cs="Calibri"/>
                <w:color w:val="002B45"/>
                <w:lang w:val="en-US"/>
              </w:rPr>
              <w:t xml:space="preserve">  –     </w:t>
            </w:r>
          </w:p>
        </w:tc>
        <w:tc>
          <w:tcPr>
            <w:tcW w:w="851" w:type="dxa"/>
            <w:shd w:val="clear" w:color="auto" w:fill="E6E6E6"/>
            <w:vAlign w:val="center"/>
          </w:tcPr>
          <w:p w:rsidR="00871692" w:rsidRPr="00073D2B" w:rsidRDefault="00871692" w:rsidP="00EA138B">
            <w:pPr>
              <w:jc w:val="right"/>
              <w:rPr>
                <w:rFonts w:ascii="Calibri" w:hAnsi="Calibri" w:cs="Calibri"/>
                <w:color w:val="002B45"/>
                <w:lang w:val="en-US"/>
              </w:rPr>
            </w:pPr>
            <w:r w:rsidRPr="00073D2B">
              <w:rPr>
                <w:rFonts w:ascii="Calibri" w:hAnsi="Calibri" w:cs="Calibri"/>
                <w:color w:val="002B45"/>
                <w:lang w:val="en-US"/>
              </w:rPr>
              <w:t xml:space="preserve"> 1,502.7 </w:t>
            </w:r>
          </w:p>
        </w:tc>
      </w:tr>
      <w:tr w:rsidR="00871692" w:rsidTr="004F290B">
        <w:trPr>
          <w:trHeight w:val="283"/>
        </w:trPr>
        <w:tc>
          <w:tcPr>
            <w:tcW w:w="4253" w:type="dxa"/>
            <w:vAlign w:val="center"/>
          </w:tcPr>
          <w:p w:rsidR="00871692" w:rsidRPr="00ED6868" w:rsidRDefault="00871692" w:rsidP="00EA138B">
            <w:pPr>
              <w:pStyle w:val="Tabletext0"/>
              <w:ind w:right="85"/>
              <w:rPr>
                <w:rFonts w:ascii="Calibri" w:hAnsi="Calibri" w:cs="Calibri"/>
                <w:color w:val="002B45"/>
              </w:rPr>
            </w:pPr>
            <w:r w:rsidRPr="00ED6868">
              <w:rPr>
                <w:rFonts w:ascii="Calibri" w:hAnsi="Calibri" w:cs="Calibri"/>
                <w:color w:val="002B45"/>
              </w:rPr>
              <w:t>Depletion, depreciation and amortisation</w:t>
            </w:r>
          </w:p>
        </w:tc>
        <w:tc>
          <w:tcPr>
            <w:tcW w:w="1134" w:type="dxa"/>
            <w:shd w:val="clear" w:color="auto" w:fill="E6E6E6"/>
            <w:vAlign w:val="center"/>
          </w:tcPr>
          <w:p w:rsidR="00871692" w:rsidRPr="00073D2B" w:rsidRDefault="00871692" w:rsidP="00EA138B">
            <w:pPr>
              <w:jc w:val="right"/>
              <w:rPr>
                <w:rFonts w:ascii="Calibri" w:hAnsi="Calibri" w:cs="Calibri"/>
                <w:color w:val="002B45"/>
                <w:lang w:val="en-US"/>
              </w:rPr>
            </w:pPr>
            <w:r w:rsidRPr="00073D2B">
              <w:rPr>
                <w:rFonts w:ascii="Calibri" w:hAnsi="Calibri" w:cs="Calibri"/>
                <w:color w:val="002B45"/>
                <w:lang w:val="en-US"/>
              </w:rPr>
              <w:t>(425.5)</w:t>
            </w:r>
          </w:p>
        </w:tc>
        <w:tc>
          <w:tcPr>
            <w:tcW w:w="992" w:type="dxa"/>
            <w:shd w:val="clear" w:color="auto" w:fill="E6E6E6"/>
            <w:vAlign w:val="center"/>
          </w:tcPr>
          <w:p w:rsidR="00871692" w:rsidRPr="00073D2B" w:rsidRDefault="00871692" w:rsidP="00EA138B">
            <w:pPr>
              <w:jc w:val="right"/>
              <w:rPr>
                <w:rFonts w:ascii="Calibri" w:hAnsi="Calibri" w:cs="Calibri"/>
                <w:color w:val="002B45"/>
                <w:lang w:val="en-US"/>
              </w:rPr>
            </w:pPr>
            <w:r w:rsidRPr="00073D2B">
              <w:rPr>
                <w:rFonts w:ascii="Calibri" w:hAnsi="Calibri" w:cs="Calibri"/>
                <w:color w:val="002B45"/>
                <w:lang w:val="en-US"/>
              </w:rPr>
              <w:t>(0.5)</w:t>
            </w:r>
          </w:p>
        </w:tc>
        <w:tc>
          <w:tcPr>
            <w:tcW w:w="1276" w:type="dxa"/>
            <w:shd w:val="clear" w:color="auto" w:fill="E6E6E6"/>
            <w:vAlign w:val="center"/>
          </w:tcPr>
          <w:p w:rsidR="00871692" w:rsidRPr="00073D2B" w:rsidRDefault="00871692" w:rsidP="00EA138B">
            <w:pPr>
              <w:jc w:val="right"/>
              <w:rPr>
                <w:rFonts w:ascii="Calibri" w:hAnsi="Calibri" w:cs="Calibri"/>
                <w:color w:val="002B45"/>
                <w:lang w:val="en-US"/>
              </w:rPr>
            </w:pPr>
            <w:r w:rsidRPr="00073D2B">
              <w:rPr>
                <w:rFonts w:ascii="Calibri" w:hAnsi="Calibri" w:cs="Calibri"/>
                <w:color w:val="002B45"/>
                <w:lang w:val="en-US"/>
              </w:rPr>
              <w:t>(142.2)</w:t>
            </w:r>
          </w:p>
        </w:tc>
        <w:tc>
          <w:tcPr>
            <w:tcW w:w="992" w:type="dxa"/>
            <w:shd w:val="clear" w:color="auto" w:fill="E6E6E6"/>
            <w:vAlign w:val="center"/>
          </w:tcPr>
          <w:p w:rsidR="00871692" w:rsidRPr="00073D2B" w:rsidRDefault="00871692" w:rsidP="00EA138B">
            <w:pPr>
              <w:jc w:val="right"/>
              <w:rPr>
                <w:rFonts w:ascii="Calibri" w:hAnsi="Calibri" w:cs="Calibri"/>
                <w:color w:val="002B45"/>
                <w:lang w:val="en-US"/>
              </w:rPr>
            </w:pPr>
            <w:r w:rsidRPr="00073D2B">
              <w:rPr>
                <w:rFonts w:ascii="Calibri" w:hAnsi="Calibri" w:cs="Calibri"/>
                <w:color w:val="002B45"/>
                <w:lang w:val="en-US"/>
              </w:rPr>
              <w:t>(23.7)</w:t>
            </w:r>
          </w:p>
        </w:tc>
        <w:tc>
          <w:tcPr>
            <w:tcW w:w="851" w:type="dxa"/>
            <w:shd w:val="clear" w:color="auto" w:fill="E6E6E6"/>
            <w:vAlign w:val="center"/>
          </w:tcPr>
          <w:p w:rsidR="00871692" w:rsidRPr="00073D2B" w:rsidRDefault="00871692" w:rsidP="00EA138B">
            <w:pPr>
              <w:jc w:val="right"/>
              <w:rPr>
                <w:rFonts w:ascii="Calibri" w:hAnsi="Calibri" w:cs="Calibri"/>
                <w:color w:val="002B45"/>
                <w:lang w:val="en-US"/>
              </w:rPr>
            </w:pPr>
            <w:r w:rsidRPr="00073D2B">
              <w:rPr>
                <w:rFonts w:ascii="Calibri" w:hAnsi="Calibri" w:cs="Calibri"/>
                <w:color w:val="002B45"/>
                <w:lang w:val="en-US"/>
              </w:rPr>
              <w:t>(591.9)</w:t>
            </w:r>
          </w:p>
        </w:tc>
      </w:tr>
      <w:tr w:rsidR="00871692" w:rsidRPr="00D35AF8" w:rsidTr="004F290B">
        <w:trPr>
          <w:trHeight w:val="283"/>
        </w:trPr>
        <w:tc>
          <w:tcPr>
            <w:tcW w:w="4253" w:type="dxa"/>
            <w:vAlign w:val="center"/>
          </w:tcPr>
          <w:p w:rsidR="00871692" w:rsidRPr="00ED6868" w:rsidRDefault="00871692" w:rsidP="00EA138B">
            <w:pPr>
              <w:pStyle w:val="Tabletext0"/>
              <w:ind w:right="85"/>
              <w:rPr>
                <w:rFonts w:ascii="Calibri" w:hAnsi="Calibri" w:cs="Calibri"/>
                <w:color w:val="002B45"/>
              </w:rPr>
            </w:pPr>
            <w:r w:rsidRPr="00ED6868">
              <w:rPr>
                <w:rFonts w:ascii="Calibri" w:hAnsi="Calibri" w:cs="Calibri"/>
                <w:color w:val="002B45"/>
              </w:rPr>
              <w:t>Impairment losses recognised in income statement</w:t>
            </w:r>
          </w:p>
        </w:tc>
        <w:tc>
          <w:tcPr>
            <w:tcW w:w="1134" w:type="dxa"/>
            <w:shd w:val="clear" w:color="auto" w:fill="E6E6E6"/>
            <w:vAlign w:val="center"/>
          </w:tcPr>
          <w:p w:rsidR="00871692" w:rsidRPr="00073D2B" w:rsidRDefault="00871692" w:rsidP="00EA138B">
            <w:pPr>
              <w:jc w:val="right"/>
              <w:rPr>
                <w:rFonts w:ascii="Calibri" w:hAnsi="Calibri" w:cs="Calibri"/>
                <w:color w:val="002B45"/>
                <w:lang w:val="en-US"/>
              </w:rPr>
            </w:pPr>
            <w:r w:rsidRPr="00073D2B">
              <w:rPr>
                <w:rFonts w:ascii="Calibri" w:hAnsi="Calibri" w:cs="Calibri"/>
                <w:color w:val="002B45"/>
                <w:lang w:val="en-US"/>
              </w:rPr>
              <w:t xml:space="preserve"> –  </w:t>
            </w:r>
          </w:p>
        </w:tc>
        <w:tc>
          <w:tcPr>
            <w:tcW w:w="992" w:type="dxa"/>
            <w:shd w:val="clear" w:color="auto" w:fill="E6E6E6"/>
            <w:vAlign w:val="center"/>
          </w:tcPr>
          <w:p w:rsidR="00871692" w:rsidRPr="00073D2B" w:rsidRDefault="00871692" w:rsidP="00EA138B">
            <w:pPr>
              <w:jc w:val="right"/>
              <w:rPr>
                <w:rFonts w:ascii="Calibri" w:hAnsi="Calibri" w:cs="Calibri"/>
                <w:color w:val="002B45"/>
                <w:lang w:val="en-US"/>
              </w:rPr>
            </w:pPr>
            <w:r w:rsidRPr="00073D2B">
              <w:rPr>
                <w:rFonts w:ascii="Calibri" w:hAnsi="Calibri" w:cs="Calibri"/>
                <w:color w:val="002B45"/>
                <w:lang w:val="en-US"/>
              </w:rPr>
              <w:t>(4.7)</w:t>
            </w:r>
          </w:p>
        </w:tc>
        <w:tc>
          <w:tcPr>
            <w:tcW w:w="1276" w:type="dxa"/>
            <w:shd w:val="clear" w:color="auto" w:fill="E6E6E6"/>
            <w:vAlign w:val="center"/>
          </w:tcPr>
          <w:p w:rsidR="00871692" w:rsidRPr="00073D2B" w:rsidRDefault="00871692" w:rsidP="00EA138B">
            <w:pPr>
              <w:jc w:val="right"/>
              <w:rPr>
                <w:rFonts w:ascii="Calibri" w:hAnsi="Calibri" w:cs="Calibri"/>
                <w:color w:val="002B45"/>
                <w:lang w:val="en-US"/>
              </w:rPr>
            </w:pPr>
            <w:r w:rsidRPr="00073D2B">
              <w:rPr>
                <w:rFonts w:ascii="Calibri" w:hAnsi="Calibri" w:cs="Calibri"/>
                <w:color w:val="002B45"/>
                <w:lang w:val="en-US"/>
              </w:rPr>
              <w:t>(48.0)</w:t>
            </w:r>
          </w:p>
        </w:tc>
        <w:tc>
          <w:tcPr>
            <w:tcW w:w="992" w:type="dxa"/>
            <w:shd w:val="clear" w:color="auto" w:fill="E6E6E6"/>
            <w:vAlign w:val="center"/>
          </w:tcPr>
          <w:p w:rsidR="00871692" w:rsidRPr="00073D2B" w:rsidRDefault="00871692" w:rsidP="00EA138B">
            <w:pPr>
              <w:jc w:val="right"/>
              <w:rPr>
                <w:rFonts w:ascii="Calibri" w:hAnsi="Calibri" w:cs="Calibri"/>
                <w:color w:val="002B45"/>
                <w:lang w:val="en-US"/>
              </w:rPr>
            </w:pPr>
            <w:r w:rsidRPr="00073D2B">
              <w:rPr>
                <w:rFonts w:ascii="Calibri" w:hAnsi="Calibri" w:cs="Calibri"/>
                <w:color w:val="002B45"/>
                <w:lang w:val="en-US"/>
              </w:rPr>
              <w:t xml:space="preserve"> –  </w:t>
            </w:r>
          </w:p>
        </w:tc>
        <w:tc>
          <w:tcPr>
            <w:tcW w:w="851" w:type="dxa"/>
            <w:shd w:val="clear" w:color="auto" w:fill="E6E6E6"/>
            <w:vAlign w:val="center"/>
          </w:tcPr>
          <w:p w:rsidR="00871692" w:rsidRPr="00073D2B" w:rsidRDefault="00871692" w:rsidP="00EA138B">
            <w:pPr>
              <w:jc w:val="right"/>
              <w:rPr>
                <w:rFonts w:ascii="Calibri" w:hAnsi="Calibri" w:cs="Calibri"/>
                <w:color w:val="002B45"/>
                <w:lang w:val="en-US"/>
              </w:rPr>
            </w:pPr>
            <w:r w:rsidRPr="00073D2B">
              <w:rPr>
                <w:rFonts w:ascii="Calibri" w:hAnsi="Calibri" w:cs="Calibri"/>
                <w:color w:val="002B45"/>
                <w:lang w:val="en-US"/>
              </w:rPr>
              <w:t>(52.7)</w:t>
            </w:r>
          </w:p>
        </w:tc>
      </w:tr>
      <w:tr w:rsidR="00871692" w:rsidRPr="00D35AF8" w:rsidTr="004F290B">
        <w:trPr>
          <w:trHeight w:val="283"/>
        </w:trPr>
        <w:tc>
          <w:tcPr>
            <w:tcW w:w="4253" w:type="dxa"/>
            <w:tcBorders>
              <w:bottom w:val="single" w:sz="12" w:space="0" w:color="999999"/>
            </w:tcBorders>
            <w:vAlign w:val="center"/>
          </w:tcPr>
          <w:p w:rsidR="00871692" w:rsidRPr="00ED6868" w:rsidRDefault="00871692" w:rsidP="00EA138B">
            <w:pPr>
              <w:pStyle w:val="Tabletext0"/>
              <w:ind w:right="85"/>
              <w:rPr>
                <w:rFonts w:ascii="Calibri" w:hAnsi="Calibri" w:cs="Calibri"/>
                <w:color w:val="002B45"/>
              </w:rPr>
            </w:pPr>
            <w:r w:rsidRPr="00ED6868">
              <w:rPr>
                <w:rFonts w:ascii="Calibri" w:hAnsi="Calibri" w:cs="Calibri"/>
                <w:color w:val="002B45"/>
              </w:rPr>
              <w:t>Exploration costs written off</w:t>
            </w:r>
          </w:p>
        </w:tc>
        <w:tc>
          <w:tcPr>
            <w:tcW w:w="1134" w:type="dxa"/>
            <w:tcBorders>
              <w:bottom w:val="single" w:sz="12" w:space="0" w:color="999999"/>
            </w:tcBorders>
            <w:shd w:val="clear" w:color="auto" w:fill="E6E6E6"/>
            <w:vAlign w:val="center"/>
          </w:tcPr>
          <w:p w:rsidR="00871692" w:rsidRPr="00073D2B" w:rsidRDefault="00871692" w:rsidP="00EA138B">
            <w:pPr>
              <w:jc w:val="right"/>
              <w:rPr>
                <w:rFonts w:ascii="Calibri" w:hAnsi="Calibri" w:cs="Calibri"/>
                <w:color w:val="002B45"/>
                <w:lang w:val="en-US"/>
              </w:rPr>
            </w:pPr>
            <w:r w:rsidRPr="00073D2B">
              <w:rPr>
                <w:rFonts w:ascii="Calibri" w:hAnsi="Calibri" w:cs="Calibri"/>
                <w:color w:val="002B45"/>
                <w:lang w:val="en-US"/>
              </w:rPr>
              <w:t>(113.4)</w:t>
            </w:r>
          </w:p>
        </w:tc>
        <w:tc>
          <w:tcPr>
            <w:tcW w:w="992" w:type="dxa"/>
            <w:tcBorders>
              <w:bottom w:val="single" w:sz="12" w:space="0" w:color="999999"/>
            </w:tcBorders>
            <w:shd w:val="clear" w:color="auto" w:fill="E6E6E6"/>
            <w:vAlign w:val="center"/>
          </w:tcPr>
          <w:p w:rsidR="00871692" w:rsidRPr="00073D2B" w:rsidRDefault="00871692" w:rsidP="00EA138B">
            <w:pPr>
              <w:jc w:val="right"/>
              <w:rPr>
                <w:rFonts w:ascii="Calibri" w:hAnsi="Calibri" w:cs="Calibri"/>
                <w:color w:val="002B45"/>
                <w:lang w:val="en-US"/>
              </w:rPr>
            </w:pPr>
            <w:r w:rsidRPr="00073D2B">
              <w:rPr>
                <w:rFonts w:ascii="Calibri" w:hAnsi="Calibri" w:cs="Calibri"/>
                <w:color w:val="002B45"/>
                <w:lang w:val="en-US"/>
              </w:rPr>
              <w:t>(334.9)</w:t>
            </w:r>
          </w:p>
        </w:tc>
        <w:tc>
          <w:tcPr>
            <w:tcW w:w="1276" w:type="dxa"/>
            <w:tcBorders>
              <w:bottom w:val="single" w:sz="12" w:space="0" w:color="999999"/>
            </w:tcBorders>
            <w:shd w:val="clear" w:color="auto" w:fill="E6E6E6"/>
            <w:vAlign w:val="center"/>
          </w:tcPr>
          <w:p w:rsidR="00871692" w:rsidRPr="00073D2B" w:rsidRDefault="00871692" w:rsidP="00EA138B">
            <w:pPr>
              <w:jc w:val="right"/>
              <w:rPr>
                <w:rFonts w:ascii="Calibri" w:hAnsi="Calibri" w:cs="Calibri"/>
                <w:color w:val="002B45"/>
                <w:lang w:val="en-US"/>
              </w:rPr>
            </w:pPr>
            <w:r w:rsidRPr="00073D2B">
              <w:rPr>
                <w:rFonts w:ascii="Calibri" w:hAnsi="Calibri" w:cs="Calibri"/>
                <w:color w:val="002B45"/>
                <w:lang w:val="en-US"/>
              </w:rPr>
              <w:t>(422.3)</w:t>
            </w:r>
          </w:p>
        </w:tc>
        <w:tc>
          <w:tcPr>
            <w:tcW w:w="992" w:type="dxa"/>
            <w:tcBorders>
              <w:bottom w:val="single" w:sz="12" w:space="0" w:color="999999"/>
            </w:tcBorders>
            <w:shd w:val="clear" w:color="auto" w:fill="E6E6E6"/>
            <w:vAlign w:val="center"/>
          </w:tcPr>
          <w:p w:rsidR="00871692" w:rsidRPr="00073D2B" w:rsidRDefault="00871692" w:rsidP="00EA138B">
            <w:pPr>
              <w:jc w:val="right"/>
              <w:rPr>
                <w:rFonts w:ascii="Calibri" w:hAnsi="Calibri" w:cs="Calibri"/>
                <w:color w:val="002B45"/>
                <w:lang w:val="en-US"/>
              </w:rPr>
            </w:pPr>
            <w:r w:rsidRPr="00073D2B">
              <w:rPr>
                <w:rFonts w:ascii="Calibri" w:hAnsi="Calibri" w:cs="Calibri"/>
                <w:color w:val="002B45"/>
                <w:lang w:val="en-US"/>
              </w:rPr>
              <w:t xml:space="preserve"> –  </w:t>
            </w:r>
          </w:p>
        </w:tc>
        <w:tc>
          <w:tcPr>
            <w:tcW w:w="851" w:type="dxa"/>
            <w:tcBorders>
              <w:bottom w:val="single" w:sz="12" w:space="0" w:color="999999"/>
            </w:tcBorders>
            <w:shd w:val="clear" w:color="auto" w:fill="E6E6E6"/>
            <w:vAlign w:val="center"/>
          </w:tcPr>
          <w:p w:rsidR="00871692" w:rsidRPr="00073D2B" w:rsidRDefault="00871692" w:rsidP="00EA138B">
            <w:pPr>
              <w:jc w:val="right"/>
              <w:rPr>
                <w:rFonts w:ascii="Calibri" w:hAnsi="Calibri" w:cs="Calibri"/>
                <w:color w:val="002B45"/>
                <w:lang w:val="en-US"/>
              </w:rPr>
            </w:pPr>
            <w:r w:rsidRPr="00073D2B">
              <w:rPr>
                <w:rFonts w:ascii="Calibri" w:hAnsi="Calibri" w:cs="Calibri"/>
                <w:color w:val="002B45"/>
                <w:lang w:val="en-US"/>
              </w:rPr>
              <w:t>(870.6)</w:t>
            </w:r>
          </w:p>
        </w:tc>
      </w:tr>
    </w:tbl>
    <w:p w:rsidR="00871692" w:rsidRPr="009318F0" w:rsidRDefault="00871692" w:rsidP="00871692">
      <w:pPr>
        <w:rPr>
          <w:rFonts w:ascii="Calibri" w:hAnsi="Calibri" w:cs="Calibri"/>
          <w:szCs w:val="19"/>
        </w:rPr>
      </w:pPr>
    </w:p>
    <w:p w:rsidR="00871692" w:rsidRPr="009318F0" w:rsidRDefault="00871692" w:rsidP="00871692">
      <w:pPr>
        <w:pStyle w:val="Tableheading"/>
        <w:rPr>
          <w:rFonts w:ascii="Calibri" w:hAnsi="Calibri" w:cs="Calibri"/>
          <w:lang w:val="en-US"/>
        </w:rPr>
      </w:pPr>
    </w:p>
    <w:p w:rsidR="00871692" w:rsidRPr="009318F0" w:rsidRDefault="00871692" w:rsidP="00871692">
      <w:pPr>
        <w:pStyle w:val="Tableheading"/>
        <w:rPr>
          <w:rFonts w:ascii="Calibri" w:hAnsi="Calibri" w:cs="Calibri"/>
          <w:lang w:val="en-US"/>
        </w:rPr>
      </w:pPr>
      <w:r w:rsidRPr="009318F0">
        <w:rPr>
          <w:rFonts w:ascii="Calibri" w:hAnsi="Calibri" w:cs="Calibri"/>
          <w:lang w:val="en-US"/>
        </w:rPr>
        <w:br w:type="page"/>
      </w:r>
    </w:p>
    <w:tbl>
      <w:tblPr>
        <w:tblW w:w="9498" w:type="dxa"/>
        <w:tblLayout w:type="fixed"/>
        <w:tblCellMar>
          <w:left w:w="0" w:type="dxa"/>
          <w:right w:w="57" w:type="dxa"/>
        </w:tblCellMar>
        <w:tblLook w:val="00A0" w:firstRow="1" w:lastRow="0" w:firstColumn="1" w:lastColumn="0" w:noHBand="0" w:noVBand="0"/>
      </w:tblPr>
      <w:tblGrid>
        <w:gridCol w:w="4253"/>
        <w:gridCol w:w="1134"/>
        <w:gridCol w:w="992"/>
        <w:gridCol w:w="1276"/>
        <w:gridCol w:w="992"/>
        <w:gridCol w:w="851"/>
      </w:tblGrid>
      <w:tr w:rsidR="004F290B" w:rsidRPr="00E76D01" w:rsidTr="004F290B">
        <w:tc>
          <w:tcPr>
            <w:tcW w:w="9498" w:type="dxa"/>
            <w:gridSpan w:val="6"/>
            <w:shd w:val="clear" w:color="auto" w:fill="auto"/>
            <w:vAlign w:val="bottom"/>
          </w:tcPr>
          <w:p w:rsidR="004F290B" w:rsidRPr="004F290B" w:rsidRDefault="004F290B" w:rsidP="006A1274">
            <w:pPr>
              <w:spacing w:line="180" w:lineRule="exact"/>
              <w:jc w:val="left"/>
              <w:rPr>
                <w:rStyle w:val="Bold"/>
                <w:rFonts w:ascii="Calibri" w:hAnsi="Calibri" w:cs="Calibri"/>
                <w:b/>
                <w:color w:val="00305C"/>
                <w:sz w:val="22"/>
                <w:szCs w:val="22"/>
              </w:rPr>
            </w:pPr>
            <w:r w:rsidRPr="004F290B">
              <w:rPr>
                <w:rStyle w:val="Bold"/>
                <w:rFonts w:ascii="Calibri" w:hAnsi="Calibri" w:cs="Calibri"/>
                <w:b/>
                <w:color w:val="00305C"/>
                <w:sz w:val="22"/>
                <w:szCs w:val="22"/>
              </w:rPr>
              <w:t>6. Segmental Reporting contd.</w:t>
            </w:r>
          </w:p>
        </w:tc>
      </w:tr>
      <w:tr w:rsidR="00871692" w:rsidRPr="00E76D01" w:rsidTr="004F290B">
        <w:tc>
          <w:tcPr>
            <w:tcW w:w="4253" w:type="dxa"/>
            <w:tcBorders>
              <w:bottom w:val="single" w:sz="12" w:space="0" w:color="999999"/>
            </w:tcBorders>
            <w:shd w:val="clear" w:color="auto" w:fill="auto"/>
            <w:vAlign w:val="bottom"/>
          </w:tcPr>
          <w:p w:rsidR="00871692" w:rsidRPr="00C44CA2" w:rsidRDefault="00871692" w:rsidP="004F290B">
            <w:pPr>
              <w:pStyle w:val="TabletextBold"/>
            </w:pPr>
          </w:p>
        </w:tc>
        <w:tc>
          <w:tcPr>
            <w:tcW w:w="1134" w:type="dxa"/>
            <w:tcBorders>
              <w:bottom w:val="single" w:sz="12" w:space="0" w:color="999999"/>
            </w:tcBorders>
            <w:shd w:val="clear" w:color="auto" w:fill="FFFFFF" w:themeFill="background1"/>
            <w:vAlign w:val="bottom"/>
          </w:tcPr>
          <w:p w:rsidR="00871692" w:rsidRPr="00235E84" w:rsidRDefault="00871692" w:rsidP="004F290B">
            <w:pPr>
              <w:spacing w:line="180" w:lineRule="exact"/>
              <w:jc w:val="right"/>
              <w:rPr>
                <w:rStyle w:val="Bold"/>
                <w:rFonts w:ascii="Calibri" w:hAnsi="Calibri" w:cs="Calibri"/>
                <w:b/>
                <w:color w:val="002B45"/>
                <w:sz w:val="15"/>
                <w:szCs w:val="15"/>
              </w:rPr>
            </w:pPr>
            <w:r w:rsidRPr="00235E84">
              <w:rPr>
                <w:rStyle w:val="Bold"/>
                <w:rFonts w:ascii="Calibri" w:hAnsi="Calibri" w:cs="Calibri"/>
                <w:b/>
                <w:color w:val="002B45"/>
                <w:sz w:val="15"/>
                <w:szCs w:val="15"/>
              </w:rPr>
              <w:t>West</w:t>
            </w:r>
            <w:r w:rsidR="004F290B">
              <w:rPr>
                <w:rStyle w:val="Bold"/>
                <w:rFonts w:ascii="Calibri" w:hAnsi="Calibri" w:cs="Calibri"/>
                <w:b/>
                <w:color w:val="002B45"/>
                <w:sz w:val="15"/>
                <w:szCs w:val="15"/>
              </w:rPr>
              <w:br/>
            </w:r>
            <w:r w:rsidRPr="00235E84">
              <w:rPr>
                <w:rStyle w:val="Bold"/>
                <w:rFonts w:ascii="Calibri" w:hAnsi="Calibri" w:cs="Calibri"/>
                <w:b/>
                <w:color w:val="002B45"/>
                <w:sz w:val="15"/>
                <w:szCs w:val="15"/>
              </w:rPr>
              <w:t xml:space="preserve"> and North </w:t>
            </w:r>
            <w:r w:rsidR="004F290B">
              <w:rPr>
                <w:rStyle w:val="Bold"/>
                <w:rFonts w:ascii="Calibri" w:hAnsi="Calibri" w:cs="Calibri"/>
                <w:b/>
                <w:color w:val="002B45"/>
                <w:sz w:val="15"/>
                <w:szCs w:val="15"/>
              </w:rPr>
              <w:br/>
            </w:r>
            <w:r w:rsidRPr="00235E84">
              <w:rPr>
                <w:rStyle w:val="Bold"/>
                <w:rFonts w:ascii="Calibri" w:hAnsi="Calibri" w:cs="Calibri"/>
                <w:b/>
                <w:color w:val="002B45"/>
                <w:sz w:val="15"/>
                <w:szCs w:val="15"/>
              </w:rPr>
              <w:t>Africa</w:t>
            </w:r>
            <w:r w:rsidRPr="00235E84">
              <w:rPr>
                <w:rStyle w:val="Bold"/>
                <w:rFonts w:ascii="Calibri" w:hAnsi="Calibri" w:cs="Calibri"/>
                <w:b/>
                <w:color w:val="002B45"/>
                <w:sz w:val="15"/>
                <w:szCs w:val="15"/>
              </w:rPr>
              <w:br/>
              <w:t>$m</w:t>
            </w:r>
          </w:p>
        </w:tc>
        <w:tc>
          <w:tcPr>
            <w:tcW w:w="992" w:type="dxa"/>
            <w:tcBorders>
              <w:bottom w:val="single" w:sz="12" w:space="0" w:color="999999"/>
            </w:tcBorders>
            <w:shd w:val="clear" w:color="auto" w:fill="FFFFFF" w:themeFill="background1"/>
            <w:vAlign w:val="bottom"/>
          </w:tcPr>
          <w:p w:rsidR="00871692" w:rsidRPr="00235E84" w:rsidRDefault="00871692" w:rsidP="004F290B">
            <w:pPr>
              <w:spacing w:line="180" w:lineRule="exact"/>
              <w:jc w:val="right"/>
              <w:rPr>
                <w:rStyle w:val="Bold"/>
                <w:rFonts w:ascii="Calibri" w:hAnsi="Calibri" w:cs="Calibri"/>
                <w:b/>
                <w:color w:val="002B45"/>
                <w:sz w:val="15"/>
                <w:szCs w:val="15"/>
              </w:rPr>
            </w:pPr>
            <w:r w:rsidRPr="00235E84">
              <w:rPr>
                <w:rStyle w:val="Bold"/>
                <w:rFonts w:ascii="Calibri" w:hAnsi="Calibri" w:cs="Calibri"/>
                <w:b/>
                <w:color w:val="002B45"/>
                <w:sz w:val="15"/>
                <w:szCs w:val="15"/>
              </w:rPr>
              <w:t xml:space="preserve">South </w:t>
            </w:r>
            <w:r w:rsidR="004F290B">
              <w:rPr>
                <w:rStyle w:val="Bold"/>
                <w:rFonts w:ascii="Calibri" w:hAnsi="Calibri" w:cs="Calibri"/>
                <w:b/>
                <w:color w:val="002B45"/>
                <w:sz w:val="15"/>
                <w:szCs w:val="15"/>
              </w:rPr>
              <w:br/>
            </w:r>
            <w:r w:rsidRPr="00235E84">
              <w:rPr>
                <w:rStyle w:val="Bold"/>
                <w:rFonts w:ascii="Calibri" w:hAnsi="Calibri" w:cs="Calibri"/>
                <w:b/>
                <w:color w:val="002B45"/>
                <w:sz w:val="15"/>
                <w:szCs w:val="15"/>
              </w:rPr>
              <w:t>and East</w:t>
            </w:r>
            <w:r w:rsidR="004F290B">
              <w:rPr>
                <w:rStyle w:val="Bold"/>
                <w:rFonts w:ascii="Calibri" w:hAnsi="Calibri" w:cs="Calibri"/>
                <w:b/>
                <w:color w:val="002B45"/>
                <w:sz w:val="15"/>
                <w:szCs w:val="15"/>
              </w:rPr>
              <w:br/>
            </w:r>
            <w:r w:rsidRPr="00235E84">
              <w:rPr>
                <w:rStyle w:val="Bold"/>
                <w:rFonts w:ascii="Calibri" w:hAnsi="Calibri" w:cs="Calibri"/>
                <w:b/>
                <w:color w:val="002B45"/>
                <w:sz w:val="15"/>
                <w:szCs w:val="15"/>
              </w:rPr>
              <w:t xml:space="preserve"> Africa</w:t>
            </w:r>
            <w:r w:rsidRPr="00235E84">
              <w:rPr>
                <w:rStyle w:val="Bold"/>
                <w:rFonts w:ascii="Calibri" w:hAnsi="Calibri" w:cs="Calibri"/>
                <w:b/>
                <w:color w:val="002B45"/>
                <w:sz w:val="15"/>
                <w:szCs w:val="15"/>
              </w:rPr>
              <w:br/>
              <w:t>$m</w:t>
            </w:r>
          </w:p>
        </w:tc>
        <w:tc>
          <w:tcPr>
            <w:tcW w:w="1276" w:type="dxa"/>
            <w:tcBorders>
              <w:bottom w:val="single" w:sz="12" w:space="0" w:color="999999"/>
            </w:tcBorders>
            <w:shd w:val="clear" w:color="auto" w:fill="FFFFFF" w:themeFill="background1"/>
            <w:vAlign w:val="bottom"/>
          </w:tcPr>
          <w:p w:rsidR="00871692" w:rsidRPr="00235E84" w:rsidRDefault="00871692" w:rsidP="004F290B">
            <w:pPr>
              <w:spacing w:line="180" w:lineRule="exact"/>
              <w:jc w:val="right"/>
              <w:rPr>
                <w:rStyle w:val="Bold"/>
                <w:rFonts w:ascii="Calibri" w:hAnsi="Calibri" w:cs="Calibri"/>
                <w:b/>
                <w:color w:val="002B45"/>
                <w:sz w:val="15"/>
                <w:szCs w:val="15"/>
              </w:rPr>
            </w:pPr>
            <w:r w:rsidRPr="00235E84">
              <w:rPr>
                <w:rStyle w:val="Bold"/>
                <w:rFonts w:ascii="Calibri" w:hAnsi="Calibri" w:cs="Calibri"/>
                <w:b/>
                <w:color w:val="002B45"/>
                <w:sz w:val="15"/>
                <w:szCs w:val="15"/>
              </w:rPr>
              <w:t xml:space="preserve">Europe, South America </w:t>
            </w:r>
            <w:r w:rsidR="004F290B">
              <w:rPr>
                <w:rStyle w:val="Bold"/>
                <w:rFonts w:ascii="Calibri" w:hAnsi="Calibri" w:cs="Calibri"/>
                <w:b/>
                <w:color w:val="002B45"/>
                <w:sz w:val="15"/>
                <w:szCs w:val="15"/>
              </w:rPr>
              <w:br/>
            </w:r>
            <w:r w:rsidRPr="00235E84">
              <w:rPr>
                <w:rStyle w:val="Bold"/>
                <w:rFonts w:ascii="Calibri" w:hAnsi="Calibri" w:cs="Calibri"/>
                <w:b/>
                <w:color w:val="002B45"/>
                <w:sz w:val="15"/>
                <w:szCs w:val="15"/>
              </w:rPr>
              <w:t>and Asia</w:t>
            </w:r>
            <w:r w:rsidRPr="00235E84">
              <w:rPr>
                <w:rStyle w:val="Bold"/>
                <w:rFonts w:ascii="Calibri" w:hAnsi="Calibri" w:cs="Calibri"/>
                <w:b/>
                <w:color w:val="002B45"/>
                <w:sz w:val="15"/>
                <w:szCs w:val="15"/>
              </w:rPr>
              <w:br/>
              <w:t>$m</w:t>
            </w:r>
          </w:p>
        </w:tc>
        <w:tc>
          <w:tcPr>
            <w:tcW w:w="992" w:type="dxa"/>
            <w:tcBorders>
              <w:bottom w:val="single" w:sz="12" w:space="0" w:color="999999"/>
            </w:tcBorders>
            <w:shd w:val="clear" w:color="auto" w:fill="FFFFFF" w:themeFill="background1"/>
            <w:vAlign w:val="bottom"/>
          </w:tcPr>
          <w:p w:rsidR="00871692" w:rsidRPr="00235E84" w:rsidRDefault="00871692" w:rsidP="004F290B">
            <w:pPr>
              <w:spacing w:line="180" w:lineRule="exact"/>
              <w:jc w:val="right"/>
              <w:rPr>
                <w:rStyle w:val="Bold"/>
                <w:rFonts w:ascii="Calibri" w:hAnsi="Calibri" w:cs="Calibri"/>
                <w:b/>
                <w:color w:val="002B45"/>
                <w:sz w:val="15"/>
                <w:szCs w:val="15"/>
              </w:rPr>
            </w:pPr>
            <w:r w:rsidRPr="00235E84">
              <w:rPr>
                <w:rStyle w:val="Bold"/>
                <w:rFonts w:ascii="Calibri" w:hAnsi="Calibri" w:cs="Calibri"/>
                <w:b/>
                <w:color w:val="002B45"/>
                <w:sz w:val="15"/>
                <w:szCs w:val="15"/>
              </w:rPr>
              <w:t>Unallocated</w:t>
            </w:r>
            <w:r w:rsidRPr="00235E84">
              <w:rPr>
                <w:rStyle w:val="Bold"/>
                <w:rFonts w:ascii="Calibri" w:hAnsi="Calibri" w:cs="Calibri"/>
                <w:b/>
                <w:color w:val="002B45"/>
                <w:sz w:val="15"/>
                <w:szCs w:val="15"/>
              </w:rPr>
              <w:br/>
              <w:t>$m</w:t>
            </w:r>
          </w:p>
        </w:tc>
        <w:tc>
          <w:tcPr>
            <w:tcW w:w="851" w:type="dxa"/>
            <w:tcBorders>
              <w:bottom w:val="single" w:sz="12" w:space="0" w:color="999999"/>
            </w:tcBorders>
            <w:shd w:val="clear" w:color="auto" w:fill="FFFFFF" w:themeFill="background1"/>
            <w:vAlign w:val="bottom"/>
          </w:tcPr>
          <w:p w:rsidR="00871692" w:rsidRPr="00235E84" w:rsidRDefault="00871692" w:rsidP="004F290B">
            <w:pPr>
              <w:spacing w:line="180" w:lineRule="exact"/>
              <w:jc w:val="right"/>
              <w:rPr>
                <w:rStyle w:val="Bold"/>
                <w:rFonts w:ascii="Calibri" w:hAnsi="Calibri" w:cs="Calibri"/>
                <w:b/>
                <w:color w:val="002B45"/>
                <w:sz w:val="15"/>
                <w:szCs w:val="15"/>
              </w:rPr>
            </w:pPr>
            <w:r w:rsidRPr="00235E84">
              <w:rPr>
                <w:rStyle w:val="Bold"/>
                <w:rFonts w:ascii="Calibri" w:hAnsi="Calibri" w:cs="Calibri"/>
                <w:b/>
                <w:color w:val="002B45"/>
                <w:sz w:val="15"/>
                <w:szCs w:val="15"/>
              </w:rPr>
              <w:t>Total</w:t>
            </w:r>
            <w:r w:rsidRPr="00235E84">
              <w:rPr>
                <w:rStyle w:val="Bold"/>
                <w:rFonts w:ascii="Calibri" w:hAnsi="Calibri" w:cs="Calibri"/>
                <w:b/>
                <w:color w:val="002B45"/>
                <w:sz w:val="15"/>
                <w:szCs w:val="15"/>
              </w:rPr>
              <w:br/>
              <w:t>$m</w:t>
            </w:r>
          </w:p>
        </w:tc>
      </w:tr>
      <w:tr w:rsidR="00871692" w:rsidRPr="00E7076E" w:rsidTr="004F290B">
        <w:tc>
          <w:tcPr>
            <w:tcW w:w="4253" w:type="dxa"/>
            <w:tcBorders>
              <w:top w:val="single" w:sz="12" w:space="0" w:color="999999"/>
              <w:bottom w:val="single" w:sz="4" w:space="0" w:color="999999"/>
            </w:tcBorders>
            <w:shd w:val="clear" w:color="auto" w:fill="auto"/>
            <w:vAlign w:val="bottom"/>
          </w:tcPr>
          <w:p w:rsidR="00871692" w:rsidRPr="00235E84" w:rsidRDefault="00871692" w:rsidP="004F290B">
            <w:pPr>
              <w:pStyle w:val="Tabletext0"/>
              <w:ind w:right="85"/>
              <w:rPr>
                <w:rFonts w:ascii="Calibri" w:hAnsi="Calibri" w:cs="Calibri"/>
                <w:color w:val="002B45"/>
              </w:rPr>
            </w:pPr>
            <w:r>
              <w:rPr>
                <w:rFonts w:ascii="Calibri" w:hAnsi="Calibri" w:cs="Calibri"/>
                <w:color w:val="002B45"/>
              </w:rPr>
              <w:t>2012</w:t>
            </w:r>
            <w:r w:rsidRPr="00235E84">
              <w:rPr>
                <w:rFonts w:ascii="Calibri" w:hAnsi="Calibri" w:cs="Calibri"/>
                <w:color w:val="002B45"/>
              </w:rPr>
              <w:br/>
              <w:t>Sales revenue by origin</w:t>
            </w:r>
          </w:p>
        </w:tc>
        <w:tc>
          <w:tcPr>
            <w:tcW w:w="1134" w:type="dxa"/>
            <w:tcBorders>
              <w:top w:val="single" w:sz="12" w:space="0" w:color="999999"/>
              <w:bottom w:val="single" w:sz="4" w:space="0" w:color="999999"/>
            </w:tcBorders>
            <w:shd w:val="clear" w:color="auto" w:fill="E6E6E6"/>
            <w:vAlign w:val="bottom"/>
          </w:tcPr>
          <w:p w:rsidR="00871692" w:rsidRPr="00073D2B" w:rsidRDefault="00871692" w:rsidP="004F290B">
            <w:pPr>
              <w:jc w:val="right"/>
              <w:rPr>
                <w:rFonts w:ascii="Calibri" w:hAnsi="Calibri" w:cs="Calibri"/>
                <w:color w:val="002B45"/>
                <w:lang w:val="en-US"/>
              </w:rPr>
            </w:pPr>
            <w:r w:rsidRPr="00073D2B">
              <w:rPr>
                <w:rFonts w:ascii="Calibri" w:hAnsi="Calibri" w:cs="Calibri"/>
                <w:color w:val="002B45"/>
                <w:lang w:val="en-US"/>
              </w:rPr>
              <w:t xml:space="preserve"> 1,963.5 </w:t>
            </w:r>
          </w:p>
        </w:tc>
        <w:tc>
          <w:tcPr>
            <w:tcW w:w="992" w:type="dxa"/>
            <w:tcBorders>
              <w:top w:val="single" w:sz="12" w:space="0" w:color="999999"/>
              <w:bottom w:val="single" w:sz="4" w:space="0" w:color="999999"/>
            </w:tcBorders>
            <w:shd w:val="clear" w:color="auto" w:fill="E6E6E6"/>
            <w:vAlign w:val="bottom"/>
          </w:tcPr>
          <w:p w:rsidR="00871692" w:rsidRPr="00073D2B" w:rsidRDefault="00871692" w:rsidP="004F290B">
            <w:pPr>
              <w:jc w:val="right"/>
              <w:rPr>
                <w:rFonts w:ascii="Calibri" w:hAnsi="Calibri" w:cs="Calibri"/>
                <w:color w:val="002B45"/>
                <w:lang w:val="en-US"/>
              </w:rPr>
            </w:pPr>
            <w:r w:rsidRPr="00073D2B">
              <w:rPr>
                <w:rFonts w:ascii="Calibri" w:hAnsi="Calibri" w:cs="Calibri"/>
                <w:color w:val="002B45"/>
                <w:lang w:val="en-US"/>
              </w:rPr>
              <w:t xml:space="preserve"> – </w:t>
            </w:r>
          </w:p>
        </w:tc>
        <w:tc>
          <w:tcPr>
            <w:tcW w:w="1276" w:type="dxa"/>
            <w:tcBorders>
              <w:top w:val="single" w:sz="12" w:space="0" w:color="999999"/>
              <w:bottom w:val="single" w:sz="4" w:space="0" w:color="999999"/>
            </w:tcBorders>
            <w:shd w:val="clear" w:color="auto" w:fill="E6E6E6"/>
            <w:vAlign w:val="bottom"/>
          </w:tcPr>
          <w:p w:rsidR="00871692" w:rsidRPr="00073D2B" w:rsidRDefault="00871692" w:rsidP="004F290B">
            <w:pPr>
              <w:jc w:val="right"/>
              <w:rPr>
                <w:rFonts w:ascii="Calibri" w:hAnsi="Calibri" w:cs="Calibri"/>
                <w:color w:val="002B45"/>
                <w:lang w:val="en-US"/>
              </w:rPr>
            </w:pPr>
            <w:r w:rsidRPr="00073D2B">
              <w:rPr>
                <w:rFonts w:ascii="Calibri" w:hAnsi="Calibri" w:cs="Calibri"/>
                <w:color w:val="002B45"/>
                <w:lang w:val="en-US"/>
              </w:rPr>
              <w:t xml:space="preserve"> 380.6 </w:t>
            </w:r>
          </w:p>
        </w:tc>
        <w:tc>
          <w:tcPr>
            <w:tcW w:w="992" w:type="dxa"/>
            <w:tcBorders>
              <w:top w:val="single" w:sz="12" w:space="0" w:color="999999"/>
              <w:bottom w:val="single" w:sz="4" w:space="0" w:color="999999"/>
            </w:tcBorders>
            <w:shd w:val="clear" w:color="auto" w:fill="E6E6E6"/>
            <w:vAlign w:val="bottom"/>
          </w:tcPr>
          <w:p w:rsidR="00871692" w:rsidRPr="00073D2B" w:rsidRDefault="00871692" w:rsidP="004F290B">
            <w:pPr>
              <w:jc w:val="right"/>
              <w:rPr>
                <w:rFonts w:ascii="Calibri" w:hAnsi="Calibri" w:cs="Calibri"/>
                <w:color w:val="002B45"/>
                <w:lang w:val="en-US"/>
              </w:rPr>
            </w:pPr>
            <w:r w:rsidRPr="00073D2B">
              <w:rPr>
                <w:rFonts w:ascii="Calibri" w:hAnsi="Calibri" w:cs="Calibri"/>
                <w:color w:val="002B45"/>
                <w:lang w:val="en-US"/>
              </w:rPr>
              <w:t xml:space="preserve"> – </w:t>
            </w:r>
          </w:p>
        </w:tc>
        <w:tc>
          <w:tcPr>
            <w:tcW w:w="851" w:type="dxa"/>
            <w:tcBorders>
              <w:top w:val="single" w:sz="12" w:space="0" w:color="999999"/>
              <w:bottom w:val="single" w:sz="4" w:space="0" w:color="999999"/>
            </w:tcBorders>
            <w:shd w:val="clear" w:color="auto" w:fill="E6E6E6"/>
            <w:vAlign w:val="bottom"/>
          </w:tcPr>
          <w:p w:rsidR="00871692" w:rsidRPr="00073D2B" w:rsidRDefault="00871692" w:rsidP="004F290B">
            <w:pPr>
              <w:jc w:val="right"/>
              <w:rPr>
                <w:rFonts w:ascii="Calibri" w:hAnsi="Calibri" w:cs="Calibri"/>
                <w:color w:val="002B45"/>
                <w:lang w:val="en-US"/>
              </w:rPr>
            </w:pPr>
            <w:r w:rsidRPr="00073D2B">
              <w:rPr>
                <w:rFonts w:ascii="Calibri" w:hAnsi="Calibri" w:cs="Calibri"/>
                <w:color w:val="002B45"/>
                <w:lang w:val="en-US"/>
              </w:rPr>
              <w:t xml:space="preserve"> 2,344.1 </w:t>
            </w:r>
          </w:p>
        </w:tc>
      </w:tr>
      <w:tr w:rsidR="00871692" w:rsidRPr="00E7076E" w:rsidTr="004F290B">
        <w:trPr>
          <w:trHeight w:val="340"/>
        </w:trPr>
        <w:tc>
          <w:tcPr>
            <w:tcW w:w="4253" w:type="dxa"/>
            <w:tcBorders>
              <w:top w:val="single" w:sz="4" w:space="0" w:color="999999"/>
              <w:bottom w:val="single" w:sz="4" w:space="0" w:color="999999"/>
            </w:tcBorders>
            <w:shd w:val="clear" w:color="auto" w:fill="auto"/>
            <w:vAlign w:val="center"/>
          </w:tcPr>
          <w:p w:rsidR="00871692" w:rsidRPr="00235E84" w:rsidRDefault="00871692" w:rsidP="004F290B">
            <w:pPr>
              <w:pStyle w:val="Tabletext0"/>
              <w:ind w:right="85"/>
              <w:rPr>
                <w:rFonts w:ascii="Calibri" w:hAnsi="Calibri" w:cs="Calibri"/>
                <w:color w:val="002B45"/>
              </w:rPr>
            </w:pPr>
            <w:r w:rsidRPr="00235E84">
              <w:rPr>
                <w:rFonts w:ascii="Calibri" w:hAnsi="Calibri" w:cs="Calibri"/>
                <w:color w:val="002B45"/>
              </w:rPr>
              <w:t>Segment result</w:t>
            </w:r>
          </w:p>
        </w:tc>
        <w:tc>
          <w:tcPr>
            <w:tcW w:w="1134" w:type="dxa"/>
            <w:tcBorders>
              <w:top w:val="single" w:sz="4" w:space="0" w:color="999999"/>
              <w:bottom w:val="single" w:sz="4" w:space="0" w:color="999999"/>
            </w:tcBorders>
            <w:shd w:val="clear" w:color="auto" w:fill="E6E6E6"/>
            <w:vAlign w:val="center"/>
          </w:tcPr>
          <w:p w:rsidR="00871692" w:rsidRPr="00073D2B" w:rsidRDefault="00871692" w:rsidP="004F290B">
            <w:pPr>
              <w:jc w:val="right"/>
              <w:rPr>
                <w:rFonts w:ascii="Calibri" w:hAnsi="Calibri" w:cs="Calibri"/>
                <w:color w:val="002B45"/>
                <w:lang w:val="en-US"/>
              </w:rPr>
            </w:pPr>
            <w:r w:rsidRPr="00073D2B">
              <w:rPr>
                <w:rFonts w:ascii="Calibri" w:hAnsi="Calibri" w:cs="Calibri"/>
                <w:color w:val="002B45"/>
                <w:lang w:val="en-US"/>
              </w:rPr>
              <w:t xml:space="preserve"> 974.1 </w:t>
            </w:r>
          </w:p>
        </w:tc>
        <w:tc>
          <w:tcPr>
            <w:tcW w:w="992" w:type="dxa"/>
            <w:tcBorders>
              <w:top w:val="single" w:sz="4" w:space="0" w:color="999999"/>
              <w:bottom w:val="single" w:sz="4" w:space="0" w:color="999999"/>
            </w:tcBorders>
            <w:shd w:val="clear" w:color="auto" w:fill="E6E6E6"/>
            <w:vAlign w:val="center"/>
          </w:tcPr>
          <w:p w:rsidR="00871692" w:rsidRPr="00073D2B" w:rsidRDefault="00871692" w:rsidP="004F290B">
            <w:pPr>
              <w:jc w:val="right"/>
              <w:rPr>
                <w:rFonts w:ascii="Calibri" w:hAnsi="Calibri" w:cs="Calibri"/>
                <w:color w:val="002B45"/>
                <w:lang w:val="en-US"/>
              </w:rPr>
            </w:pPr>
            <w:r w:rsidRPr="00073D2B">
              <w:rPr>
                <w:rFonts w:ascii="Calibri" w:hAnsi="Calibri" w:cs="Calibri"/>
                <w:color w:val="002B45"/>
                <w:lang w:val="en-US"/>
              </w:rPr>
              <w:t>(176.2)</w:t>
            </w:r>
          </w:p>
        </w:tc>
        <w:tc>
          <w:tcPr>
            <w:tcW w:w="1276" w:type="dxa"/>
            <w:tcBorders>
              <w:top w:val="single" w:sz="4" w:space="0" w:color="999999"/>
              <w:bottom w:val="single" w:sz="4" w:space="0" w:color="999999"/>
            </w:tcBorders>
            <w:shd w:val="clear" w:color="auto" w:fill="E6E6E6"/>
            <w:vAlign w:val="center"/>
          </w:tcPr>
          <w:p w:rsidR="00871692" w:rsidRPr="00073D2B" w:rsidRDefault="00871692" w:rsidP="004F290B">
            <w:pPr>
              <w:jc w:val="right"/>
              <w:rPr>
                <w:rFonts w:ascii="Calibri" w:hAnsi="Calibri" w:cs="Calibri"/>
                <w:color w:val="002B45"/>
                <w:lang w:val="en-US"/>
              </w:rPr>
            </w:pPr>
            <w:r w:rsidRPr="00073D2B">
              <w:rPr>
                <w:rFonts w:ascii="Calibri" w:hAnsi="Calibri" w:cs="Calibri"/>
                <w:color w:val="002B45"/>
                <w:lang w:val="en-US"/>
              </w:rPr>
              <w:t>(124.0)</w:t>
            </w:r>
          </w:p>
        </w:tc>
        <w:tc>
          <w:tcPr>
            <w:tcW w:w="992" w:type="dxa"/>
            <w:tcBorders>
              <w:top w:val="single" w:sz="4" w:space="0" w:color="999999"/>
              <w:bottom w:val="single" w:sz="4" w:space="0" w:color="999999"/>
            </w:tcBorders>
            <w:shd w:val="clear" w:color="auto" w:fill="E6E6E6"/>
            <w:vAlign w:val="center"/>
          </w:tcPr>
          <w:p w:rsidR="00871692" w:rsidRPr="00073D2B" w:rsidRDefault="00871692" w:rsidP="004F290B">
            <w:pPr>
              <w:jc w:val="right"/>
              <w:rPr>
                <w:rFonts w:ascii="Calibri" w:hAnsi="Calibri" w:cs="Calibri"/>
                <w:color w:val="002B45"/>
                <w:lang w:val="en-US"/>
              </w:rPr>
            </w:pPr>
            <w:r w:rsidRPr="00073D2B">
              <w:rPr>
                <w:rFonts w:ascii="Calibri" w:hAnsi="Calibri" w:cs="Calibri"/>
                <w:color w:val="002B45"/>
                <w:lang w:val="en-US"/>
              </w:rPr>
              <w:t xml:space="preserve"> – </w:t>
            </w:r>
          </w:p>
        </w:tc>
        <w:tc>
          <w:tcPr>
            <w:tcW w:w="851" w:type="dxa"/>
            <w:tcBorders>
              <w:top w:val="single" w:sz="4" w:space="0" w:color="999999"/>
              <w:bottom w:val="single" w:sz="4" w:space="0" w:color="999999"/>
            </w:tcBorders>
            <w:shd w:val="clear" w:color="auto" w:fill="E6E6E6"/>
            <w:vAlign w:val="center"/>
          </w:tcPr>
          <w:p w:rsidR="00871692" w:rsidRPr="00073D2B" w:rsidRDefault="00871692" w:rsidP="004F290B">
            <w:pPr>
              <w:jc w:val="right"/>
              <w:rPr>
                <w:rFonts w:ascii="Calibri" w:hAnsi="Calibri" w:cs="Calibri"/>
                <w:color w:val="002B45"/>
                <w:lang w:val="en-US"/>
              </w:rPr>
            </w:pPr>
            <w:r w:rsidRPr="00073D2B">
              <w:rPr>
                <w:rFonts w:ascii="Calibri" w:hAnsi="Calibri" w:cs="Calibri"/>
                <w:color w:val="002B45"/>
                <w:lang w:val="en-US"/>
              </w:rPr>
              <w:t xml:space="preserve"> 673.9 </w:t>
            </w:r>
          </w:p>
        </w:tc>
      </w:tr>
      <w:tr w:rsidR="00871692" w:rsidRPr="00E7076E" w:rsidTr="004F290B">
        <w:trPr>
          <w:trHeight w:val="340"/>
        </w:trPr>
        <w:tc>
          <w:tcPr>
            <w:tcW w:w="4253" w:type="dxa"/>
            <w:tcBorders>
              <w:top w:val="single" w:sz="4" w:space="0" w:color="999999"/>
            </w:tcBorders>
            <w:vAlign w:val="center"/>
          </w:tcPr>
          <w:p w:rsidR="00871692" w:rsidRPr="00235E84" w:rsidRDefault="00871692" w:rsidP="004F290B">
            <w:pPr>
              <w:pStyle w:val="Tabletext0"/>
              <w:ind w:right="85"/>
              <w:rPr>
                <w:rFonts w:ascii="Calibri" w:hAnsi="Calibri" w:cs="Calibri"/>
                <w:color w:val="002B45"/>
              </w:rPr>
            </w:pPr>
            <w:r w:rsidRPr="00235E84">
              <w:rPr>
                <w:rFonts w:ascii="Calibri" w:hAnsi="Calibri" w:cs="Calibri"/>
                <w:color w:val="002B45"/>
              </w:rPr>
              <w:t>Profit on disposal of oil and gas assets</w:t>
            </w:r>
          </w:p>
        </w:tc>
        <w:tc>
          <w:tcPr>
            <w:tcW w:w="1134" w:type="dxa"/>
            <w:tcBorders>
              <w:top w:val="single" w:sz="4" w:space="0" w:color="999999"/>
            </w:tcBorders>
            <w:shd w:val="clear" w:color="auto" w:fill="E6E6E6"/>
            <w:vAlign w:val="center"/>
          </w:tcPr>
          <w:p w:rsidR="00871692" w:rsidRPr="00073D2B" w:rsidRDefault="00871692" w:rsidP="004F290B">
            <w:pPr>
              <w:jc w:val="right"/>
              <w:rPr>
                <w:rFonts w:ascii="Calibri" w:hAnsi="Calibri" w:cs="Calibri"/>
                <w:color w:val="002B45"/>
                <w:lang w:val="en-US"/>
              </w:rPr>
            </w:pPr>
          </w:p>
        </w:tc>
        <w:tc>
          <w:tcPr>
            <w:tcW w:w="992" w:type="dxa"/>
            <w:tcBorders>
              <w:top w:val="single" w:sz="4" w:space="0" w:color="999999"/>
            </w:tcBorders>
            <w:shd w:val="clear" w:color="auto" w:fill="E6E6E6"/>
            <w:vAlign w:val="center"/>
          </w:tcPr>
          <w:p w:rsidR="00871692" w:rsidRPr="00073D2B" w:rsidRDefault="00871692" w:rsidP="004F290B">
            <w:pPr>
              <w:jc w:val="right"/>
              <w:rPr>
                <w:rFonts w:ascii="Calibri" w:hAnsi="Calibri" w:cs="Calibri"/>
                <w:color w:val="002B45"/>
                <w:lang w:val="en-US"/>
              </w:rPr>
            </w:pPr>
          </w:p>
        </w:tc>
        <w:tc>
          <w:tcPr>
            <w:tcW w:w="1276" w:type="dxa"/>
            <w:tcBorders>
              <w:top w:val="single" w:sz="4" w:space="0" w:color="999999"/>
            </w:tcBorders>
            <w:shd w:val="clear" w:color="auto" w:fill="E6E6E6"/>
            <w:vAlign w:val="center"/>
          </w:tcPr>
          <w:p w:rsidR="00871692" w:rsidRPr="00073D2B" w:rsidRDefault="00871692" w:rsidP="004F290B">
            <w:pPr>
              <w:jc w:val="right"/>
              <w:rPr>
                <w:rFonts w:ascii="Calibri" w:hAnsi="Calibri" w:cs="Calibri"/>
                <w:color w:val="002B45"/>
                <w:lang w:val="en-US"/>
              </w:rPr>
            </w:pPr>
          </w:p>
        </w:tc>
        <w:tc>
          <w:tcPr>
            <w:tcW w:w="992" w:type="dxa"/>
            <w:tcBorders>
              <w:top w:val="single" w:sz="4" w:space="0" w:color="999999"/>
            </w:tcBorders>
            <w:shd w:val="clear" w:color="auto" w:fill="E6E6E6"/>
            <w:vAlign w:val="center"/>
          </w:tcPr>
          <w:p w:rsidR="00871692" w:rsidRPr="00073D2B" w:rsidRDefault="00871692" w:rsidP="004F290B">
            <w:pPr>
              <w:jc w:val="right"/>
              <w:rPr>
                <w:rFonts w:ascii="Calibri" w:hAnsi="Calibri" w:cs="Calibri"/>
                <w:color w:val="002B45"/>
                <w:lang w:val="en-US"/>
              </w:rPr>
            </w:pPr>
          </w:p>
        </w:tc>
        <w:tc>
          <w:tcPr>
            <w:tcW w:w="851" w:type="dxa"/>
            <w:tcBorders>
              <w:top w:val="single" w:sz="4" w:space="0" w:color="999999"/>
            </w:tcBorders>
            <w:shd w:val="clear" w:color="auto" w:fill="E6E6E6"/>
            <w:vAlign w:val="center"/>
          </w:tcPr>
          <w:p w:rsidR="00871692" w:rsidRPr="00073D2B" w:rsidRDefault="00871692" w:rsidP="004F290B">
            <w:pPr>
              <w:jc w:val="right"/>
              <w:rPr>
                <w:rFonts w:ascii="Calibri" w:hAnsi="Calibri" w:cs="Calibri"/>
                <w:color w:val="002B45"/>
                <w:lang w:val="en-US"/>
              </w:rPr>
            </w:pPr>
            <w:r w:rsidRPr="00073D2B">
              <w:rPr>
                <w:rFonts w:ascii="Calibri" w:hAnsi="Calibri" w:cs="Calibri"/>
                <w:color w:val="002B45"/>
                <w:lang w:val="en-US"/>
              </w:rPr>
              <w:t xml:space="preserve"> 702.5 </w:t>
            </w:r>
          </w:p>
        </w:tc>
      </w:tr>
      <w:tr w:rsidR="00871692" w:rsidRPr="00E7076E" w:rsidTr="004F290B">
        <w:trPr>
          <w:trHeight w:val="340"/>
        </w:trPr>
        <w:tc>
          <w:tcPr>
            <w:tcW w:w="4253" w:type="dxa"/>
            <w:tcBorders>
              <w:bottom w:val="single" w:sz="4" w:space="0" w:color="999999"/>
            </w:tcBorders>
            <w:shd w:val="clear" w:color="auto" w:fill="auto"/>
            <w:vAlign w:val="center"/>
          </w:tcPr>
          <w:p w:rsidR="00871692" w:rsidRPr="00235E84" w:rsidRDefault="00871692" w:rsidP="004F290B">
            <w:pPr>
              <w:pStyle w:val="Tabletext0"/>
              <w:ind w:right="85"/>
              <w:rPr>
                <w:rFonts w:ascii="Calibri" w:hAnsi="Calibri" w:cs="Calibri"/>
                <w:color w:val="002B45"/>
              </w:rPr>
            </w:pPr>
            <w:r w:rsidRPr="00235E84">
              <w:rPr>
                <w:rFonts w:ascii="Calibri" w:hAnsi="Calibri" w:cs="Calibri"/>
                <w:color w:val="002B45"/>
              </w:rPr>
              <w:t>Unallocated corporate expenses</w:t>
            </w:r>
          </w:p>
        </w:tc>
        <w:tc>
          <w:tcPr>
            <w:tcW w:w="1134" w:type="dxa"/>
            <w:tcBorders>
              <w:bottom w:val="single" w:sz="4" w:space="0" w:color="999999"/>
            </w:tcBorders>
            <w:shd w:val="clear" w:color="auto" w:fill="E6E6E6"/>
            <w:vAlign w:val="center"/>
          </w:tcPr>
          <w:p w:rsidR="00871692" w:rsidRPr="00073D2B" w:rsidRDefault="00871692" w:rsidP="004F290B">
            <w:pPr>
              <w:jc w:val="right"/>
              <w:rPr>
                <w:rFonts w:ascii="Calibri" w:hAnsi="Calibri" w:cs="Calibri"/>
                <w:color w:val="002B45"/>
                <w:lang w:val="en-US"/>
              </w:rPr>
            </w:pPr>
          </w:p>
        </w:tc>
        <w:tc>
          <w:tcPr>
            <w:tcW w:w="992" w:type="dxa"/>
            <w:tcBorders>
              <w:bottom w:val="single" w:sz="4" w:space="0" w:color="999999"/>
            </w:tcBorders>
            <w:shd w:val="clear" w:color="auto" w:fill="E6E6E6"/>
            <w:vAlign w:val="center"/>
          </w:tcPr>
          <w:p w:rsidR="00871692" w:rsidRPr="00073D2B" w:rsidRDefault="00871692" w:rsidP="004F290B">
            <w:pPr>
              <w:jc w:val="right"/>
              <w:rPr>
                <w:rFonts w:ascii="Calibri" w:hAnsi="Calibri" w:cs="Calibri"/>
                <w:color w:val="002B45"/>
                <w:lang w:val="en-US"/>
              </w:rPr>
            </w:pPr>
          </w:p>
        </w:tc>
        <w:tc>
          <w:tcPr>
            <w:tcW w:w="1276" w:type="dxa"/>
            <w:tcBorders>
              <w:bottom w:val="single" w:sz="4" w:space="0" w:color="999999"/>
            </w:tcBorders>
            <w:shd w:val="clear" w:color="auto" w:fill="E6E6E6"/>
            <w:vAlign w:val="center"/>
          </w:tcPr>
          <w:p w:rsidR="00871692" w:rsidRPr="00073D2B" w:rsidRDefault="00871692" w:rsidP="004F290B">
            <w:pPr>
              <w:jc w:val="right"/>
              <w:rPr>
                <w:rFonts w:ascii="Calibri" w:hAnsi="Calibri" w:cs="Calibri"/>
                <w:color w:val="002B45"/>
                <w:lang w:val="en-US"/>
              </w:rPr>
            </w:pPr>
          </w:p>
        </w:tc>
        <w:tc>
          <w:tcPr>
            <w:tcW w:w="992" w:type="dxa"/>
            <w:tcBorders>
              <w:bottom w:val="single" w:sz="4" w:space="0" w:color="999999"/>
            </w:tcBorders>
            <w:shd w:val="clear" w:color="auto" w:fill="E6E6E6"/>
            <w:vAlign w:val="center"/>
          </w:tcPr>
          <w:p w:rsidR="00871692" w:rsidRPr="00073D2B" w:rsidRDefault="00871692" w:rsidP="004F290B">
            <w:pPr>
              <w:jc w:val="right"/>
              <w:rPr>
                <w:rFonts w:ascii="Calibri" w:hAnsi="Calibri" w:cs="Calibri"/>
                <w:color w:val="002B45"/>
                <w:lang w:val="en-US"/>
              </w:rPr>
            </w:pPr>
          </w:p>
        </w:tc>
        <w:tc>
          <w:tcPr>
            <w:tcW w:w="851" w:type="dxa"/>
            <w:tcBorders>
              <w:bottom w:val="single" w:sz="4" w:space="0" w:color="999999"/>
            </w:tcBorders>
            <w:shd w:val="clear" w:color="auto" w:fill="E6E6E6"/>
            <w:vAlign w:val="center"/>
          </w:tcPr>
          <w:p w:rsidR="00871692" w:rsidRPr="00073D2B" w:rsidRDefault="00871692" w:rsidP="004F290B">
            <w:pPr>
              <w:jc w:val="right"/>
              <w:rPr>
                <w:rFonts w:ascii="Calibri" w:hAnsi="Calibri" w:cs="Calibri"/>
                <w:color w:val="002B45"/>
                <w:lang w:val="en-US"/>
              </w:rPr>
            </w:pPr>
            <w:r w:rsidRPr="00073D2B">
              <w:rPr>
                <w:rFonts w:ascii="Calibri" w:hAnsi="Calibri" w:cs="Calibri"/>
                <w:color w:val="002B45"/>
                <w:lang w:val="en-US"/>
              </w:rPr>
              <w:t>(191.2)</w:t>
            </w:r>
          </w:p>
        </w:tc>
      </w:tr>
      <w:tr w:rsidR="00871692" w:rsidRPr="00E7076E" w:rsidTr="004F290B">
        <w:trPr>
          <w:trHeight w:val="340"/>
        </w:trPr>
        <w:tc>
          <w:tcPr>
            <w:tcW w:w="4253" w:type="dxa"/>
            <w:tcBorders>
              <w:top w:val="single" w:sz="4" w:space="0" w:color="999999"/>
            </w:tcBorders>
            <w:vAlign w:val="center"/>
          </w:tcPr>
          <w:p w:rsidR="00871692" w:rsidRPr="00235E84" w:rsidRDefault="00871692" w:rsidP="004F290B">
            <w:pPr>
              <w:pStyle w:val="Tabletext0"/>
              <w:ind w:right="85"/>
              <w:rPr>
                <w:rFonts w:ascii="Calibri" w:hAnsi="Calibri" w:cs="Calibri"/>
                <w:color w:val="002B45"/>
              </w:rPr>
            </w:pPr>
            <w:r w:rsidRPr="00235E84">
              <w:rPr>
                <w:rFonts w:ascii="Calibri" w:hAnsi="Calibri" w:cs="Calibri"/>
                <w:color w:val="002B45"/>
              </w:rPr>
              <w:t>Operating profit</w:t>
            </w:r>
          </w:p>
        </w:tc>
        <w:tc>
          <w:tcPr>
            <w:tcW w:w="1134" w:type="dxa"/>
            <w:tcBorders>
              <w:top w:val="single" w:sz="4" w:space="0" w:color="999999"/>
            </w:tcBorders>
            <w:shd w:val="clear" w:color="auto" w:fill="E6E6E6"/>
            <w:vAlign w:val="center"/>
          </w:tcPr>
          <w:p w:rsidR="00871692" w:rsidRPr="00073D2B" w:rsidRDefault="00871692" w:rsidP="004F290B">
            <w:pPr>
              <w:jc w:val="right"/>
              <w:rPr>
                <w:rFonts w:ascii="Calibri" w:hAnsi="Calibri" w:cs="Calibri"/>
                <w:color w:val="002B45"/>
                <w:lang w:val="en-US"/>
              </w:rPr>
            </w:pPr>
          </w:p>
        </w:tc>
        <w:tc>
          <w:tcPr>
            <w:tcW w:w="992" w:type="dxa"/>
            <w:tcBorders>
              <w:top w:val="single" w:sz="4" w:space="0" w:color="999999"/>
            </w:tcBorders>
            <w:shd w:val="clear" w:color="auto" w:fill="E6E6E6"/>
            <w:vAlign w:val="center"/>
          </w:tcPr>
          <w:p w:rsidR="00871692" w:rsidRPr="00073D2B" w:rsidRDefault="00871692" w:rsidP="004F290B">
            <w:pPr>
              <w:jc w:val="right"/>
              <w:rPr>
                <w:rFonts w:ascii="Calibri" w:hAnsi="Calibri" w:cs="Calibri"/>
                <w:color w:val="002B45"/>
                <w:lang w:val="en-US"/>
              </w:rPr>
            </w:pPr>
          </w:p>
        </w:tc>
        <w:tc>
          <w:tcPr>
            <w:tcW w:w="1276" w:type="dxa"/>
            <w:tcBorders>
              <w:top w:val="single" w:sz="4" w:space="0" w:color="999999"/>
            </w:tcBorders>
            <w:shd w:val="clear" w:color="auto" w:fill="E6E6E6"/>
            <w:vAlign w:val="center"/>
          </w:tcPr>
          <w:p w:rsidR="00871692" w:rsidRPr="00073D2B" w:rsidRDefault="00871692" w:rsidP="004F290B">
            <w:pPr>
              <w:jc w:val="right"/>
              <w:rPr>
                <w:rFonts w:ascii="Calibri" w:hAnsi="Calibri" w:cs="Calibri"/>
                <w:color w:val="002B45"/>
                <w:lang w:val="en-US"/>
              </w:rPr>
            </w:pPr>
          </w:p>
        </w:tc>
        <w:tc>
          <w:tcPr>
            <w:tcW w:w="992" w:type="dxa"/>
            <w:tcBorders>
              <w:top w:val="single" w:sz="4" w:space="0" w:color="999999"/>
            </w:tcBorders>
            <w:shd w:val="clear" w:color="auto" w:fill="E6E6E6"/>
            <w:vAlign w:val="center"/>
          </w:tcPr>
          <w:p w:rsidR="00871692" w:rsidRPr="00073D2B" w:rsidRDefault="00871692" w:rsidP="004F290B">
            <w:pPr>
              <w:jc w:val="right"/>
              <w:rPr>
                <w:rFonts w:ascii="Calibri" w:hAnsi="Calibri" w:cs="Calibri"/>
                <w:color w:val="002B45"/>
                <w:lang w:val="en-US"/>
              </w:rPr>
            </w:pPr>
          </w:p>
        </w:tc>
        <w:tc>
          <w:tcPr>
            <w:tcW w:w="851" w:type="dxa"/>
            <w:tcBorders>
              <w:top w:val="single" w:sz="4" w:space="0" w:color="999999"/>
            </w:tcBorders>
            <w:shd w:val="clear" w:color="auto" w:fill="E6E6E6"/>
            <w:vAlign w:val="center"/>
          </w:tcPr>
          <w:p w:rsidR="00871692" w:rsidRPr="00073D2B" w:rsidRDefault="00871692" w:rsidP="004F290B">
            <w:pPr>
              <w:jc w:val="right"/>
              <w:rPr>
                <w:rFonts w:ascii="Calibri" w:hAnsi="Calibri" w:cs="Calibri"/>
                <w:color w:val="002B45"/>
                <w:lang w:val="en-US"/>
              </w:rPr>
            </w:pPr>
            <w:r w:rsidRPr="00073D2B">
              <w:rPr>
                <w:rFonts w:ascii="Calibri" w:hAnsi="Calibri" w:cs="Calibri"/>
                <w:color w:val="002B45"/>
                <w:lang w:val="en-US"/>
              </w:rPr>
              <w:t xml:space="preserve"> 1,185.2 </w:t>
            </w:r>
          </w:p>
        </w:tc>
      </w:tr>
      <w:tr w:rsidR="00871692" w:rsidRPr="00E7076E" w:rsidTr="004F290B">
        <w:trPr>
          <w:trHeight w:val="340"/>
        </w:trPr>
        <w:tc>
          <w:tcPr>
            <w:tcW w:w="4253" w:type="dxa"/>
            <w:vAlign w:val="center"/>
          </w:tcPr>
          <w:p w:rsidR="00871692" w:rsidRPr="00235E84" w:rsidRDefault="00871692" w:rsidP="004F290B">
            <w:pPr>
              <w:pStyle w:val="Tabletext0"/>
              <w:ind w:right="85"/>
              <w:rPr>
                <w:rFonts w:ascii="Calibri" w:hAnsi="Calibri" w:cs="Calibri"/>
                <w:color w:val="002B45"/>
              </w:rPr>
            </w:pPr>
            <w:r>
              <w:rPr>
                <w:rFonts w:ascii="Calibri" w:hAnsi="Calibri" w:cs="Calibri"/>
                <w:color w:val="002B45"/>
              </w:rPr>
              <w:t>Gain</w:t>
            </w:r>
            <w:r w:rsidRPr="00235E84">
              <w:rPr>
                <w:rFonts w:ascii="Calibri" w:hAnsi="Calibri" w:cs="Calibri"/>
                <w:color w:val="002B45"/>
              </w:rPr>
              <w:t xml:space="preserve"> on hedging instruments</w:t>
            </w:r>
          </w:p>
        </w:tc>
        <w:tc>
          <w:tcPr>
            <w:tcW w:w="1134" w:type="dxa"/>
            <w:shd w:val="clear" w:color="auto" w:fill="E6E6E6"/>
            <w:vAlign w:val="center"/>
          </w:tcPr>
          <w:p w:rsidR="00871692" w:rsidRPr="00073D2B" w:rsidRDefault="00871692" w:rsidP="004F290B">
            <w:pPr>
              <w:jc w:val="right"/>
              <w:rPr>
                <w:rFonts w:ascii="Calibri" w:hAnsi="Calibri" w:cs="Calibri"/>
                <w:color w:val="002B45"/>
                <w:lang w:val="en-US"/>
              </w:rPr>
            </w:pPr>
          </w:p>
        </w:tc>
        <w:tc>
          <w:tcPr>
            <w:tcW w:w="992" w:type="dxa"/>
            <w:shd w:val="clear" w:color="auto" w:fill="E6E6E6"/>
            <w:vAlign w:val="center"/>
          </w:tcPr>
          <w:p w:rsidR="00871692" w:rsidRPr="00073D2B" w:rsidRDefault="00871692" w:rsidP="004F290B">
            <w:pPr>
              <w:jc w:val="right"/>
              <w:rPr>
                <w:rFonts w:ascii="Calibri" w:hAnsi="Calibri" w:cs="Calibri"/>
                <w:color w:val="002B45"/>
                <w:lang w:val="en-US"/>
              </w:rPr>
            </w:pPr>
          </w:p>
        </w:tc>
        <w:tc>
          <w:tcPr>
            <w:tcW w:w="1276" w:type="dxa"/>
            <w:shd w:val="clear" w:color="auto" w:fill="E6E6E6"/>
            <w:vAlign w:val="center"/>
          </w:tcPr>
          <w:p w:rsidR="00871692" w:rsidRPr="00073D2B" w:rsidRDefault="00871692" w:rsidP="004F290B">
            <w:pPr>
              <w:jc w:val="right"/>
              <w:rPr>
                <w:rFonts w:ascii="Calibri" w:hAnsi="Calibri" w:cs="Calibri"/>
                <w:color w:val="002B45"/>
                <w:lang w:val="en-US"/>
              </w:rPr>
            </w:pPr>
          </w:p>
        </w:tc>
        <w:tc>
          <w:tcPr>
            <w:tcW w:w="992" w:type="dxa"/>
            <w:shd w:val="clear" w:color="auto" w:fill="E6E6E6"/>
            <w:vAlign w:val="center"/>
          </w:tcPr>
          <w:p w:rsidR="00871692" w:rsidRPr="00073D2B" w:rsidRDefault="00871692" w:rsidP="004F290B">
            <w:pPr>
              <w:jc w:val="right"/>
              <w:rPr>
                <w:rFonts w:ascii="Calibri" w:hAnsi="Calibri" w:cs="Calibri"/>
                <w:color w:val="002B45"/>
                <w:lang w:val="en-US"/>
              </w:rPr>
            </w:pPr>
          </w:p>
        </w:tc>
        <w:tc>
          <w:tcPr>
            <w:tcW w:w="851" w:type="dxa"/>
            <w:shd w:val="clear" w:color="auto" w:fill="E6E6E6"/>
            <w:vAlign w:val="center"/>
          </w:tcPr>
          <w:p w:rsidR="00871692" w:rsidRPr="00073D2B" w:rsidRDefault="00871692" w:rsidP="004F290B">
            <w:pPr>
              <w:jc w:val="right"/>
              <w:rPr>
                <w:rFonts w:ascii="Calibri" w:hAnsi="Calibri" w:cs="Calibri"/>
                <w:color w:val="002B45"/>
                <w:lang w:val="en-US"/>
              </w:rPr>
            </w:pPr>
            <w:r w:rsidRPr="00073D2B">
              <w:rPr>
                <w:rFonts w:ascii="Calibri" w:hAnsi="Calibri" w:cs="Calibri"/>
                <w:color w:val="002B45"/>
                <w:lang w:val="en-US"/>
              </w:rPr>
              <w:t>(19.9)</w:t>
            </w:r>
          </w:p>
        </w:tc>
      </w:tr>
      <w:tr w:rsidR="00871692" w:rsidRPr="00E7076E" w:rsidTr="004F290B">
        <w:trPr>
          <w:trHeight w:val="340"/>
        </w:trPr>
        <w:tc>
          <w:tcPr>
            <w:tcW w:w="4253" w:type="dxa"/>
            <w:vAlign w:val="center"/>
          </w:tcPr>
          <w:p w:rsidR="00871692" w:rsidRPr="00235E84" w:rsidRDefault="00871692" w:rsidP="004F290B">
            <w:pPr>
              <w:pStyle w:val="Tabletext0"/>
              <w:ind w:right="85"/>
              <w:rPr>
                <w:rFonts w:ascii="Calibri" w:hAnsi="Calibri" w:cs="Calibri"/>
                <w:color w:val="002B45"/>
              </w:rPr>
            </w:pPr>
            <w:r w:rsidRPr="00235E84">
              <w:rPr>
                <w:rFonts w:ascii="Calibri" w:hAnsi="Calibri" w:cs="Calibri"/>
                <w:color w:val="002B45"/>
              </w:rPr>
              <w:t>Finance revenue</w:t>
            </w:r>
          </w:p>
        </w:tc>
        <w:tc>
          <w:tcPr>
            <w:tcW w:w="1134" w:type="dxa"/>
            <w:shd w:val="clear" w:color="auto" w:fill="E6E6E6"/>
            <w:vAlign w:val="center"/>
          </w:tcPr>
          <w:p w:rsidR="00871692" w:rsidRPr="00073D2B" w:rsidRDefault="00871692" w:rsidP="004F290B">
            <w:pPr>
              <w:jc w:val="right"/>
              <w:rPr>
                <w:rFonts w:ascii="Calibri" w:hAnsi="Calibri" w:cs="Calibri"/>
                <w:color w:val="002B45"/>
                <w:lang w:val="en-US"/>
              </w:rPr>
            </w:pPr>
          </w:p>
        </w:tc>
        <w:tc>
          <w:tcPr>
            <w:tcW w:w="992" w:type="dxa"/>
            <w:shd w:val="clear" w:color="auto" w:fill="E6E6E6"/>
            <w:vAlign w:val="center"/>
          </w:tcPr>
          <w:p w:rsidR="00871692" w:rsidRPr="00073D2B" w:rsidRDefault="00871692" w:rsidP="004F290B">
            <w:pPr>
              <w:jc w:val="right"/>
              <w:rPr>
                <w:rFonts w:ascii="Calibri" w:hAnsi="Calibri" w:cs="Calibri"/>
                <w:color w:val="002B45"/>
                <w:lang w:val="en-US"/>
              </w:rPr>
            </w:pPr>
          </w:p>
        </w:tc>
        <w:tc>
          <w:tcPr>
            <w:tcW w:w="1276" w:type="dxa"/>
            <w:shd w:val="clear" w:color="auto" w:fill="E6E6E6"/>
            <w:vAlign w:val="center"/>
          </w:tcPr>
          <w:p w:rsidR="00871692" w:rsidRPr="00073D2B" w:rsidRDefault="00871692" w:rsidP="004F290B">
            <w:pPr>
              <w:jc w:val="right"/>
              <w:rPr>
                <w:rFonts w:ascii="Calibri" w:hAnsi="Calibri" w:cs="Calibri"/>
                <w:color w:val="002B45"/>
                <w:lang w:val="en-US"/>
              </w:rPr>
            </w:pPr>
          </w:p>
        </w:tc>
        <w:tc>
          <w:tcPr>
            <w:tcW w:w="992" w:type="dxa"/>
            <w:shd w:val="clear" w:color="auto" w:fill="E6E6E6"/>
            <w:vAlign w:val="center"/>
          </w:tcPr>
          <w:p w:rsidR="00871692" w:rsidRPr="00073D2B" w:rsidRDefault="00871692" w:rsidP="004F290B">
            <w:pPr>
              <w:jc w:val="right"/>
              <w:rPr>
                <w:rFonts w:ascii="Calibri" w:hAnsi="Calibri" w:cs="Calibri"/>
                <w:color w:val="002B45"/>
                <w:lang w:val="en-US"/>
              </w:rPr>
            </w:pPr>
          </w:p>
        </w:tc>
        <w:tc>
          <w:tcPr>
            <w:tcW w:w="851" w:type="dxa"/>
            <w:shd w:val="clear" w:color="auto" w:fill="E6E6E6"/>
            <w:vAlign w:val="center"/>
          </w:tcPr>
          <w:p w:rsidR="00871692" w:rsidRPr="00073D2B" w:rsidRDefault="00871692" w:rsidP="004F290B">
            <w:pPr>
              <w:jc w:val="right"/>
              <w:rPr>
                <w:rFonts w:ascii="Calibri" w:hAnsi="Calibri" w:cs="Calibri"/>
                <w:color w:val="002B45"/>
                <w:lang w:val="en-US"/>
              </w:rPr>
            </w:pPr>
            <w:r w:rsidRPr="00073D2B">
              <w:rPr>
                <w:rFonts w:ascii="Calibri" w:hAnsi="Calibri" w:cs="Calibri"/>
                <w:color w:val="002B45"/>
                <w:lang w:val="en-US"/>
              </w:rPr>
              <w:t xml:space="preserve"> 9.6 </w:t>
            </w:r>
          </w:p>
        </w:tc>
      </w:tr>
      <w:tr w:rsidR="00871692" w:rsidRPr="00E7076E" w:rsidTr="004F290B">
        <w:trPr>
          <w:trHeight w:val="340"/>
        </w:trPr>
        <w:tc>
          <w:tcPr>
            <w:tcW w:w="4253" w:type="dxa"/>
            <w:tcBorders>
              <w:bottom w:val="single" w:sz="4" w:space="0" w:color="999999"/>
            </w:tcBorders>
            <w:shd w:val="clear" w:color="auto" w:fill="auto"/>
            <w:vAlign w:val="center"/>
          </w:tcPr>
          <w:p w:rsidR="00871692" w:rsidRPr="00235E84" w:rsidRDefault="00871692" w:rsidP="004F290B">
            <w:pPr>
              <w:pStyle w:val="Tabletext0"/>
              <w:ind w:right="85"/>
              <w:rPr>
                <w:rFonts w:ascii="Calibri" w:hAnsi="Calibri" w:cs="Calibri"/>
                <w:color w:val="002B45"/>
              </w:rPr>
            </w:pPr>
            <w:r w:rsidRPr="00235E84">
              <w:rPr>
                <w:rFonts w:ascii="Calibri" w:hAnsi="Calibri" w:cs="Calibri"/>
                <w:color w:val="002B45"/>
              </w:rPr>
              <w:t>Finance costs</w:t>
            </w:r>
          </w:p>
        </w:tc>
        <w:tc>
          <w:tcPr>
            <w:tcW w:w="1134" w:type="dxa"/>
            <w:tcBorders>
              <w:bottom w:val="single" w:sz="4" w:space="0" w:color="999999"/>
            </w:tcBorders>
            <w:shd w:val="clear" w:color="auto" w:fill="E6E6E6"/>
            <w:vAlign w:val="center"/>
          </w:tcPr>
          <w:p w:rsidR="00871692" w:rsidRPr="00073D2B" w:rsidRDefault="00871692" w:rsidP="004F290B">
            <w:pPr>
              <w:jc w:val="right"/>
              <w:rPr>
                <w:rFonts w:ascii="Calibri" w:hAnsi="Calibri" w:cs="Calibri"/>
                <w:color w:val="002B45"/>
                <w:lang w:val="en-US"/>
              </w:rPr>
            </w:pPr>
          </w:p>
        </w:tc>
        <w:tc>
          <w:tcPr>
            <w:tcW w:w="992" w:type="dxa"/>
            <w:tcBorders>
              <w:bottom w:val="single" w:sz="4" w:space="0" w:color="999999"/>
            </w:tcBorders>
            <w:shd w:val="clear" w:color="auto" w:fill="E6E6E6"/>
            <w:vAlign w:val="center"/>
          </w:tcPr>
          <w:p w:rsidR="00871692" w:rsidRPr="00073D2B" w:rsidRDefault="00871692" w:rsidP="004F290B">
            <w:pPr>
              <w:jc w:val="right"/>
              <w:rPr>
                <w:rFonts w:ascii="Calibri" w:hAnsi="Calibri" w:cs="Calibri"/>
                <w:color w:val="002B45"/>
                <w:lang w:val="en-US"/>
              </w:rPr>
            </w:pPr>
          </w:p>
        </w:tc>
        <w:tc>
          <w:tcPr>
            <w:tcW w:w="1276" w:type="dxa"/>
            <w:tcBorders>
              <w:bottom w:val="single" w:sz="4" w:space="0" w:color="999999"/>
            </w:tcBorders>
            <w:shd w:val="clear" w:color="auto" w:fill="E6E6E6"/>
            <w:vAlign w:val="center"/>
          </w:tcPr>
          <w:p w:rsidR="00871692" w:rsidRPr="00073D2B" w:rsidRDefault="00871692" w:rsidP="004F290B">
            <w:pPr>
              <w:jc w:val="right"/>
              <w:rPr>
                <w:rFonts w:ascii="Calibri" w:hAnsi="Calibri" w:cs="Calibri"/>
                <w:color w:val="002B45"/>
                <w:lang w:val="en-US"/>
              </w:rPr>
            </w:pPr>
          </w:p>
        </w:tc>
        <w:tc>
          <w:tcPr>
            <w:tcW w:w="992" w:type="dxa"/>
            <w:tcBorders>
              <w:bottom w:val="single" w:sz="4" w:space="0" w:color="999999"/>
            </w:tcBorders>
            <w:shd w:val="clear" w:color="auto" w:fill="E6E6E6"/>
            <w:vAlign w:val="center"/>
          </w:tcPr>
          <w:p w:rsidR="00871692" w:rsidRPr="00073D2B" w:rsidRDefault="00871692" w:rsidP="004F290B">
            <w:pPr>
              <w:jc w:val="right"/>
              <w:rPr>
                <w:rFonts w:ascii="Calibri" w:hAnsi="Calibri" w:cs="Calibri"/>
                <w:color w:val="002B45"/>
                <w:lang w:val="en-US"/>
              </w:rPr>
            </w:pPr>
          </w:p>
        </w:tc>
        <w:tc>
          <w:tcPr>
            <w:tcW w:w="851" w:type="dxa"/>
            <w:tcBorders>
              <w:bottom w:val="single" w:sz="4" w:space="0" w:color="999999"/>
            </w:tcBorders>
            <w:shd w:val="clear" w:color="auto" w:fill="E6E6E6"/>
            <w:vAlign w:val="center"/>
          </w:tcPr>
          <w:p w:rsidR="00871692" w:rsidRPr="00073D2B" w:rsidRDefault="00871692" w:rsidP="004F290B">
            <w:pPr>
              <w:jc w:val="right"/>
              <w:rPr>
                <w:rFonts w:ascii="Calibri" w:hAnsi="Calibri" w:cs="Calibri"/>
                <w:color w:val="002B45"/>
                <w:lang w:val="en-US"/>
              </w:rPr>
            </w:pPr>
            <w:r w:rsidRPr="00073D2B">
              <w:rPr>
                <w:rFonts w:ascii="Calibri" w:hAnsi="Calibri" w:cs="Calibri"/>
                <w:color w:val="002B45"/>
                <w:lang w:val="en-US"/>
              </w:rPr>
              <w:t>(59.0)</w:t>
            </w:r>
          </w:p>
        </w:tc>
      </w:tr>
      <w:tr w:rsidR="00871692" w:rsidRPr="00E7076E" w:rsidTr="004F290B">
        <w:trPr>
          <w:trHeight w:val="340"/>
        </w:trPr>
        <w:tc>
          <w:tcPr>
            <w:tcW w:w="4253" w:type="dxa"/>
            <w:tcBorders>
              <w:top w:val="single" w:sz="4" w:space="0" w:color="999999"/>
              <w:bottom w:val="single" w:sz="4" w:space="0" w:color="999999"/>
            </w:tcBorders>
            <w:shd w:val="clear" w:color="auto" w:fill="auto"/>
            <w:vAlign w:val="center"/>
          </w:tcPr>
          <w:p w:rsidR="00871692" w:rsidRPr="00235E84" w:rsidRDefault="00871692" w:rsidP="004F290B">
            <w:pPr>
              <w:pStyle w:val="Tabletext0"/>
              <w:ind w:right="85"/>
              <w:rPr>
                <w:rFonts w:ascii="Calibri" w:hAnsi="Calibri" w:cs="Calibri"/>
                <w:color w:val="002B45"/>
              </w:rPr>
            </w:pPr>
            <w:r w:rsidRPr="00235E84">
              <w:rPr>
                <w:rFonts w:ascii="Calibri" w:hAnsi="Calibri" w:cs="Calibri"/>
                <w:color w:val="002B45"/>
              </w:rPr>
              <w:t>Profit before tax</w:t>
            </w:r>
          </w:p>
        </w:tc>
        <w:tc>
          <w:tcPr>
            <w:tcW w:w="1134" w:type="dxa"/>
            <w:tcBorders>
              <w:top w:val="single" w:sz="4" w:space="0" w:color="999999"/>
              <w:bottom w:val="single" w:sz="4" w:space="0" w:color="999999"/>
            </w:tcBorders>
            <w:shd w:val="clear" w:color="auto" w:fill="E6E6E6"/>
            <w:vAlign w:val="center"/>
          </w:tcPr>
          <w:p w:rsidR="00871692" w:rsidRPr="00073D2B" w:rsidRDefault="00871692" w:rsidP="004F290B">
            <w:pPr>
              <w:jc w:val="right"/>
              <w:rPr>
                <w:rFonts w:ascii="Calibri" w:hAnsi="Calibri" w:cs="Calibri"/>
                <w:color w:val="002B45"/>
                <w:lang w:val="en-US"/>
              </w:rPr>
            </w:pPr>
          </w:p>
        </w:tc>
        <w:tc>
          <w:tcPr>
            <w:tcW w:w="992" w:type="dxa"/>
            <w:tcBorders>
              <w:top w:val="single" w:sz="4" w:space="0" w:color="999999"/>
              <w:bottom w:val="single" w:sz="4" w:space="0" w:color="999999"/>
            </w:tcBorders>
            <w:shd w:val="clear" w:color="auto" w:fill="E6E6E6"/>
            <w:vAlign w:val="center"/>
          </w:tcPr>
          <w:p w:rsidR="00871692" w:rsidRPr="00073D2B" w:rsidRDefault="00871692" w:rsidP="004F290B">
            <w:pPr>
              <w:jc w:val="right"/>
              <w:rPr>
                <w:rFonts w:ascii="Calibri" w:hAnsi="Calibri" w:cs="Calibri"/>
                <w:color w:val="002B45"/>
                <w:lang w:val="en-US"/>
              </w:rPr>
            </w:pPr>
          </w:p>
        </w:tc>
        <w:tc>
          <w:tcPr>
            <w:tcW w:w="1276" w:type="dxa"/>
            <w:tcBorders>
              <w:top w:val="single" w:sz="4" w:space="0" w:color="999999"/>
              <w:bottom w:val="single" w:sz="4" w:space="0" w:color="999999"/>
            </w:tcBorders>
            <w:shd w:val="clear" w:color="auto" w:fill="E6E6E6"/>
            <w:vAlign w:val="center"/>
          </w:tcPr>
          <w:p w:rsidR="00871692" w:rsidRPr="00073D2B" w:rsidRDefault="00871692" w:rsidP="004F290B">
            <w:pPr>
              <w:jc w:val="right"/>
              <w:rPr>
                <w:rFonts w:ascii="Calibri" w:hAnsi="Calibri" w:cs="Calibri"/>
                <w:color w:val="002B45"/>
                <w:lang w:val="en-US"/>
              </w:rPr>
            </w:pPr>
          </w:p>
        </w:tc>
        <w:tc>
          <w:tcPr>
            <w:tcW w:w="992" w:type="dxa"/>
            <w:tcBorders>
              <w:top w:val="single" w:sz="4" w:space="0" w:color="999999"/>
              <w:bottom w:val="single" w:sz="4" w:space="0" w:color="999999"/>
            </w:tcBorders>
            <w:shd w:val="clear" w:color="auto" w:fill="E6E6E6"/>
            <w:vAlign w:val="center"/>
          </w:tcPr>
          <w:p w:rsidR="00871692" w:rsidRPr="00073D2B" w:rsidRDefault="00871692" w:rsidP="004F290B">
            <w:pPr>
              <w:jc w:val="right"/>
              <w:rPr>
                <w:rFonts w:ascii="Calibri" w:hAnsi="Calibri" w:cs="Calibri"/>
                <w:color w:val="002B45"/>
                <w:lang w:val="en-US"/>
              </w:rPr>
            </w:pPr>
          </w:p>
        </w:tc>
        <w:tc>
          <w:tcPr>
            <w:tcW w:w="851" w:type="dxa"/>
            <w:tcBorders>
              <w:top w:val="single" w:sz="4" w:space="0" w:color="999999"/>
              <w:bottom w:val="single" w:sz="4" w:space="0" w:color="999999"/>
            </w:tcBorders>
            <w:shd w:val="clear" w:color="auto" w:fill="E6E6E6"/>
            <w:vAlign w:val="center"/>
          </w:tcPr>
          <w:p w:rsidR="00871692" w:rsidRPr="00073D2B" w:rsidRDefault="00871692" w:rsidP="004F290B">
            <w:pPr>
              <w:jc w:val="right"/>
              <w:rPr>
                <w:rFonts w:ascii="Calibri" w:hAnsi="Calibri" w:cs="Calibri"/>
                <w:color w:val="002B45"/>
                <w:lang w:val="en-US"/>
              </w:rPr>
            </w:pPr>
            <w:r w:rsidRPr="00073D2B">
              <w:rPr>
                <w:rFonts w:ascii="Calibri" w:hAnsi="Calibri" w:cs="Calibri"/>
                <w:color w:val="002B45"/>
                <w:lang w:val="en-US"/>
              </w:rPr>
              <w:t xml:space="preserve"> 1,115.9 </w:t>
            </w:r>
          </w:p>
        </w:tc>
      </w:tr>
      <w:tr w:rsidR="00871692" w:rsidRPr="00E7076E" w:rsidTr="004F290B">
        <w:trPr>
          <w:trHeight w:val="340"/>
        </w:trPr>
        <w:tc>
          <w:tcPr>
            <w:tcW w:w="4253" w:type="dxa"/>
            <w:tcBorders>
              <w:top w:val="single" w:sz="4" w:space="0" w:color="999999"/>
            </w:tcBorders>
            <w:vAlign w:val="center"/>
          </w:tcPr>
          <w:p w:rsidR="00871692" w:rsidRPr="00235E84" w:rsidRDefault="00871692" w:rsidP="004F290B">
            <w:pPr>
              <w:pStyle w:val="Tabletext0"/>
              <w:ind w:right="85"/>
              <w:rPr>
                <w:rFonts w:ascii="Calibri" w:hAnsi="Calibri" w:cs="Calibri"/>
                <w:color w:val="002B45"/>
              </w:rPr>
            </w:pPr>
            <w:r w:rsidRPr="00235E84">
              <w:rPr>
                <w:rFonts w:ascii="Calibri" w:hAnsi="Calibri" w:cs="Calibri"/>
                <w:color w:val="002B45"/>
              </w:rPr>
              <w:t>Income tax expense</w:t>
            </w:r>
          </w:p>
        </w:tc>
        <w:tc>
          <w:tcPr>
            <w:tcW w:w="1134" w:type="dxa"/>
            <w:tcBorders>
              <w:top w:val="single" w:sz="4" w:space="0" w:color="999999"/>
            </w:tcBorders>
            <w:shd w:val="clear" w:color="auto" w:fill="E6E6E6"/>
            <w:vAlign w:val="center"/>
          </w:tcPr>
          <w:p w:rsidR="00871692" w:rsidRPr="00073D2B" w:rsidRDefault="00871692" w:rsidP="004F290B">
            <w:pPr>
              <w:jc w:val="right"/>
              <w:rPr>
                <w:rFonts w:ascii="Calibri" w:hAnsi="Calibri" w:cs="Calibri"/>
                <w:color w:val="002B45"/>
                <w:lang w:val="en-US"/>
              </w:rPr>
            </w:pPr>
          </w:p>
        </w:tc>
        <w:tc>
          <w:tcPr>
            <w:tcW w:w="992" w:type="dxa"/>
            <w:tcBorders>
              <w:top w:val="single" w:sz="4" w:space="0" w:color="999999"/>
            </w:tcBorders>
            <w:shd w:val="clear" w:color="auto" w:fill="E6E6E6"/>
            <w:vAlign w:val="center"/>
          </w:tcPr>
          <w:p w:rsidR="00871692" w:rsidRPr="00073D2B" w:rsidRDefault="00871692" w:rsidP="004F290B">
            <w:pPr>
              <w:jc w:val="right"/>
              <w:rPr>
                <w:rFonts w:ascii="Calibri" w:hAnsi="Calibri" w:cs="Calibri"/>
                <w:color w:val="002B45"/>
                <w:lang w:val="en-US"/>
              </w:rPr>
            </w:pPr>
          </w:p>
        </w:tc>
        <w:tc>
          <w:tcPr>
            <w:tcW w:w="1276" w:type="dxa"/>
            <w:tcBorders>
              <w:top w:val="single" w:sz="4" w:space="0" w:color="999999"/>
            </w:tcBorders>
            <w:shd w:val="clear" w:color="auto" w:fill="E6E6E6"/>
            <w:vAlign w:val="center"/>
          </w:tcPr>
          <w:p w:rsidR="00871692" w:rsidRPr="00073D2B" w:rsidRDefault="00871692" w:rsidP="004F290B">
            <w:pPr>
              <w:jc w:val="right"/>
              <w:rPr>
                <w:rFonts w:ascii="Calibri" w:hAnsi="Calibri" w:cs="Calibri"/>
                <w:color w:val="002B45"/>
                <w:lang w:val="en-US"/>
              </w:rPr>
            </w:pPr>
          </w:p>
        </w:tc>
        <w:tc>
          <w:tcPr>
            <w:tcW w:w="992" w:type="dxa"/>
            <w:tcBorders>
              <w:top w:val="single" w:sz="4" w:space="0" w:color="999999"/>
            </w:tcBorders>
            <w:shd w:val="clear" w:color="auto" w:fill="E6E6E6"/>
            <w:vAlign w:val="center"/>
          </w:tcPr>
          <w:p w:rsidR="00871692" w:rsidRPr="00073D2B" w:rsidRDefault="00871692" w:rsidP="004F290B">
            <w:pPr>
              <w:jc w:val="right"/>
              <w:rPr>
                <w:rFonts w:ascii="Calibri" w:hAnsi="Calibri" w:cs="Calibri"/>
                <w:color w:val="002B45"/>
                <w:lang w:val="en-US"/>
              </w:rPr>
            </w:pPr>
          </w:p>
        </w:tc>
        <w:tc>
          <w:tcPr>
            <w:tcW w:w="851" w:type="dxa"/>
            <w:tcBorders>
              <w:top w:val="single" w:sz="4" w:space="0" w:color="999999"/>
            </w:tcBorders>
            <w:shd w:val="clear" w:color="auto" w:fill="E6E6E6"/>
            <w:vAlign w:val="center"/>
          </w:tcPr>
          <w:p w:rsidR="00871692" w:rsidRPr="00073D2B" w:rsidRDefault="00871692" w:rsidP="004F290B">
            <w:pPr>
              <w:jc w:val="right"/>
              <w:rPr>
                <w:rFonts w:ascii="Calibri" w:hAnsi="Calibri" w:cs="Calibri"/>
                <w:color w:val="002B45"/>
                <w:lang w:val="en-US"/>
              </w:rPr>
            </w:pPr>
            <w:r w:rsidRPr="00073D2B">
              <w:rPr>
                <w:rFonts w:ascii="Calibri" w:hAnsi="Calibri" w:cs="Calibri"/>
                <w:color w:val="002B45"/>
                <w:lang w:val="en-US"/>
              </w:rPr>
              <w:t>(449.7)</w:t>
            </w:r>
          </w:p>
        </w:tc>
      </w:tr>
      <w:tr w:rsidR="00871692" w:rsidRPr="00E7076E" w:rsidTr="004F290B">
        <w:trPr>
          <w:trHeight w:val="340"/>
        </w:trPr>
        <w:tc>
          <w:tcPr>
            <w:tcW w:w="4253" w:type="dxa"/>
            <w:tcBorders>
              <w:bottom w:val="single" w:sz="4" w:space="0" w:color="999999"/>
            </w:tcBorders>
            <w:shd w:val="clear" w:color="auto" w:fill="auto"/>
            <w:vAlign w:val="center"/>
          </w:tcPr>
          <w:p w:rsidR="00871692" w:rsidRPr="00235E84" w:rsidRDefault="00871692" w:rsidP="004F290B">
            <w:pPr>
              <w:pStyle w:val="Tabletext0"/>
              <w:ind w:right="85"/>
              <w:rPr>
                <w:rFonts w:ascii="Calibri" w:hAnsi="Calibri" w:cs="Calibri"/>
                <w:color w:val="002B45"/>
              </w:rPr>
            </w:pPr>
            <w:r w:rsidRPr="00235E84">
              <w:rPr>
                <w:rFonts w:ascii="Calibri" w:hAnsi="Calibri" w:cs="Calibri"/>
                <w:color w:val="002B45"/>
              </w:rPr>
              <w:t>Profit after tax</w:t>
            </w:r>
          </w:p>
        </w:tc>
        <w:tc>
          <w:tcPr>
            <w:tcW w:w="1134" w:type="dxa"/>
            <w:tcBorders>
              <w:bottom w:val="single" w:sz="4" w:space="0" w:color="999999"/>
            </w:tcBorders>
            <w:shd w:val="clear" w:color="auto" w:fill="E6E6E6"/>
            <w:vAlign w:val="center"/>
          </w:tcPr>
          <w:p w:rsidR="00871692" w:rsidRPr="00073D2B" w:rsidRDefault="00871692" w:rsidP="004F290B">
            <w:pPr>
              <w:jc w:val="right"/>
              <w:rPr>
                <w:rFonts w:ascii="Calibri" w:hAnsi="Calibri" w:cs="Calibri"/>
                <w:color w:val="002B45"/>
                <w:lang w:val="en-US"/>
              </w:rPr>
            </w:pPr>
          </w:p>
        </w:tc>
        <w:tc>
          <w:tcPr>
            <w:tcW w:w="992" w:type="dxa"/>
            <w:tcBorders>
              <w:bottom w:val="single" w:sz="4" w:space="0" w:color="999999"/>
            </w:tcBorders>
            <w:shd w:val="clear" w:color="auto" w:fill="E6E6E6"/>
            <w:vAlign w:val="center"/>
          </w:tcPr>
          <w:p w:rsidR="00871692" w:rsidRPr="00073D2B" w:rsidRDefault="00871692" w:rsidP="004F290B">
            <w:pPr>
              <w:jc w:val="right"/>
              <w:rPr>
                <w:rFonts w:ascii="Calibri" w:hAnsi="Calibri" w:cs="Calibri"/>
                <w:color w:val="002B45"/>
                <w:lang w:val="en-US"/>
              </w:rPr>
            </w:pPr>
          </w:p>
        </w:tc>
        <w:tc>
          <w:tcPr>
            <w:tcW w:w="1276" w:type="dxa"/>
            <w:tcBorders>
              <w:bottom w:val="single" w:sz="4" w:space="0" w:color="999999"/>
            </w:tcBorders>
            <w:shd w:val="clear" w:color="auto" w:fill="E6E6E6"/>
            <w:vAlign w:val="center"/>
          </w:tcPr>
          <w:p w:rsidR="00871692" w:rsidRPr="00073D2B" w:rsidRDefault="00871692" w:rsidP="004F290B">
            <w:pPr>
              <w:jc w:val="right"/>
              <w:rPr>
                <w:rFonts w:ascii="Calibri" w:hAnsi="Calibri" w:cs="Calibri"/>
                <w:color w:val="002B45"/>
                <w:lang w:val="en-US"/>
              </w:rPr>
            </w:pPr>
          </w:p>
        </w:tc>
        <w:tc>
          <w:tcPr>
            <w:tcW w:w="992" w:type="dxa"/>
            <w:tcBorders>
              <w:bottom w:val="single" w:sz="4" w:space="0" w:color="999999"/>
            </w:tcBorders>
            <w:shd w:val="clear" w:color="auto" w:fill="E6E6E6"/>
            <w:vAlign w:val="center"/>
          </w:tcPr>
          <w:p w:rsidR="00871692" w:rsidRPr="00073D2B" w:rsidRDefault="00871692" w:rsidP="004F290B">
            <w:pPr>
              <w:jc w:val="right"/>
              <w:rPr>
                <w:rFonts w:ascii="Calibri" w:hAnsi="Calibri" w:cs="Calibri"/>
                <w:color w:val="002B45"/>
                <w:lang w:val="en-US"/>
              </w:rPr>
            </w:pPr>
          </w:p>
        </w:tc>
        <w:tc>
          <w:tcPr>
            <w:tcW w:w="851" w:type="dxa"/>
            <w:tcBorders>
              <w:bottom w:val="single" w:sz="4" w:space="0" w:color="999999"/>
            </w:tcBorders>
            <w:shd w:val="clear" w:color="auto" w:fill="E6E6E6"/>
            <w:vAlign w:val="center"/>
          </w:tcPr>
          <w:p w:rsidR="00871692" w:rsidRPr="00073D2B" w:rsidRDefault="00871692" w:rsidP="004F290B">
            <w:pPr>
              <w:jc w:val="right"/>
              <w:rPr>
                <w:rFonts w:ascii="Calibri" w:hAnsi="Calibri" w:cs="Calibri"/>
                <w:color w:val="002B45"/>
                <w:lang w:val="en-US"/>
              </w:rPr>
            </w:pPr>
            <w:r w:rsidRPr="00073D2B">
              <w:rPr>
                <w:rFonts w:ascii="Calibri" w:hAnsi="Calibri" w:cs="Calibri"/>
                <w:color w:val="002B45"/>
                <w:lang w:val="en-US"/>
              </w:rPr>
              <w:t xml:space="preserve"> 666.2 </w:t>
            </w:r>
          </w:p>
        </w:tc>
      </w:tr>
      <w:tr w:rsidR="00871692" w:rsidRPr="00E7076E" w:rsidTr="004F290B">
        <w:trPr>
          <w:trHeight w:val="340"/>
        </w:trPr>
        <w:tc>
          <w:tcPr>
            <w:tcW w:w="4253" w:type="dxa"/>
            <w:tcBorders>
              <w:top w:val="single" w:sz="4" w:space="0" w:color="999999"/>
              <w:bottom w:val="single" w:sz="4" w:space="0" w:color="999999"/>
            </w:tcBorders>
            <w:shd w:val="clear" w:color="auto" w:fill="auto"/>
            <w:vAlign w:val="center"/>
          </w:tcPr>
          <w:p w:rsidR="00871692" w:rsidRPr="00235E84" w:rsidRDefault="00871692" w:rsidP="004F290B">
            <w:pPr>
              <w:pStyle w:val="Tabletext0"/>
              <w:ind w:right="85"/>
              <w:rPr>
                <w:rFonts w:ascii="Calibri" w:hAnsi="Calibri" w:cs="Calibri"/>
                <w:color w:val="002B45"/>
              </w:rPr>
            </w:pPr>
            <w:r w:rsidRPr="00235E84">
              <w:rPr>
                <w:rFonts w:ascii="Calibri" w:hAnsi="Calibri" w:cs="Calibri"/>
                <w:color w:val="002B45"/>
              </w:rPr>
              <w:t>Total assets</w:t>
            </w:r>
          </w:p>
        </w:tc>
        <w:tc>
          <w:tcPr>
            <w:tcW w:w="1134" w:type="dxa"/>
            <w:tcBorders>
              <w:top w:val="single" w:sz="4" w:space="0" w:color="999999"/>
              <w:bottom w:val="single" w:sz="4" w:space="0" w:color="999999"/>
            </w:tcBorders>
            <w:shd w:val="clear" w:color="auto" w:fill="E6E6E6"/>
            <w:vAlign w:val="center"/>
          </w:tcPr>
          <w:p w:rsidR="00871692" w:rsidRPr="00073D2B" w:rsidRDefault="00871692" w:rsidP="004F290B">
            <w:pPr>
              <w:jc w:val="right"/>
              <w:rPr>
                <w:rFonts w:ascii="Calibri" w:hAnsi="Calibri" w:cs="Calibri"/>
                <w:color w:val="002B45"/>
                <w:lang w:val="en-US"/>
              </w:rPr>
            </w:pPr>
            <w:r w:rsidRPr="00073D2B">
              <w:rPr>
                <w:rFonts w:ascii="Calibri" w:hAnsi="Calibri" w:cs="Calibri"/>
                <w:color w:val="002B45"/>
                <w:lang w:val="en-US"/>
              </w:rPr>
              <w:t xml:space="preserve"> 5,148.3 </w:t>
            </w:r>
          </w:p>
        </w:tc>
        <w:tc>
          <w:tcPr>
            <w:tcW w:w="992" w:type="dxa"/>
            <w:tcBorders>
              <w:top w:val="single" w:sz="4" w:space="0" w:color="999999"/>
              <w:bottom w:val="single" w:sz="4" w:space="0" w:color="999999"/>
            </w:tcBorders>
            <w:shd w:val="clear" w:color="auto" w:fill="E6E6E6"/>
            <w:vAlign w:val="center"/>
          </w:tcPr>
          <w:p w:rsidR="00871692" w:rsidRPr="00073D2B" w:rsidRDefault="00871692" w:rsidP="004F290B">
            <w:pPr>
              <w:jc w:val="right"/>
              <w:rPr>
                <w:rFonts w:ascii="Calibri" w:hAnsi="Calibri" w:cs="Calibri"/>
                <w:color w:val="002B45"/>
                <w:lang w:val="en-US"/>
              </w:rPr>
            </w:pPr>
            <w:r w:rsidRPr="00073D2B">
              <w:rPr>
                <w:rFonts w:ascii="Calibri" w:hAnsi="Calibri" w:cs="Calibri"/>
                <w:color w:val="002B45"/>
                <w:lang w:val="en-US"/>
              </w:rPr>
              <w:t xml:space="preserve"> 2,185.6 </w:t>
            </w:r>
          </w:p>
        </w:tc>
        <w:tc>
          <w:tcPr>
            <w:tcW w:w="1276" w:type="dxa"/>
            <w:tcBorders>
              <w:top w:val="single" w:sz="4" w:space="0" w:color="999999"/>
              <w:bottom w:val="single" w:sz="4" w:space="0" w:color="999999"/>
            </w:tcBorders>
            <w:shd w:val="clear" w:color="auto" w:fill="E6E6E6"/>
            <w:vAlign w:val="center"/>
          </w:tcPr>
          <w:p w:rsidR="00871692" w:rsidRPr="00073D2B" w:rsidRDefault="00871692" w:rsidP="004F290B">
            <w:pPr>
              <w:jc w:val="right"/>
              <w:rPr>
                <w:rFonts w:ascii="Calibri" w:hAnsi="Calibri" w:cs="Calibri"/>
                <w:color w:val="002B45"/>
                <w:lang w:val="en-US"/>
              </w:rPr>
            </w:pPr>
            <w:r w:rsidRPr="00073D2B">
              <w:rPr>
                <w:rFonts w:ascii="Calibri" w:hAnsi="Calibri" w:cs="Calibri"/>
                <w:color w:val="002B45"/>
                <w:lang w:val="en-US"/>
              </w:rPr>
              <w:t xml:space="preserve"> 1,868.0 </w:t>
            </w:r>
          </w:p>
        </w:tc>
        <w:tc>
          <w:tcPr>
            <w:tcW w:w="992" w:type="dxa"/>
            <w:tcBorders>
              <w:top w:val="single" w:sz="4" w:space="0" w:color="999999"/>
              <w:bottom w:val="single" w:sz="4" w:space="0" w:color="999999"/>
            </w:tcBorders>
            <w:shd w:val="clear" w:color="auto" w:fill="E6E6E6"/>
            <w:vAlign w:val="center"/>
          </w:tcPr>
          <w:p w:rsidR="00871692" w:rsidRPr="00073D2B" w:rsidRDefault="00871692" w:rsidP="004F290B">
            <w:pPr>
              <w:jc w:val="right"/>
              <w:rPr>
                <w:rFonts w:ascii="Calibri" w:hAnsi="Calibri" w:cs="Calibri"/>
                <w:color w:val="002B45"/>
                <w:lang w:val="en-US"/>
              </w:rPr>
            </w:pPr>
            <w:r w:rsidRPr="00073D2B">
              <w:rPr>
                <w:rFonts w:ascii="Calibri" w:hAnsi="Calibri" w:cs="Calibri"/>
                <w:color w:val="002B45"/>
                <w:lang w:val="en-US"/>
              </w:rPr>
              <w:t xml:space="preserve"> 179.9 </w:t>
            </w:r>
          </w:p>
        </w:tc>
        <w:tc>
          <w:tcPr>
            <w:tcW w:w="851" w:type="dxa"/>
            <w:tcBorders>
              <w:top w:val="single" w:sz="4" w:space="0" w:color="999999"/>
              <w:bottom w:val="single" w:sz="4" w:space="0" w:color="999999"/>
            </w:tcBorders>
            <w:shd w:val="clear" w:color="auto" w:fill="E6E6E6"/>
            <w:vAlign w:val="center"/>
          </w:tcPr>
          <w:p w:rsidR="00871692" w:rsidRPr="00073D2B" w:rsidRDefault="00871692" w:rsidP="004F290B">
            <w:pPr>
              <w:jc w:val="right"/>
              <w:rPr>
                <w:rFonts w:ascii="Calibri" w:hAnsi="Calibri" w:cs="Calibri"/>
                <w:color w:val="002B45"/>
                <w:lang w:val="en-US"/>
              </w:rPr>
            </w:pPr>
            <w:r w:rsidRPr="00073D2B">
              <w:rPr>
                <w:rFonts w:ascii="Calibri" w:hAnsi="Calibri" w:cs="Calibri"/>
                <w:color w:val="002B45"/>
                <w:lang w:val="en-US"/>
              </w:rPr>
              <w:t xml:space="preserve"> 9,381.8 </w:t>
            </w:r>
          </w:p>
        </w:tc>
      </w:tr>
      <w:tr w:rsidR="00871692" w:rsidRPr="00E7076E" w:rsidTr="004F290B">
        <w:trPr>
          <w:trHeight w:val="340"/>
        </w:trPr>
        <w:tc>
          <w:tcPr>
            <w:tcW w:w="4253" w:type="dxa"/>
            <w:tcBorders>
              <w:top w:val="single" w:sz="4" w:space="0" w:color="999999"/>
              <w:bottom w:val="single" w:sz="4" w:space="0" w:color="999999"/>
            </w:tcBorders>
            <w:shd w:val="clear" w:color="auto" w:fill="auto"/>
            <w:vAlign w:val="center"/>
          </w:tcPr>
          <w:p w:rsidR="00871692" w:rsidRPr="00235E84" w:rsidRDefault="00871692" w:rsidP="004F290B">
            <w:pPr>
              <w:pStyle w:val="Tabletext0"/>
              <w:ind w:right="85"/>
              <w:rPr>
                <w:rFonts w:ascii="Calibri" w:hAnsi="Calibri" w:cs="Calibri"/>
                <w:color w:val="002B45"/>
              </w:rPr>
            </w:pPr>
            <w:r w:rsidRPr="00235E84">
              <w:rPr>
                <w:rFonts w:ascii="Calibri" w:hAnsi="Calibri" w:cs="Calibri"/>
                <w:color w:val="002B45"/>
              </w:rPr>
              <w:t>Total liabilities</w:t>
            </w:r>
          </w:p>
        </w:tc>
        <w:tc>
          <w:tcPr>
            <w:tcW w:w="1134" w:type="dxa"/>
            <w:tcBorders>
              <w:top w:val="single" w:sz="4" w:space="0" w:color="999999"/>
              <w:bottom w:val="single" w:sz="4" w:space="0" w:color="999999"/>
            </w:tcBorders>
            <w:shd w:val="clear" w:color="auto" w:fill="E6E6E6"/>
            <w:vAlign w:val="center"/>
          </w:tcPr>
          <w:p w:rsidR="00871692" w:rsidRPr="00073D2B" w:rsidRDefault="00871692" w:rsidP="004F290B">
            <w:pPr>
              <w:jc w:val="right"/>
              <w:rPr>
                <w:rFonts w:ascii="Calibri" w:hAnsi="Calibri" w:cs="Calibri"/>
                <w:color w:val="002B45"/>
                <w:lang w:val="en-US"/>
              </w:rPr>
            </w:pPr>
            <w:r w:rsidRPr="00073D2B">
              <w:rPr>
                <w:rFonts w:ascii="Calibri" w:hAnsi="Calibri" w:cs="Calibri"/>
                <w:color w:val="002B45"/>
                <w:lang w:val="en-US"/>
              </w:rPr>
              <w:t>(1,531.9)</w:t>
            </w:r>
          </w:p>
        </w:tc>
        <w:tc>
          <w:tcPr>
            <w:tcW w:w="992" w:type="dxa"/>
            <w:tcBorders>
              <w:top w:val="single" w:sz="4" w:space="0" w:color="999999"/>
              <w:bottom w:val="single" w:sz="4" w:space="0" w:color="999999"/>
            </w:tcBorders>
            <w:shd w:val="clear" w:color="auto" w:fill="E6E6E6"/>
            <w:vAlign w:val="center"/>
          </w:tcPr>
          <w:p w:rsidR="00871692" w:rsidRPr="00073D2B" w:rsidRDefault="00871692" w:rsidP="004F290B">
            <w:pPr>
              <w:jc w:val="right"/>
              <w:rPr>
                <w:rFonts w:ascii="Calibri" w:hAnsi="Calibri" w:cs="Calibri"/>
                <w:color w:val="002B45"/>
                <w:lang w:val="en-US"/>
              </w:rPr>
            </w:pPr>
            <w:r w:rsidRPr="00073D2B">
              <w:rPr>
                <w:rFonts w:ascii="Calibri" w:hAnsi="Calibri" w:cs="Calibri"/>
                <w:color w:val="002B45"/>
                <w:lang w:val="en-US"/>
              </w:rPr>
              <w:t>(285.1)</w:t>
            </w:r>
          </w:p>
        </w:tc>
        <w:tc>
          <w:tcPr>
            <w:tcW w:w="1276" w:type="dxa"/>
            <w:tcBorders>
              <w:top w:val="single" w:sz="4" w:space="0" w:color="999999"/>
              <w:bottom w:val="single" w:sz="4" w:space="0" w:color="999999"/>
            </w:tcBorders>
            <w:shd w:val="clear" w:color="auto" w:fill="E6E6E6"/>
            <w:vAlign w:val="center"/>
          </w:tcPr>
          <w:p w:rsidR="00871692" w:rsidRPr="00073D2B" w:rsidRDefault="00871692" w:rsidP="004F290B">
            <w:pPr>
              <w:jc w:val="right"/>
              <w:rPr>
                <w:rFonts w:ascii="Calibri" w:hAnsi="Calibri" w:cs="Calibri"/>
                <w:color w:val="002B45"/>
                <w:lang w:val="en-US"/>
              </w:rPr>
            </w:pPr>
            <w:r w:rsidRPr="00073D2B">
              <w:rPr>
                <w:rFonts w:ascii="Calibri" w:hAnsi="Calibri" w:cs="Calibri"/>
                <w:color w:val="002B45"/>
                <w:lang w:val="en-US"/>
              </w:rPr>
              <w:t>(999.4)</w:t>
            </w:r>
          </w:p>
        </w:tc>
        <w:tc>
          <w:tcPr>
            <w:tcW w:w="992" w:type="dxa"/>
            <w:tcBorders>
              <w:top w:val="single" w:sz="4" w:space="0" w:color="999999"/>
              <w:bottom w:val="single" w:sz="4" w:space="0" w:color="999999"/>
            </w:tcBorders>
            <w:shd w:val="clear" w:color="auto" w:fill="E6E6E6"/>
            <w:vAlign w:val="center"/>
          </w:tcPr>
          <w:p w:rsidR="00871692" w:rsidRPr="00073D2B" w:rsidRDefault="00871692" w:rsidP="004F290B">
            <w:pPr>
              <w:jc w:val="right"/>
              <w:rPr>
                <w:rFonts w:ascii="Calibri" w:hAnsi="Calibri" w:cs="Calibri"/>
                <w:color w:val="002B45"/>
                <w:lang w:val="en-US"/>
              </w:rPr>
            </w:pPr>
            <w:r w:rsidRPr="00073D2B">
              <w:rPr>
                <w:rFonts w:ascii="Calibri" w:hAnsi="Calibri" w:cs="Calibri"/>
                <w:color w:val="002B45"/>
                <w:lang w:val="en-US"/>
              </w:rPr>
              <w:t>(1,243.8)</w:t>
            </w:r>
          </w:p>
        </w:tc>
        <w:tc>
          <w:tcPr>
            <w:tcW w:w="851" w:type="dxa"/>
            <w:tcBorders>
              <w:top w:val="single" w:sz="4" w:space="0" w:color="999999"/>
              <w:bottom w:val="single" w:sz="4" w:space="0" w:color="999999"/>
            </w:tcBorders>
            <w:shd w:val="clear" w:color="auto" w:fill="E6E6E6"/>
            <w:vAlign w:val="center"/>
          </w:tcPr>
          <w:p w:rsidR="00871692" w:rsidRPr="00073D2B" w:rsidRDefault="00871692" w:rsidP="004F290B">
            <w:pPr>
              <w:jc w:val="right"/>
              <w:rPr>
                <w:rFonts w:ascii="Calibri" w:hAnsi="Calibri" w:cs="Calibri"/>
                <w:color w:val="002B45"/>
                <w:lang w:val="en-US"/>
              </w:rPr>
            </w:pPr>
            <w:r w:rsidRPr="00073D2B">
              <w:rPr>
                <w:rFonts w:ascii="Calibri" w:hAnsi="Calibri" w:cs="Calibri"/>
                <w:color w:val="002B45"/>
                <w:lang w:val="en-US"/>
              </w:rPr>
              <w:t>(4,060.2)</w:t>
            </w:r>
          </w:p>
        </w:tc>
      </w:tr>
      <w:tr w:rsidR="00871692" w:rsidRPr="00E7076E" w:rsidTr="004F290B">
        <w:trPr>
          <w:trHeight w:val="283"/>
        </w:trPr>
        <w:tc>
          <w:tcPr>
            <w:tcW w:w="4253" w:type="dxa"/>
            <w:tcBorders>
              <w:top w:val="single" w:sz="4" w:space="0" w:color="999999"/>
            </w:tcBorders>
            <w:vAlign w:val="center"/>
          </w:tcPr>
          <w:p w:rsidR="00871692" w:rsidRPr="004F290B" w:rsidRDefault="00871692" w:rsidP="004F290B">
            <w:pPr>
              <w:pStyle w:val="Tabletext0"/>
              <w:ind w:right="85"/>
              <w:rPr>
                <w:rFonts w:ascii="Calibri" w:hAnsi="Calibri" w:cs="Calibri"/>
                <w:b/>
                <w:color w:val="002B45"/>
              </w:rPr>
            </w:pPr>
            <w:r w:rsidRPr="004F290B">
              <w:rPr>
                <w:rFonts w:ascii="Calibri" w:hAnsi="Calibri" w:cs="Calibri"/>
                <w:b/>
                <w:color w:val="002B45"/>
              </w:rPr>
              <w:t>Other segment information</w:t>
            </w:r>
          </w:p>
        </w:tc>
        <w:tc>
          <w:tcPr>
            <w:tcW w:w="1134" w:type="dxa"/>
            <w:tcBorders>
              <w:top w:val="single" w:sz="4" w:space="0" w:color="999999"/>
            </w:tcBorders>
            <w:shd w:val="clear" w:color="auto" w:fill="E6E6E6"/>
            <w:vAlign w:val="center"/>
          </w:tcPr>
          <w:p w:rsidR="00871692" w:rsidRPr="00073D2B" w:rsidRDefault="00871692" w:rsidP="004F290B">
            <w:pPr>
              <w:jc w:val="right"/>
              <w:rPr>
                <w:rFonts w:ascii="Calibri" w:hAnsi="Calibri" w:cs="Calibri"/>
                <w:color w:val="002B45"/>
                <w:lang w:val="en-US"/>
              </w:rPr>
            </w:pPr>
          </w:p>
        </w:tc>
        <w:tc>
          <w:tcPr>
            <w:tcW w:w="992" w:type="dxa"/>
            <w:tcBorders>
              <w:top w:val="single" w:sz="4" w:space="0" w:color="999999"/>
            </w:tcBorders>
            <w:shd w:val="clear" w:color="auto" w:fill="E6E6E6"/>
            <w:vAlign w:val="center"/>
          </w:tcPr>
          <w:p w:rsidR="00871692" w:rsidRPr="00073D2B" w:rsidRDefault="00871692" w:rsidP="004F290B">
            <w:pPr>
              <w:jc w:val="right"/>
              <w:rPr>
                <w:rFonts w:ascii="Calibri" w:hAnsi="Calibri" w:cs="Calibri"/>
                <w:color w:val="002B45"/>
                <w:lang w:val="en-US"/>
              </w:rPr>
            </w:pPr>
          </w:p>
        </w:tc>
        <w:tc>
          <w:tcPr>
            <w:tcW w:w="1276" w:type="dxa"/>
            <w:tcBorders>
              <w:top w:val="single" w:sz="4" w:space="0" w:color="999999"/>
            </w:tcBorders>
            <w:shd w:val="clear" w:color="auto" w:fill="E6E6E6"/>
            <w:vAlign w:val="center"/>
          </w:tcPr>
          <w:p w:rsidR="00871692" w:rsidRPr="00073D2B" w:rsidRDefault="00871692" w:rsidP="004F290B">
            <w:pPr>
              <w:jc w:val="right"/>
              <w:rPr>
                <w:rFonts w:ascii="Calibri" w:hAnsi="Calibri" w:cs="Calibri"/>
                <w:color w:val="002B45"/>
                <w:lang w:val="en-US"/>
              </w:rPr>
            </w:pPr>
          </w:p>
        </w:tc>
        <w:tc>
          <w:tcPr>
            <w:tcW w:w="992" w:type="dxa"/>
            <w:tcBorders>
              <w:top w:val="single" w:sz="4" w:space="0" w:color="999999"/>
            </w:tcBorders>
            <w:shd w:val="clear" w:color="auto" w:fill="E6E6E6"/>
            <w:vAlign w:val="center"/>
          </w:tcPr>
          <w:p w:rsidR="00871692" w:rsidRPr="00073D2B" w:rsidRDefault="00871692" w:rsidP="004F290B">
            <w:pPr>
              <w:jc w:val="right"/>
              <w:rPr>
                <w:rFonts w:ascii="Calibri" w:hAnsi="Calibri" w:cs="Calibri"/>
                <w:color w:val="002B45"/>
                <w:lang w:val="en-US"/>
              </w:rPr>
            </w:pPr>
          </w:p>
        </w:tc>
        <w:tc>
          <w:tcPr>
            <w:tcW w:w="851" w:type="dxa"/>
            <w:tcBorders>
              <w:top w:val="single" w:sz="4" w:space="0" w:color="999999"/>
            </w:tcBorders>
            <w:shd w:val="clear" w:color="auto" w:fill="E6E6E6"/>
            <w:vAlign w:val="center"/>
          </w:tcPr>
          <w:p w:rsidR="00871692" w:rsidRPr="00073D2B" w:rsidRDefault="00871692" w:rsidP="004F290B">
            <w:pPr>
              <w:jc w:val="right"/>
              <w:rPr>
                <w:rFonts w:ascii="Calibri" w:hAnsi="Calibri" w:cs="Calibri"/>
                <w:color w:val="002B45"/>
                <w:lang w:val="en-US"/>
              </w:rPr>
            </w:pPr>
          </w:p>
        </w:tc>
      </w:tr>
      <w:tr w:rsidR="00871692" w:rsidTr="004F290B">
        <w:trPr>
          <w:trHeight w:val="283"/>
        </w:trPr>
        <w:tc>
          <w:tcPr>
            <w:tcW w:w="4253" w:type="dxa"/>
            <w:vAlign w:val="center"/>
          </w:tcPr>
          <w:p w:rsidR="00871692" w:rsidRPr="00235E84" w:rsidRDefault="00871692" w:rsidP="004F290B">
            <w:pPr>
              <w:pStyle w:val="Tabletext0"/>
              <w:ind w:right="85"/>
              <w:rPr>
                <w:rFonts w:ascii="Calibri" w:hAnsi="Calibri" w:cs="Calibri"/>
                <w:color w:val="002B45"/>
              </w:rPr>
            </w:pPr>
            <w:r w:rsidRPr="00235E84">
              <w:rPr>
                <w:rFonts w:ascii="Calibri" w:hAnsi="Calibri" w:cs="Calibri"/>
                <w:color w:val="002B45"/>
              </w:rPr>
              <w:t>Capital expenditure:</w:t>
            </w:r>
          </w:p>
        </w:tc>
        <w:tc>
          <w:tcPr>
            <w:tcW w:w="1134" w:type="dxa"/>
            <w:shd w:val="clear" w:color="auto" w:fill="E6E6E6"/>
            <w:vAlign w:val="center"/>
          </w:tcPr>
          <w:p w:rsidR="00871692" w:rsidRPr="00073D2B" w:rsidRDefault="00871692" w:rsidP="004F290B">
            <w:pPr>
              <w:jc w:val="right"/>
              <w:rPr>
                <w:rFonts w:ascii="Calibri" w:hAnsi="Calibri" w:cs="Calibri"/>
                <w:color w:val="002B45"/>
                <w:lang w:val="en-US"/>
              </w:rPr>
            </w:pPr>
          </w:p>
        </w:tc>
        <w:tc>
          <w:tcPr>
            <w:tcW w:w="992" w:type="dxa"/>
            <w:shd w:val="clear" w:color="auto" w:fill="E6E6E6"/>
            <w:vAlign w:val="center"/>
          </w:tcPr>
          <w:p w:rsidR="00871692" w:rsidRPr="00073D2B" w:rsidRDefault="00871692" w:rsidP="004F290B">
            <w:pPr>
              <w:jc w:val="right"/>
              <w:rPr>
                <w:rFonts w:ascii="Calibri" w:hAnsi="Calibri" w:cs="Calibri"/>
                <w:color w:val="002B45"/>
                <w:lang w:val="en-US"/>
              </w:rPr>
            </w:pPr>
          </w:p>
        </w:tc>
        <w:tc>
          <w:tcPr>
            <w:tcW w:w="1276" w:type="dxa"/>
            <w:shd w:val="clear" w:color="auto" w:fill="E6E6E6"/>
            <w:vAlign w:val="center"/>
          </w:tcPr>
          <w:p w:rsidR="00871692" w:rsidRPr="00073D2B" w:rsidRDefault="00871692" w:rsidP="004F290B">
            <w:pPr>
              <w:jc w:val="right"/>
              <w:rPr>
                <w:rFonts w:ascii="Calibri" w:hAnsi="Calibri" w:cs="Calibri"/>
                <w:color w:val="002B45"/>
                <w:lang w:val="en-US"/>
              </w:rPr>
            </w:pPr>
          </w:p>
        </w:tc>
        <w:tc>
          <w:tcPr>
            <w:tcW w:w="992" w:type="dxa"/>
            <w:shd w:val="clear" w:color="auto" w:fill="E6E6E6"/>
            <w:vAlign w:val="center"/>
          </w:tcPr>
          <w:p w:rsidR="00871692" w:rsidRPr="00073D2B" w:rsidRDefault="00871692" w:rsidP="004F290B">
            <w:pPr>
              <w:jc w:val="right"/>
              <w:rPr>
                <w:rFonts w:ascii="Calibri" w:hAnsi="Calibri" w:cs="Calibri"/>
                <w:color w:val="002B45"/>
                <w:lang w:val="en-US"/>
              </w:rPr>
            </w:pPr>
          </w:p>
        </w:tc>
        <w:tc>
          <w:tcPr>
            <w:tcW w:w="851" w:type="dxa"/>
            <w:shd w:val="clear" w:color="auto" w:fill="E6E6E6"/>
            <w:vAlign w:val="center"/>
          </w:tcPr>
          <w:p w:rsidR="00871692" w:rsidRPr="00073D2B" w:rsidRDefault="00871692" w:rsidP="004F290B">
            <w:pPr>
              <w:jc w:val="right"/>
              <w:rPr>
                <w:rFonts w:ascii="Calibri" w:hAnsi="Calibri" w:cs="Calibri"/>
                <w:color w:val="002B45"/>
                <w:lang w:val="en-US"/>
              </w:rPr>
            </w:pPr>
          </w:p>
        </w:tc>
      </w:tr>
      <w:tr w:rsidR="00871692" w:rsidRPr="00E7076E" w:rsidTr="004F290B">
        <w:trPr>
          <w:trHeight w:val="283"/>
        </w:trPr>
        <w:tc>
          <w:tcPr>
            <w:tcW w:w="4253" w:type="dxa"/>
            <w:vAlign w:val="center"/>
          </w:tcPr>
          <w:p w:rsidR="00871692" w:rsidRPr="00235E84" w:rsidRDefault="00871692" w:rsidP="004F290B">
            <w:pPr>
              <w:pStyle w:val="Tabletext0"/>
              <w:ind w:right="85" w:firstLine="426"/>
              <w:rPr>
                <w:rFonts w:ascii="Calibri" w:hAnsi="Calibri" w:cs="Calibri"/>
                <w:color w:val="002B45"/>
              </w:rPr>
            </w:pPr>
            <w:r w:rsidRPr="00235E84">
              <w:rPr>
                <w:rFonts w:ascii="Calibri" w:hAnsi="Calibri" w:cs="Calibri"/>
                <w:color w:val="002B45"/>
              </w:rPr>
              <w:t>Property, plant and equipment</w:t>
            </w:r>
          </w:p>
        </w:tc>
        <w:tc>
          <w:tcPr>
            <w:tcW w:w="1134" w:type="dxa"/>
            <w:shd w:val="clear" w:color="auto" w:fill="E6E6E6"/>
            <w:vAlign w:val="center"/>
          </w:tcPr>
          <w:p w:rsidR="00871692" w:rsidRPr="00073D2B" w:rsidRDefault="00871692" w:rsidP="004F290B">
            <w:pPr>
              <w:jc w:val="right"/>
              <w:rPr>
                <w:rFonts w:ascii="Calibri" w:hAnsi="Calibri" w:cs="Calibri"/>
                <w:color w:val="002B45"/>
                <w:lang w:val="en-US"/>
              </w:rPr>
            </w:pPr>
            <w:r w:rsidRPr="00073D2B">
              <w:rPr>
                <w:rFonts w:ascii="Calibri" w:hAnsi="Calibri" w:cs="Calibri"/>
                <w:color w:val="002B45"/>
                <w:lang w:val="en-US"/>
              </w:rPr>
              <w:t xml:space="preserve"> 626.5 </w:t>
            </w:r>
          </w:p>
        </w:tc>
        <w:tc>
          <w:tcPr>
            <w:tcW w:w="992" w:type="dxa"/>
            <w:shd w:val="clear" w:color="auto" w:fill="E6E6E6"/>
            <w:vAlign w:val="center"/>
          </w:tcPr>
          <w:p w:rsidR="00871692" w:rsidRPr="00073D2B" w:rsidRDefault="00871692" w:rsidP="004F290B">
            <w:pPr>
              <w:jc w:val="right"/>
              <w:rPr>
                <w:rFonts w:ascii="Calibri" w:hAnsi="Calibri" w:cs="Calibri"/>
                <w:color w:val="002B45"/>
                <w:lang w:val="en-US"/>
              </w:rPr>
            </w:pPr>
            <w:r w:rsidRPr="00073D2B">
              <w:rPr>
                <w:rFonts w:ascii="Calibri" w:hAnsi="Calibri" w:cs="Calibri"/>
                <w:color w:val="002B45"/>
                <w:lang w:val="en-US"/>
              </w:rPr>
              <w:t xml:space="preserve"> 1.5 </w:t>
            </w:r>
          </w:p>
        </w:tc>
        <w:tc>
          <w:tcPr>
            <w:tcW w:w="1276" w:type="dxa"/>
            <w:shd w:val="clear" w:color="auto" w:fill="E6E6E6"/>
            <w:vAlign w:val="center"/>
          </w:tcPr>
          <w:p w:rsidR="00871692" w:rsidRPr="00073D2B" w:rsidRDefault="00871692" w:rsidP="004F290B">
            <w:pPr>
              <w:jc w:val="right"/>
              <w:rPr>
                <w:rFonts w:ascii="Calibri" w:hAnsi="Calibri" w:cs="Calibri"/>
                <w:color w:val="002B45"/>
                <w:lang w:val="en-US"/>
              </w:rPr>
            </w:pPr>
            <w:r w:rsidRPr="00073D2B">
              <w:rPr>
                <w:rFonts w:ascii="Calibri" w:hAnsi="Calibri" w:cs="Calibri"/>
                <w:color w:val="002B45"/>
                <w:lang w:val="en-US"/>
              </w:rPr>
              <w:t xml:space="preserve"> 136.3 </w:t>
            </w:r>
          </w:p>
        </w:tc>
        <w:tc>
          <w:tcPr>
            <w:tcW w:w="992" w:type="dxa"/>
            <w:shd w:val="clear" w:color="auto" w:fill="E6E6E6"/>
            <w:vAlign w:val="center"/>
          </w:tcPr>
          <w:p w:rsidR="00871692" w:rsidRPr="00073D2B" w:rsidRDefault="00871692" w:rsidP="004F290B">
            <w:pPr>
              <w:jc w:val="right"/>
              <w:rPr>
                <w:rFonts w:ascii="Calibri" w:hAnsi="Calibri" w:cs="Calibri"/>
                <w:color w:val="002B45"/>
                <w:lang w:val="en-US"/>
              </w:rPr>
            </w:pPr>
            <w:r w:rsidRPr="00073D2B">
              <w:rPr>
                <w:rFonts w:ascii="Calibri" w:hAnsi="Calibri" w:cs="Calibri"/>
                <w:color w:val="002B45"/>
                <w:lang w:val="en-US"/>
              </w:rPr>
              <w:t xml:space="preserve"> 29.8 </w:t>
            </w:r>
          </w:p>
        </w:tc>
        <w:tc>
          <w:tcPr>
            <w:tcW w:w="851" w:type="dxa"/>
            <w:shd w:val="clear" w:color="auto" w:fill="E6E6E6"/>
            <w:vAlign w:val="center"/>
          </w:tcPr>
          <w:p w:rsidR="00871692" w:rsidRPr="00073D2B" w:rsidRDefault="00871692" w:rsidP="004F290B">
            <w:pPr>
              <w:jc w:val="right"/>
              <w:rPr>
                <w:rFonts w:ascii="Calibri" w:hAnsi="Calibri" w:cs="Calibri"/>
                <w:color w:val="002B45"/>
                <w:lang w:val="en-US"/>
              </w:rPr>
            </w:pPr>
            <w:r w:rsidRPr="00073D2B">
              <w:rPr>
                <w:rFonts w:ascii="Calibri" w:hAnsi="Calibri" w:cs="Calibri"/>
                <w:color w:val="002B45"/>
                <w:lang w:val="en-US"/>
              </w:rPr>
              <w:t xml:space="preserve"> 794.1 </w:t>
            </w:r>
          </w:p>
        </w:tc>
      </w:tr>
      <w:tr w:rsidR="00871692" w:rsidRPr="00E7076E" w:rsidTr="004F290B">
        <w:trPr>
          <w:trHeight w:val="283"/>
        </w:trPr>
        <w:tc>
          <w:tcPr>
            <w:tcW w:w="4253" w:type="dxa"/>
            <w:vAlign w:val="center"/>
          </w:tcPr>
          <w:p w:rsidR="00871692" w:rsidRPr="00235E84" w:rsidRDefault="00871692" w:rsidP="004F290B">
            <w:pPr>
              <w:pStyle w:val="Tabletext0"/>
              <w:ind w:right="85" w:firstLine="426"/>
              <w:rPr>
                <w:rFonts w:ascii="Calibri" w:hAnsi="Calibri" w:cs="Calibri"/>
                <w:color w:val="002B45"/>
              </w:rPr>
            </w:pPr>
            <w:r w:rsidRPr="00235E84">
              <w:rPr>
                <w:rFonts w:ascii="Calibri" w:hAnsi="Calibri" w:cs="Calibri"/>
                <w:color w:val="002B45"/>
              </w:rPr>
              <w:t>Intangible exploration and evaluation assets</w:t>
            </w:r>
          </w:p>
        </w:tc>
        <w:tc>
          <w:tcPr>
            <w:tcW w:w="1134" w:type="dxa"/>
            <w:shd w:val="clear" w:color="auto" w:fill="E6E6E6"/>
            <w:vAlign w:val="center"/>
          </w:tcPr>
          <w:p w:rsidR="00871692" w:rsidRPr="00073D2B" w:rsidRDefault="00871692" w:rsidP="004F290B">
            <w:pPr>
              <w:jc w:val="right"/>
              <w:rPr>
                <w:rFonts w:ascii="Calibri" w:hAnsi="Calibri" w:cs="Calibri"/>
                <w:color w:val="002B45"/>
                <w:lang w:val="en-US"/>
              </w:rPr>
            </w:pPr>
            <w:r w:rsidRPr="00073D2B">
              <w:rPr>
                <w:rFonts w:ascii="Calibri" w:hAnsi="Calibri" w:cs="Calibri"/>
                <w:color w:val="002B45"/>
                <w:lang w:val="en-US"/>
              </w:rPr>
              <w:t xml:space="preserve"> 512.2 </w:t>
            </w:r>
          </w:p>
        </w:tc>
        <w:tc>
          <w:tcPr>
            <w:tcW w:w="992" w:type="dxa"/>
            <w:shd w:val="clear" w:color="auto" w:fill="E6E6E6"/>
            <w:vAlign w:val="center"/>
          </w:tcPr>
          <w:p w:rsidR="00871692" w:rsidRPr="00073D2B" w:rsidRDefault="00871692" w:rsidP="004F290B">
            <w:pPr>
              <w:jc w:val="right"/>
              <w:rPr>
                <w:rFonts w:ascii="Calibri" w:hAnsi="Calibri" w:cs="Calibri"/>
                <w:color w:val="002B45"/>
                <w:lang w:val="en-US"/>
              </w:rPr>
            </w:pPr>
            <w:r w:rsidRPr="00073D2B">
              <w:rPr>
                <w:rFonts w:ascii="Calibri" w:hAnsi="Calibri" w:cs="Calibri"/>
                <w:color w:val="002B45"/>
                <w:lang w:val="en-US"/>
              </w:rPr>
              <w:t xml:space="preserve"> 582.6 </w:t>
            </w:r>
          </w:p>
        </w:tc>
        <w:tc>
          <w:tcPr>
            <w:tcW w:w="1276" w:type="dxa"/>
            <w:shd w:val="clear" w:color="auto" w:fill="E6E6E6"/>
            <w:vAlign w:val="center"/>
          </w:tcPr>
          <w:p w:rsidR="00871692" w:rsidRPr="00073D2B" w:rsidRDefault="00871692" w:rsidP="004F290B">
            <w:pPr>
              <w:jc w:val="right"/>
              <w:rPr>
                <w:rFonts w:ascii="Calibri" w:hAnsi="Calibri" w:cs="Calibri"/>
                <w:color w:val="002B45"/>
                <w:lang w:val="en-US"/>
              </w:rPr>
            </w:pPr>
            <w:r w:rsidRPr="00073D2B">
              <w:rPr>
                <w:rFonts w:ascii="Calibri" w:hAnsi="Calibri" w:cs="Calibri"/>
                <w:color w:val="002B45"/>
                <w:lang w:val="en-US"/>
              </w:rPr>
              <w:t xml:space="preserve"> 246.1 </w:t>
            </w:r>
          </w:p>
        </w:tc>
        <w:tc>
          <w:tcPr>
            <w:tcW w:w="992" w:type="dxa"/>
            <w:shd w:val="clear" w:color="auto" w:fill="E6E6E6"/>
            <w:vAlign w:val="center"/>
          </w:tcPr>
          <w:p w:rsidR="00871692" w:rsidRPr="00073D2B" w:rsidRDefault="00871692" w:rsidP="004F290B">
            <w:pPr>
              <w:jc w:val="right"/>
              <w:rPr>
                <w:rFonts w:ascii="Calibri" w:hAnsi="Calibri" w:cs="Calibri"/>
                <w:color w:val="002B45"/>
                <w:lang w:val="en-US"/>
              </w:rPr>
            </w:pPr>
            <w:r w:rsidRPr="00073D2B">
              <w:rPr>
                <w:rFonts w:ascii="Calibri" w:hAnsi="Calibri" w:cs="Calibri"/>
                <w:color w:val="002B45"/>
                <w:lang w:val="en-US"/>
              </w:rPr>
              <w:t xml:space="preserve"> – </w:t>
            </w:r>
          </w:p>
        </w:tc>
        <w:tc>
          <w:tcPr>
            <w:tcW w:w="851" w:type="dxa"/>
            <w:shd w:val="clear" w:color="auto" w:fill="E6E6E6"/>
            <w:vAlign w:val="center"/>
          </w:tcPr>
          <w:p w:rsidR="00871692" w:rsidRPr="00073D2B" w:rsidRDefault="00871692" w:rsidP="004F290B">
            <w:pPr>
              <w:jc w:val="right"/>
              <w:rPr>
                <w:rFonts w:ascii="Calibri" w:hAnsi="Calibri" w:cs="Calibri"/>
                <w:color w:val="002B45"/>
                <w:lang w:val="en-US"/>
              </w:rPr>
            </w:pPr>
            <w:r w:rsidRPr="00073D2B">
              <w:rPr>
                <w:rFonts w:ascii="Calibri" w:hAnsi="Calibri" w:cs="Calibri"/>
                <w:color w:val="002B45"/>
                <w:lang w:val="en-US"/>
              </w:rPr>
              <w:t xml:space="preserve"> 1,340.9 </w:t>
            </w:r>
          </w:p>
        </w:tc>
      </w:tr>
      <w:tr w:rsidR="00EB5D64" w:rsidRPr="00E7076E" w:rsidTr="004F290B">
        <w:trPr>
          <w:trHeight w:val="283"/>
        </w:trPr>
        <w:tc>
          <w:tcPr>
            <w:tcW w:w="4253" w:type="dxa"/>
            <w:vAlign w:val="center"/>
          </w:tcPr>
          <w:p w:rsidR="00EB5D64" w:rsidRDefault="00EB5D64" w:rsidP="004F290B">
            <w:pPr>
              <w:pStyle w:val="Tabletext0"/>
              <w:ind w:right="85"/>
              <w:rPr>
                <w:rFonts w:ascii="Calibri" w:hAnsi="Calibri" w:cs="Calibri"/>
                <w:color w:val="002B45"/>
              </w:rPr>
            </w:pPr>
            <w:r w:rsidRPr="00235E84">
              <w:rPr>
                <w:rFonts w:ascii="Calibri" w:hAnsi="Calibri" w:cs="Calibri"/>
                <w:color w:val="002B45"/>
              </w:rPr>
              <w:t>Depletion, depreciation and amortisation</w:t>
            </w:r>
          </w:p>
        </w:tc>
        <w:tc>
          <w:tcPr>
            <w:tcW w:w="1134" w:type="dxa"/>
            <w:shd w:val="clear" w:color="auto" w:fill="E6E6E6"/>
            <w:vAlign w:val="center"/>
          </w:tcPr>
          <w:p w:rsidR="00EB5D64" w:rsidRPr="00073D2B" w:rsidRDefault="00EB5D64" w:rsidP="004F290B">
            <w:pPr>
              <w:jc w:val="right"/>
              <w:rPr>
                <w:rFonts w:ascii="Calibri" w:hAnsi="Calibri" w:cs="Calibri"/>
                <w:color w:val="002B45"/>
                <w:lang w:val="en-US"/>
              </w:rPr>
            </w:pPr>
            <w:r w:rsidRPr="00073D2B">
              <w:rPr>
                <w:rFonts w:ascii="Calibri" w:hAnsi="Calibri" w:cs="Calibri"/>
                <w:color w:val="002B45"/>
                <w:lang w:val="en-US"/>
              </w:rPr>
              <w:t>(360.2)</w:t>
            </w:r>
          </w:p>
        </w:tc>
        <w:tc>
          <w:tcPr>
            <w:tcW w:w="992" w:type="dxa"/>
            <w:shd w:val="clear" w:color="auto" w:fill="E6E6E6"/>
            <w:vAlign w:val="center"/>
          </w:tcPr>
          <w:p w:rsidR="00EB5D64" w:rsidRPr="00073D2B" w:rsidRDefault="00EB5D64" w:rsidP="004F290B">
            <w:pPr>
              <w:jc w:val="right"/>
              <w:rPr>
                <w:rFonts w:ascii="Calibri" w:hAnsi="Calibri" w:cs="Calibri"/>
                <w:color w:val="002B45"/>
                <w:lang w:val="en-US"/>
              </w:rPr>
            </w:pPr>
            <w:r w:rsidRPr="00073D2B">
              <w:rPr>
                <w:rFonts w:ascii="Calibri" w:hAnsi="Calibri" w:cs="Calibri"/>
                <w:color w:val="002B45"/>
                <w:lang w:val="en-US"/>
              </w:rPr>
              <w:t>(1.2)</w:t>
            </w:r>
          </w:p>
        </w:tc>
        <w:tc>
          <w:tcPr>
            <w:tcW w:w="1276" w:type="dxa"/>
            <w:shd w:val="clear" w:color="auto" w:fill="E6E6E6"/>
            <w:vAlign w:val="center"/>
          </w:tcPr>
          <w:p w:rsidR="00EB5D64" w:rsidRPr="00073D2B" w:rsidRDefault="00EB5D64" w:rsidP="004F290B">
            <w:pPr>
              <w:jc w:val="right"/>
              <w:rPr>
                <w:rFonts w:ascii="Calibri" w:hAnsi="Calibri" w:cs="Calibri"/>
                <w:color w:val="002B45"/>
                <w:lang w:val="en-US"/>
              </w:rPr>
            </w:pPr>
            <w:r w:rsidRPr="00073D2B">
              <w:rPr>
                <w:rFonts w:ascii="Calibri" w:hAnsi="Calibri" w:cs="Calibri"/>
                <w:color w:val="002B45"/>
                <w:lang w:val="en-US"/>
              </w:rPr>
              <w:t>(178.4)</w:t>
            </w:r>
          </w:p>
        </w:tc>
        <w:tc>
          <w:tcPr>
            <w:tcW w:w="992" w:type="dxa"/>
            <w:shd w:val="clear" w:color="auto" w:fill="E6E6E6"/>
            <w:vAlign w:val="center"/>
          </w:tcPr>
          <w:p w:rsidR="00EB5D64" w:rsidRPr="00073D2B" w:rsidRDefault="00EB5D64" w:rsidP="004F290B">
            <w:pPr>
              <w:jc w:val="right"/>
              <w:rPr>
                <w:rFonts w:ascii="Calibri" w:hAnsi="Calibri" w:cs="Calibri"/>
                <w:color w:val="002B45"/>
                <w:lang w:val="en-US"/>
              </w:rPr>
            </w:pPr>
            <w:r w:rsidRPr="00073D2B">
              <w:rPr>
                <w:rFonts w:ascii="Calibri" w:hAnsi="Calibri" w:cs="Calibri"/>
                <w:color w:val="002B45"/>
                <w:lang w:val="en-US"/>
              </w:rPr>
              <w:t>(22.1)</w:t>
            </w:r>
          </w:p>
        </w:tc>
        <w:tc>
          <w:tcPr>
            <w:tcW w:w="851" w:type="dxa"/>
            <w:shd w:val="clear" w:color="auto" w:fill="E6E6E6"/>
            <w:vAlign w:val="center"/>
          </w:tcPr>
          <w:p w:rsidR="00EB5D64" w:rsidRPr="00073D2B" w:rsidRDefault="00EB5D64" w:rsidP="004F290B">
            <w:pPr>
              <w:jc w:val="right"/>
              <w:rPr>
                <w:rFonts w:ascii="Calibri" w:hAnsi="Calibri" w:cs="Calibri"/>
                <w:color w:val="002B45"/>
                <w:lang w:val="en-US"/>
              </w:rPr>
            </w:pPr>
            <w:r w:rsidRPr="00073D2B">
              <w:rPr>
                <w:rFonts w:ascii="Calibri" w:hAnsi="Calibri" w:cs="Calibri"/>
                <w:color w:val="002B45"/>
                <w:lang w:val="en-US"/>
              </w:rPr>
              <w:t>(561.9)</w:t>
            </w:r>
          </w:p>
        </w:tc>
      </w:tr>
      <w:tr w:rsidR="00EB5D64" w:rsidRPr="00E7076E" w:rsidTr="004F290B">
        <w:trPr>
          <w:trHeight w:val="283"/>
        </w:trPr>
        <w:tc>
          <w:tcPr>
            <w:tcW w:w="4253" w:type="dxa"/>
            <w:vAlign w:val="center"/>
          </w:tcPr>
          <w:p w:rsidR="00EB5D64" w:rsidRPr="00235E84" w:rsidRDefault="00EB5D64" w:rsidP="004F290B">
            <w:pPr>
              <w:pStyle w:val="Tabletext0"/>
              <w:ind w:right="85"/>
              <w:rPr>
                <w:rFonts w:ascii="Calibri" w:hAnsi="Calibri" w:cs="Calibri"/>
                <w:color w:val="002B45"/>
              </w:rPr>
            </w:pPr>
            <w:r w:rsidRPr="00235E84">
              <w:rPr>
                <w:rFonts w:ascii="Calibri" w:hAnsi="Calibri" w:cs="Calibri"/>
                <w:color w:val="002B45"/>
              </w:rPr>
              <w:t>Impairment losses recognised in income statement</w:t>
            </w:r>
          </w:p>
        </w:tc>
        <w:tc>
          <w:tcPr>
            <w:tcW w:w="1134" w:type="dxa"/>
            <w:shd w:val="clear" w:color="auto" w:fill="E6E6E6"/>
            <w:vAlign w:val="center"/>
          </w:tcPr>
          <w:p w:rsidR="00EB5D64" w:rsidRPr="00073D2B" w:rsidRDefault="00EB5D64" w:rsidP="004F290B">
            <w:pPr>
              <w:jc w:val="right"/>
              <w:rPr>
                <w:rFonts w:ascii="Calibri" w:hAnsi="Calibri" w:cs="Calibri"/>
                <w:color w:val="002B45"/>
                <w:lang w:val="en-US"/>
              </w:rPr>
            </w:pPr>
            <w:r w:rsidRPr="00073D2B">
              <w:rPr>
                <w:rFonts w:ascii="Calibri" w:hAnsi="Calibri" w:cs="Calibri"/>
                <w:color w:val="002B45"/>
                <w:lang w:val="en-US"/>
              </w:rPr>
              <w:t>(31.3)</w:t>
            </w:r>
          </w:p>
        </w:tc>
        <w:tc>
          <w:tcPr>
            <w:tcW w:w="992" w:type="dxa"/>
            <w:shd w:val="clear" w:color="auto" w:fill="E6E6E6"/>
            <w:vAlign w:val="center"/>
          </w:tcPr>
          <w:p w:rsidR="00EB5D64" w:rsidRPr="00073D2B" w:rsidRDefault="00EB5D64" w:rsidP="004F290B">
            <w:pPr>
              <w:jc w:val="right"/>
              <w:rPr>
                <w:rFonts w:ascii="Calibri" w:hAnsi="Calibri" w:cs="Calibri"/>
                <w:color w:val="002B45"/>
                <w:lang w:val="en-US"/>
              </w:rPr>
            </w:pPr>
            <w:r w:rsidRPr="00073D2B">
              <w:rPr>
                <w:rFonts w:ascii="Calibri" w:hAnsi="Calibri" w:cs="Calibri"/>
                <w:color w:val="002B45"/>
                <w:lang w:val="en-US"/>
              </w:rPr>
              <w:t xml:space="preserve"> – </w:t>
            </w:r>
          </w:p>
        </w:tc>
        <w:tc>
          <w:tcPr>
            <w:tcW w:w="1276" w:type="dxa"/>
            <w:shd w:val="clear" w:color="auto" w:fill="E6E6E6"/>
            <w:vAlign w:val="center"/>
          </w:tcPr>
          <w:p w:rsidR="00EB5D64" w:rsidRPr="00073D2B" w:rsidRDefault="00EB5D64" w:rsidP="004F290B">
            <w:pPr>
              <w:jc w:val="right"/>
              <w:rPr>
                <w:rFonts w:ascii="Calibri" w:hAnsi="Calibri" w:cs="Calibri"/>
                <w:color w:val="002B45"/>
                <w:lang w:val="en-US"/>
              </w:rPr>
            </w:pPr>
            <w:r w:rsidRPr="00073D2B">
              <w:rPr>
                <w:rFonts w:ascii="Calibri" w:hAnsi="Calibri" w:cs="Calibri"/>
                <w:color w:val="002B45"/>
                <w:lang w:val="en-US"/>
              </w:rPr>
              <w:t xml:space="preserve"> – </w:t>
            </w:r>
          </w:p>
        </w:tc>
        <w:tc>
          <w:tcPr>
            <w:tcW w:w="992" w:type="dxa"/>
            <w:shd w:val="clear" w:color="auto" w:fill="E6E6E6"/>
            <w:vAlign w:val="center"/>
          </w:tcPr>
          <w:p w:rsidR="00EB5D64" w:rsidRPr="00073D2B" w:rsidRDefault="00EB5D64" w:rsidP="004F290B">
            <w:pPr>
              <w:jc w:val="right"/>
              <w:rPr>
                <w:rFonts w:ascii="Calibri" w:hAnsi="Calibri" w:cs="Calibri"/>
                <w:color w:val="002B45"/>
                <w:lang w:val="en-US"/>
              </w:rPr>
            </w:pPr>
            <w:r w:rsidRPr="00073D2B">
              <w:rPr>
                <w:rFonts w:ascii="Calibri" w:hAnsi="Calibri" w:cs="Calibri"/>
                <w:color w:val="002B45"/>
                <w:lang w:val="en-US"/>
              </w:rPr>
              <w:t xml:space="preserve"> – </w:t>
            </w:r>
          </w:p>
        </w:tc>
        <w:tc>
          <w:tcPr>
            <w:tcW w:w="851" w:type="dxa"/>
            <w:shd w:val="clear" w:color="auto" w:fill="E6E6E6"/>
            <w:vAlign w:val="center"/>
          </w:tcPr>
          <w:p w:rsidR="00EB5D64" w:rsidRPr="00073D2B" w:rsidRDefault="00EB5D64" w:rsidP="004F290B">
            <w:pPr>
              <w:jc w:val="right"/>
              <w:rPr>
                <w:rFonts w:ascii="Calibri" w:hAnsi="Calibri" w:cs="Calibri"/>
                <w:color w:val="002B45"/>
                <w:lang w:val="en-US"/>
              </w:rPr>
            </w:pPr>
            <w:r w:rsidRPr="00073D2B">
              <w:rPr>
                <w:rFonts w:ascii="Calibri" w:hAnsi="Calibri" w:cs="Calibri"/>
                <w:color w:val="002B45"/>
                <w:lang w:val="en-US"/>
              </w:rPr>
              <w:t>(31.3)</w:t>
            </w:r>
          </w:p>
        </w:tc>
      </w:tr>
      <w:tr w:rsidR="001808A9" w:rsidTr="004F290B">
        <w:trPr>
          <w:trHeight w:val="283"/>
        </w:trPr>
        <w:tc>
          <w:tcPr>
            <w:tcW w:w="4253" w:type="dxa"/>
            <w:tcBorders>
              <w:bottom w:val="single" w:sz="12" w:space="0" w:color="999999"/>
            </w:tcBorders>
            <w:shd w:val="clear" w:color="auto" w:fill="auto"/>
            <w:vAlign w:val="center"/>
          </w:tcPr>
          <w:p w:rsidR="001808A9" w:rsidRPr="00235E84" w:rsidRDefault="001808A9" w:rsidP="001808A9">
            <w:pPr>
              <w:pStyle w:val="Tabletext0"/>
              <w:ind w:right="85"/>
              <w:rPr>
                <w:rFonts w:ascii="Calibri" w:hAnsi="Calibri" w:cs="Calibri"/>
                <w:color w:val="002B45"/>
              </w:rPr>
            </w:pPr>
            <w:r w:rsidRPr="00235E84">
              <w:rPr>
                <w:rFonts w:ascii="Calibri" w:hAnsi="Calibri" w:cs="Calibri"/>
                <w:color w:val="002B45"/>
              </w:rPr>
              <w:t>Exploration costs written off</w:t>
            </w:r>
          </w:p>
        </w:tc>
        <w:tc>
          <w:tcPr>
            <w:tcW w:w="1134" w:type="dxa"/>
            <w:tcBorders>
              <w:bottom w:val="single" w:sz="12" w:space="0" w:color="999999"/>
            </w:tcBorders>
            <w:shd w:val="clear" w:color="auto" w:fill="E6E6E6"/>
            <w:vAlign w:val="center"/>
          </w:tcPr>
          <w:p w:rsidR="001808A9" w:rsidRPr="00073D2B" w:rsidRDefault="001808A9" w:rsidP="001808A9">
            <w:pPr>
              <w:jc w:val="right"/>
              <w:rPr>
                <w:rFonts w:ascii="Calibri" w:hAnsi="Calibri" w:cs="Calibri"/>
                <w:color w:val="002B45"/>
                <w:lang w:val="en-US"/>
              </w:rPr>
            </w:pPr>
            <w:r w:rsidRPr="00073D2B">
              <w:rPr>
                <w:rFonts w:ascii="Calibri" w:hAnsi="Calibri" w:cs="Calibri"/>
                <w:color w:val="002B45"/>
                <w:lang w:val="en-US"/>
              </w:rPr>
              <w:t>(320.9)</w:t>
            </w:r>
          </w:p>
        </w:tc>
        <w:tc>
          <w:tcPr>
            <w:tcW w:w="992" w:type="dxa"/>
            <w:tcBorders>
              <w:bottom w:val="single" w:sz="12" w:space="0" w:color="999999"/>
            </w:tcBorders>
            <w:shd w:val="clear" w:color="auto" w:fill="E6E6E6"/>
            <w:vAlign w:val="center"/>
          </w:tcPr>
          <w:p w:rsidR="001808A9" w:rsidRPr="00073D2B" w:rsidRDefault="001808A9" w:rsidP="001808A9">
            <w:pPr>
              <w:jc w:val="right"/>
              <w:rPr>
                <w:rFonts w:ascii="Calibri" w:hAnsi="Calibri" w:cs="Calibri"/>
                <w:color w:val="002B45"/>
                <w:lang w:val="en-US"/>
              </w:rPr>
            </w:pPr>
            <w:r w:rsidRPr="00073D2B">
              <w:rPr>
                <w:rFonts w:ascii="Calibri" w:hAnsi="Calibri" w:cs="Calibri"/>
                <w:color w:val="002B45"/>
                <w:lang w:val="en-US"/>
              </w:rPr>
              <w:t>(176.1)</w:t>
            </w:r>
          </w:p>
        </w:tc>
        <w:tc>
          <w:tcPr>
            <w:tcW w:w="1276" w:type="dxa"/>
            <w:tcBorders>
              <w:bottom w:val="single" w:sz="12" w:space="0" w:color="999999"/>
            </w:tcBorders>
            <w:shd w:val="clear" w:color="auto" w:fill="E6E6E6"/>
            <w:vAlign w:val="center"/>
          </w:tcPr>
          <w:p w:rsidR="001808A9" w:rsidRPr="00073D2B" w:rsidRDefault="001808A9" w:rsidP="001808A9">
            <w:pPr>
              <w:jc w:val="right"/>
              <w:rPr>
                <w:rFonts w:ascii="Calibri" w:hAnsi="Calibri" w:cs="Calibri"/>
                <w:color w:val="002B45"/>
                <w:lang w:val="en-US"/>
              </w:rPr>
            </w:pPr>
            <w:r w:rsidRPr="00073D2B">
              <w:rPr>
                <w:rFonts w:ascii="Calibri" w:hAnsi="Calibri" w:cs="Calibri"/>
                <w:color w:val="002B45"/>
                <w:lang w:val="en-US"/>
              </w:rPr>
              <w:t>(173.9)</w:t>
            </w:r>
          </w:p>
        </w:tc>
        <w:tc>
          <w:tcPr>
            <w:tcW w:w="992" w:type="dxa"/>
            <w:tcBorders>
              <w:bottom w:val="single" w:sz="12" w:space="0" w:color="999999"/>
            </w:tcBorders>
            <w:shd w:val="clear" w:color="auto" w:fill="E6E6E6"/>
            <w:vAlign w:val="center"/>
          </w:tcPr>
          <w:p w:rsidR="001808A9" w:rsidRPr="00073D2B" w:rsidRDefault="001808A9" w:rsidP="001808A9">
            <w:pPr>
              <w:jc w:val="right"/>
              <w:rPr>
                <w:rFonts w:ascii="Calibri" w:hAnsi="Calibri" w:cs="Calibri"/>
                <w:color w:val="002B45"/>
                <w:lang w:val="en-US"/>
              </w:rPr>
            </w:pPr>
            <w:r w:rsidRPr="00073D2B">
              <w:rPr>
                <w:rFonts w:ascii="Calibri" w:hAnsi="Calibri" w:cs="Calibri"/>
                <w:color w:val="002B45"/>
                <w:lang w:val="en-US"/>
              </w:rPr>
              <w:t xml:space="preserve"> – </w:t>
            </w:r>
          </w:p>
        </w:tc>
        <w:tc>
          <w:tcPr>
            <w:tcW w:w="851" w:type="dxa"/>
            <w:tcBorders>
              <w:bottom w:val="single" w:sz="12" w:space="0" w:color="999999"/>
            </w:tcBorders>
            <w:shd w:val="clear" w:color="auto" w:fill="E6E6E6"/>
            <w:vAlign w:val="center"/>
          </w:tcPr>
          <w:p w:rsidR="001808A9" w:rsidRPr="00073D2B" w:rsidRDefault="001808A9" w:rsidP="001808A9">
            <w:pPr>
              <w:jc w:val="right"/>
              <w:rPr>
                <w:rFonts w:ascii="Calibri" w:hAnsi="Calibri" w:cs="Calibri"/>
                <w:color w:val="002B45"/>
                <w:lang w:val="en-US"/>
              </w:rPr>
            </w:pPr>
            <w:r w:rsidRPr="00073D2B">
              <w:rPr>
                <w:rFonts w:ascii="Calibri" w:hAnsi="Calibri" w:cs="Calibri"/>
                <w:color w:val="002B45"/>
                <w:lang w:val="en-US"/>
              </w:rPr>
              <w:t>(670.9)</w:t>
            </w:r>
          </w:p>
        </w:tc>
      </w:tr>
    </w:tbl>
    <w:p w:rsidR="00871692" w:rsidRDefault="00871692" w:rsidP="004F290B">
      <w:pPr>
        <w:spacing w:before="120" w:after="120"/>
        <w:rPr>
          <w:rFonts w:ascii="Calibri" w:hAnsi="Calibri" w:cs="Calibri"/>
          <w:bCs/>
          <w:color w:val="5F5F5F"/>
        </w:rPr>
      </w:pPr>
      <w:r w:rsidRPr="004F290B">
        <w:rPr>
          <w:rFonts w:ascii="Calibri" w:hAnsi="Calibri" w:cs="Calibri"/>
          <w:bCs/>
          <w:i/>
          <w:color w:val="5F5F5F"/>
        </w:rPr>
        <w:t>Unallocated expenditure and net liabilities include amounts of a corporate nature and not specifically attributable to a geographic area. The liabilities comprise the Group’s external debt and other non attributable corporate liabilities</w:t>
      </w:r>
      <w:r w:rsidRPr="009318F0">
        <w:rPr>
          <w:rFonts w:ascii="Calibri" w:hAnsi="Calibri" w:cs="Calibri"/>
          <w:bCs/>
          <w:color w:val="5F5F5F"/>
        </w:rPr>
        <w:t>.</w:t>
      </w:r>
      <w:r>
        <w:rPr>
          <w:rFonts w:ascii="Calibri" w:hAnsi="Calibri" w:cs="Calibri"/>
          <w:bCs/>
          <w:color w:val="5F5F5F"/>
        </w:rPr>
        <w:br w:type="page"/>
      </w:r>
    </w:p>
    <w:p w:rsidR="00871692" w:rsidRPr="004F290B" w:rsidRDefault="00871692" w:rsidP="004F290B">
      <w:pPr>
        <w:numPr>
          <w:ilvl w:val="0"/>
          <w:numId w:val="6"/>
        </w:numPr>
        <w:spacing w:before="240" w:after="40"/>
        <w:ind w:left="0" w:firstLine="0"/>
        <w:rPr>
          <w:rFonts w:ascii="Calibri" w:hAnsi="Calibri" w:cs="Calibri"/>
          <w:b/>
          <w:color w:val="00305C"/>
          <w:sz w:val="22"/>
          <w:szCs w:val="22"/>
          <w:lang w:val="en-US"/>
        </w:rPr>
      </w:pPr>
      <w:r w:rsidRPr="004F290B">
        <w:rPr>
          <w:rFonts w:ascii="Calibri" w:hAnsi="Calibri" w:cs="Calibri"/>
          <w:b/>
          <w:color w:val="00305C"/>
          <w:sz w:val="22"/>
          <w:szCs w:val="22"/>
          <w:lang w:val="en-US"/>
        </w:rPr>
        <w:t>Taxation on profit on ordinary activities</w:t>
      </w:r>
    </w:p>
    <w:p w:rsidR="00871692" w:rsidRPr="009318F0" w:rsidRDefault="00871692" w:rsidP="00871692">
      <w:pPr>
        <w:numPr>
          <w:ilvl w:val="1"/>
          <w:numId w:val="6"/>
        </w:numPr>
        <w:tabs>
          <w:tab w:val="num" w:pos="380"/>
        </w:tabs>
        <w:ind w:left="0" w:firstLine="0"/>
        <w:rPr>
          <w:rFonts w:ascii="Calibri" w:hAnsi="Calibri" w:cs="Calibri"/>
          <w:bCs/>
          <w:color w:val="5F5F5F"/>
        </w:rPr>
      </w:pPr>
      <w:r w:rsidRPr="009318F0">
        <w:rPr>
          <w:rFonts w:ascii="Calibri" w:hAnsi="Calibri" w:cs="Calibri"/>
          <w:bCs/>
          <w:color w:val="5F5F5F"/>
        </w:rPr>
        <w:t>Analysis of charge in period</w:t>
      </w:r>
    </w:p>
    <w:p w:rsidR="00871692" w:rsidRPr="009318F0" w:rsidRDefault="00871692" w:rsidP="00871692">
      <w:pPr>
        <w:rPr>
          <w:rFonts w:ascii="Calibri" w:hAnsi="Calibri" w:cs="Calibri"/>
          <w:bCs/>
          <w:color w:val="5F5F5F"/>
        </w:rPr>
      </w:pPr>
      <w:r w:rsidRPr="009318F0">
        <w:rPr>
          <w:rFonts w:ascii="Calibri" w:hAnsi="Calibri" w:cs="Calibri"/>
          <w:bCs/>
          <w:color w:val="5F5F5F"/>
        </w:rPr>
        <w:t>The tax charge comprises:</w:t>
      </w:r>
    </w:p>
    <w:tbl>
      <w:tblPr>
        <w:tblW w:w="0" w:type="auto"/>
        <w:tblCellMar>
          <w:left w:w="0" w:type="dxa"/>
          <w:right w:w="57" w:type="dxa"/>
        </w:tblCellMar>
        <w:tblLook w:val="00A0" w:firstRow="1" w:lastRow="0" w:firstColumn="1" w:lastColumn="0" w:noHBand="0" w:noVBand="0"/>
      </w:tblPr>
      <w:tblGrid>
        <w:gridCol w:w="7088"/>
        <w:gridCol w:w="1265"/>
        <w:gridCol w:w="1145"/>
      </w:tblGrid>
      <w:tr w:rsidR="00871692" w:rsidRPr="00E76D01" w:rsidTr="004F290B">
        <w:tc>
          <w:tcPr>
            <w:tcW w:w="7088" w:type="dxa"/>
            <w:tcBorders>
              <w:bottom w:val="single" w:sz="12" w:space="0" w:color="999999"/>
            </w:tcBorders>
            <w:vAlign w:val="bottom"/>
          </w:tcPr>
          <w:p w:rsidR="00871692" w:rsidRPr="004F290B" w:rsidRDefault="00871692" w:rsidP="009B4FC7">
            <w:pPr>
              <w:pStyle w:val="Tabletext0"/>
              <w:rPr>
                <w:sz w:val="20"/>
                <w:szCs w:val="20"/>
              </w:rPr>
            </w:pPr>
          </w:p>
        </w:tc>
        <w:tc>
          <w:tcPr>
            <w:tcW w:w="1265" w:type="dxa"/>
            <w:tcBorders>
              <w:bottom w:val="single" w:sz="12" w:space="0" w:color="999999"/>
            </w:tcBorders>
            <w:vAlign w:val="bottom"/>
          </w:tcPr>
          <w:p w:rsidR="00871692" w:rsidRPr="004F290B" w:rsidRDefault="00871692" w:rsidP="002228A3">
            <w:pPr>
              <w:spacing w:line="180" w:lineRule="exact"/>
              <w:ind w:right="57"/>
              <w:jc w:val="right"/>
              <w:rPr>
                <w:rStyle w:val="Bold"/>
                <w:rFonts w:ascii="Calibri" w:hAnsi="Calibri" w:cs="Calibri"/>
                <w:b/>
                <w:color w:val="002B45"/>
                <w:sz w:val="20"/>
                <w:szCs w:val="20"/>
              </w:rPr>
            </w:pPr>
            <w:r w:rsidRPr="004F290B">
              <w:rPr>
                <w:rStyle w:val="Bold"/>
                <w:rFonts w:ascii="Calibri" w:hAnsi="Calibri" w:cs="Calibri"/>
                <w:b/>
                <w:color w:val="002B45"/>
                <w:sz w:val="20"/>
                <w:szCs w:val="20"/>
              </w:rPr>
              <w:t>2013</w:t>
            </w:r>
            <w:r w:rsidRPr="004F290B">
              <w:rPr>
                <w:rStyle w:val="Bold"/>
                <w:rFonts w:ascii="Calibri" w:hAnsi="Calibri" w:cs="Calibri"/>
                <w:b/>
                <w:color w:val="002B45"/>
                <w:sz w:val="20"/>
                <w:szCs w:val="20"/>
              </w:rPr>
              <w:br/>
              <w:t>$m</w:t>
            </w:r>
          </w:p>
        </w:tc>
        <w:tc>
          <w:tcPr>
            <w:tcW w:w="1145" w:type="dxa"/>
            <w:tcBorders>
              <w:bottom w:val="single" w:sz="12" w:space="0" w:color="999999"/>
            </w:tcBorders>
            <w:vAlign w:val="bottom"/>
          </w:tcPr>
          <w:p w:rsidR="00871692" w:rsidRPr="004F290B" w:rsidRDefault="00871692" w:rsidP="002228A3">
            <w:pPr>
              <w:spacing w:line="180" w:lineRule="exact"/>
              <w:ind w:right="57"/>
              <w:jc w:val="right"/>
              <w:rPr>
                <w:rStyle w:val="Bold"/>
                <w:rFonts w:ascii="Calibri" w:hAnsi="Calibri" w:cs="Calibri"/>
                <w:b/>
                <w:color w:val="002B45"/>
                <w:sz w:val="20"/>
                <w:szCs w:val="20"/>
              </w:rPr>
            </w:pPr>
            <w:r w:rsidRPr="004F290B">
              <w:rPr>
                <w:rStyle w:val="Bold"/>
                <w:rFonts w:ascii="Calibri" w:hAnsi="Calibri" w:cs="Calibri"/>
                <w:b/>
                <w:color w:val="002B45"/>
                <w:sz w:val="20"/>
                <w:szCs w:val="20"/>
              </w:rPr>
              <w:t>2012</w:t>
            </w:r>
            <w:r w:rsidRPr="004F290B">
              <w:rPr>
                <w:rStyle w:val="Bold"/>
                <w:rFonts w:ascii="Calibri" w:hAnsi="Calibri" w:cs="Calibri"/>
                <w:b/>
                <w:color w:val="002B45"/>
                <w:sz w:val="20"/>
                <w:szCs w:val="20"/>
              </w:rPr>
              <w:br/>
              <w:t>$m</w:t>
            </w:r>
          </w:p>
        </w:tc>
      </w:tr>
      <w:tr w:rsidR="00871692" w:rsidRPr="00C44CA2" w:rsidTr="00533602">
        <w:trPr>
          <w:trHeight w:val="283"/>
        </w:trPr>
        <w:tc>
          <w:tcPr>
            <w:tcW w:w="7088" w:type="dxa"/>
            <w:tcBorders>
              <w:top w:val="single" w:sz="12" w:space="0" w:color="999999"/>
            </w:tcBorders>
            <w:vAlign w:val="center"/>
          </w:tcPr>
          <w:p w:rsidR="00871692" w:rsidRPr="00235E84" w:rsidRDefault="00871692" w:rsidP="00533602">
            <w:pPr>
              <w:pStyle w:val="Tabletext0"/>
              <w:ind w:right="85"/>
              <w:rPr>
                <w:rFonts w:ascii="Calibri" w:hAnsi="Calibri" w:cs="Calibri"/>
                <w:color w:val="002B45"/>
              </w:rPr>
            </w:pPr>
            <w:r w:rsidRPr="00235E84">
              <w:rPr>
                <w:rFonts w:ascii="Calibri" w:hAnsi="Calibri" w:cs="Calibri"/>
                <w:color w:val="002B45"/>
              </w:rPr>
              <w:t>Current tax</w:t>
            </w:r>
          </w:p>
        </w:tc>
        <w:tc>
          <w:tcPr>
            <w:tcW w:w="1265" w:type="dxa"/>
            <w:tcBorders>
              <w:top w:val="single" w:sz="12" w:space="0" w:color="999999"/>
            </w:tcBorders>
            <w:shd w:val="clear" w:color="auto" w:fill="E6E6E6"/>
            <w:vAlign w:val="center"/>
          </w:tcPr>
          <w:p w:rsidR="00871692" w:rsidRPr="00C44CA2" w:rsidRDefault="00871692" w:rsidP="00533602">
            <w:pPr>
              <w:pStyle w:val="TableFiguresBold"/>
            </w:pPr>
          </w:p>
        </w:tc>
        <w:tc>
          <w:tcPr>
            <w:tcW w:w="1145" w:type="dxa"/>
            <w:tcBorders>
              <w:top w:val="single" w:sz="12" w:space="0" w:color="999999"/>
            </w:tcBorders>
            <w:vAlign w:val="center"/>
          </w:tcPr>
          <w:p w:rsidR="00871692" w:rsidRPr="00C44CA2" w:rsidRDefault="00871692" w:rsidP="00533602">
            <w:pPr>
              <w:pStyle w:val="TableFigures"/>
            </w:pPr>
          </w:p>
        </w:tc>
      </w:tr>
      <w:tr w:rsidR="00871692" w:rsidRPr="00C44CA2" w:rsidTr="00533602">
        <w:trPr>
          <w:trHeight w:val="283"/>
        </w:trPr>
        <w:tc>
          <w:tcPr>
            <w:tcW w:w="7088" w:type="dxa"/>
            <w:vAlign w:val="center"/>
          </w:tcPr>
          <w:p w:rsidR="00871692" w:rsidRPr="00235E84" w:rsidRDefault="00871692" w:rsidP="00533602">
            <w:pPr>
              <w:pStyle w:val="Tabletext0"/>
              <w:ind w:right="85"/>
              <w:rPr>
                <w:rFonts w:ascii="Calibri" w:hAnsi="Calibri" w:cs="Calibri"/>
                <w:color w:val="002B45"/>
              </w:rPr>
            </w:pPr>
            <w:r w:rsidRPr="00235E84">
              <w:rPr>
                <w:rFonts w:ascii="Calibri" w:hAnsi="Calibri" w:cs="Calibri"/>
                <w:color w:val="002B45"/>
              </w:rPr>
              <w:t>UK corporation tax</w:t>
            </w:r>
          </w:p>
        </w:tc>
        <w:tc>
          <w:tcPr>
            <w:tcW w:w="1265" w:type="dxa"/>
            <w:shd w:val="clear" w:color="auto" w:fill="E6E6E6"/>
            <w:vAlign w:val="center"/>
          </w:tcPr>
          <w:p w:rsidR="00871692" w:rsidRPr="007A18CB" w:rsidRDefault="00871692" w:rsidP="00533602">
            <w:pPr>
              <w:ind w:right="57"/>
              <w:jc w:val="right"/>
              <w:rPr>
                <w:rFonts w:ascii="Calibri" w:hAnsi="Calibri" w:cs="Calibri"/>
                <w:color w:val="002B45"/>
                <w:lang w:val="en-US"/>
              </w:rPr>
            </w:pPr>
            <w:r w:rsidRPr="007A18CB">
              <w:rPr>
                <w:rFonts w:ascii="Calibri" w:hAnsi="Calibri" w:cs="Calibri"/>
                <w:color w:val="002B45"/>
                <w:lang w:val="en-US"/>
              </w:rPr>
              <w:t xml:space="preserve"> 4.3 </w:t>
            </w:r>
          </w:p>
        </w:tc>
        <w:tc>
          <w:tcPr>
            <w:tcW w:w="1145" w:type="dxa"/>
            <w:vAlign w:val="center"/>
          </w:tcPr>
          <w:p w:rsidR="00871692" w:rsidRPr="007A18CB" w:rsidRDefault="00871692" w:rsidP="00533602">
            <w:pPr>
              <w:ind w:right="57"/>
              <w:jc w:val="right"/>
              <w:rPr>
                <w:rFonts w:ascii="Calibri" w:hAnsi="Calibri" w:cs="Calibri"/>
                <w:color w:val="002B45"/>
                <w:lang w:val="en-US"/>
              </w:rPr>
            </w:pPr>
            <w:r w:rsidRPr="007A18CB">
              <w:rPr>
                <w:rFonts w:ascii="Calibri" w:hAnsi="Calibri" w:cs="Calibri"/>
                <w:color w:val="002B45"/>
                <w:lang w:val="en-US"/>
              </w:rPr>
              <w:t xml:space="preserve"> 10.1 </w:t>
            </w:r>
          </w:p>
        </w:tc>
      </w:tr>
      <w:tr w:rsidR="00871692" w:rsidRPr="00C44CA2" w:rsidTr="00533602">
        <w:trPr>
          <w:trHeight w:val="283"/>
        </w:trPr>
        <w:tc>
          <w:tcPr>
            <w:tcW w:w="7088" w:type="dxa"/>
            <w:tcBorders>
              <w:bottom w:val="single" w:sz="4" w:space="0" w:color="999999"/>
            </w:tcBorders>
            <w:vAlign w:val="center"/>
          </w:tcPr>
          <w:p w:rsidR="00871692" w:rsidRPr="00235E84" w:rsidRDefault="00871692" w:rsidP="00533602">
            <w:pPr>
              <w:pStyle w:val="Tabletext0"/>
              <w:ind w:right="85"/>
              <w:rPr>
                <w:rFonts w:ascii="Calibri" w:hAnsi="Calibri" w:cs="Calibri"/>
                <w:color w:val="002B45"/>
              </w:rPr>
            </w:pPr>
            <w:r w:rsidRPr="00235E84">
              <w:rPr>
                <w:rFonts w:ascii="Calibri" w:hAnsi="Calibri" w:cs="Calibri"/>
                <w:color w:val="002B45"/>
              </w:rPr>
              <w:t>Foreign tax</w:t>
            </w:r>
          </w:p>
        </w:tc>
        <w:tc>
          <w:tcPr>
            <w:tcW w:w="1265" w:type="dxa"/>
            <w:tcBorders>
              <w:bottom w:val="single" w:sz="4" w:space="0" w:color="999999"/>
            </w:tcBorders>
            <w:shd w:val="clear" w:color="auto" w:fill="E6E6E6"/>
            <w:vAlign w:val="center"/>
          </w:tcPr>
          <w:p w:rsidR="00871692" w:rsidRPr="007A18CB" w:rsidRDefault="00871692" w:rsidP="00533602">
            <w:pPr>
              <w:ind w:right="57"/>
              <w:jc w:val="right"/>
              <w:rPr>
                <w:rFonts w:ascii="Calibri" w:hAnsi="Calibri" w:cs="Calibri"/>
                <w:color w:val="002B45"/>
                <w:lang w:val="en-US"/>
              </w:rPr>
            </w:pPr>
            <w:r w:rsidRPr="007A18CB">
              <w:rPr>
                <w:rFonts w:ascii="Calibri" w:hAnsi="Calibri" w:cs="Calibri"/>
                <w:color w:val="002B45"/>
                <w:lang w:val="en-US"/>
              </w:rPr>
              <w:t>(9.8)</w:t>
            </w:r>
          </w:p>
        </w:tc>
        <w:tc>
          <w:tcPr>
            <w:tcW w:w="1145" w:type="dxa"/>
            <w:tcBorders>
              <w:bottom w:val="single" w:sz="4" w:space="0" w:color="999999"/>
            </w:tcBorders>
            <w:vAlign w:val="center"/>
          </w:tcPr>
          <w:p w:rsidR="00871692" w:rsidRPr="007A18CB" w:rsidRDefault="00871692" w:rsidP="00533602">
            <w:pPr>
              <w:ind w:right="57"/>
              <w:jc w:val="right"/>
              <w:rPr>
                <w:rFonts w:ascii="Calibri" w:hAnsi="Calibri" w:cs="Calibri"/>
                <w:color w:val="002B45"/>
                <w:lang w:val="en-US"/>
              </w:rPr>
            </w:pPr>
            <w:r w:rsidRPr="007A18CB">
              <w:rPr>
                <w:rFonts w:ascii="Calibri" w:hAnsi="Calibri" w:cs="Calibri"/>
                <w:color w:val="002B45"/>
                <w:lang w:val="en-US"/>
              </w:rPr>
              <w:t xml:space="preserve"> 360.2 </w:t>
            </w:r>
          </w:p>
        </w:tc>
      </w:tr>
      <w:tr w:rsidR="00871692" w:rsidTr="00533602">
        <w:trPr>
          <w:trHeight w:val="283"/>
        </w:trPr>
        <w:tc>
          <w:tcPr>
            <w:tcW w:w="7088" w:type="dxa"/>
            <w:tcBorders>
              <w:top w:val="single" w:sz="4" w:space="0" w:color="999999"/>
            </w:tcBorders>
            <w:vAlign w:val="center"/>
          </w:tcPr>
          <w:p w:rsidR="00871692" w:rsidRPr="00235E84" w:rsidRDefault="00871692" w:rsidP="00533602">
            <w:pPr>
              <w:pStyle w:val="Tabletext0"/>
              <w:ind w:right="85"/>
              <w:rPr>
                <w:rFonts w:ascii="Calibri" w:hAnsi="Calibri" w:cs="Calibri"/>
                <w:color w:val="002B45"/>
              </w:rPr>
            </w:pPr>
            <w:r w:rsidRPr="00235E84">
              <w:rPr>
                <w:rFonts w:ascii="Calibri" w:hAnsi="Calibri" w:cs="Calibri"/>
                <w:color w:val="002B45"/>
              </w:rPr>
              <w:t>Total corporate tax</w:t>
            </w:r>
          </w:p>
        </w:tc>
        <w:tc>
          <w:tcPr>
            <w:tcW w:w="1265" w:type="dxa"/>
            <w:tcBorders>
              <w:top w:val="single" w:sz="4" w:space="0" w:color="999999"/>
            </w:tcBorders>
            <w:shd w:val="clear" w:color="auto" w:fill="E6E6E6"/>
            <w:vAlign w:val="center"/>
          </w:tcPr>
          <w:p w:rsidR="00871692" w:rsidRPr="007A18CB" w:rsidRDefault="00871692" w:rsidP="00533602">
            <w:pPr>
              <w:ind w:right="57"/>
              <w:jc w:val="right"/>
              <w:rPr>
                <w:rFonts w:ascii="Calibri" w:hAnsi="Calibri" w:cs="Calibri"/>
                <w:color w:val="002B45"/>
                <w:lang w:val="en-US"/>
              </w:rPr>
            </w:pPr>
            <w:r w:rsidRPr="007A18CB">
              <w:rPr>
                <w:rFonts w:ascii="Calibri" w:hAnsi="Calibri" w:cs="Calibri"/>
                <w:color w:val="002B45"/>
                <w:lang w:val="en-US"/>
              </w:rPr>
              <w:t>(5.5)</w:t>
            </w:r>
          </w:p>
        </w:tc>
        <w:tc>
          <w:tcPr>
            <w:tcW w:w="1145" w:type="dxa"/>
            <w:tcBorders>
              <w:top w:val="single" w:sz="4" w:space="0" w:color="999999"/>
            </w:tcBorders>
            <w:vAlign w:val="center"/>
          </w:tcPr>
          <w:p w:rsidR="00871692" w:rsidRPr="007A18CB" w:rsidRDefault="00871692" w:rsidP="00533602">
            <w:pPr>
              <w:ind w:right="57"/>
              <w:jc w:val="right"/>
              <w:rPr>
                <w:rFonts w:ascii="Calibri" w:hAnsi="Calibri" w:cs="Calibri"/>
                <w:color w:val="002B45"/>
                <w:lang w:val="en-US"/>
              </w:rPr>
            </w:pPr>
            <w:r w:rsidRPr="007A18CB">
              <w:rPr>
                <w:rFonts w:ascii="Calibri" w:hAnsi="Calibri" w:cs="Calibri"/>
                <w:color w:val="002B45"/>
                <w:lang w:val="en-US"/>
              </w:rPr>
              <w:t xml:space="preserve"> 370.3 </w:t>
            </w:r>
          </w:p>
        </w:tc>
      </w:tr>
      <w:tr w:rsidR="00871692" w:rsidRPr="00C44CA2" w:rsidTr="00533602">
        <w:trPr>
          <w:trHeight w:val="283"/>
        </w:trPr>
        <w:tc>
          <w:tcPr>
            <w:tcW w:w="7088" w:type="dxa"/>
            <w:tcBorders>
              <w:bottom w:val="single" w:sz="4" w:space="0" w:color="999999"/>
            </w:tcBorders>
            <w:vAlign w:val="center"/>
          </w:tcPr>
          <w:p w:rsidR="00871692" w:rsidRPr="00235E84" w:rsidRDefault="00871692" w:rsidP="00533602">
            <w:pPr>
              <w:pStyle w:val="Tabletext0"/>
              <w:ind w:right="85"/>
              <w:rPr>
                <w:rFonts w:ascii="Calibri" w:hAnsi="Calibri" w:cs="Calibri"/>
                <w:color w:val="002B45"/>
              </w:rPr>
            </w:pPr>
            <w:r w:rsidRPr="00235E84">
              <w:rPr>
                <w:rFonts w:ascii="Calibri" w:hAnsi="Calibri" w:cs="Calibri"/>
                <w:color w:val="002B45"/>
              </w:rPr>
              <w:t xml:space="preserve">UK petroleum revenue tax </w:t>
            </w:r>
          </w:p>
        </w:tc>
        <w:tc>
          <w:tcPr>
            <w:tcW w:w="1265" w:type="dxa"/>
            <w:tcBorders>
              <w:bottom w:val="single" w:sz="4" w:space="0" w:color="999999"/>
            </w:tcBorders>
            <w:shd w:val="clear" w:color="auto" w:fill="E6E6E6"/>
            <w:vAlign w:val="center"/>
          </w:tcPr>
          <w:p w:rsidR="00871692" w:rsidRPr="007A18CB" w:rsidRDefault="00871692" w:rsidP="00533602">
            <w:pPr>
              <w:ind w:right="57"/>
              <w:jc w:val="right"/>
              <w:rPr>
                <w:rFonts w:ascii="Calibri" w:hAnsi="Calibri" w:cs="Calibri"/>
                <w:color w:val="002B45"/>
                <w:lang w:val="en-US"/>
              </w:rPr>
            </w:pPr>
            <w:r w:rsidRPr="007A18CB">
              <w:rPr>
                <w:rFonts w:ascii="Calibri" w:hAnsi="Calibri" w:cs="Calibri"/>
                <w:color w:val="002B45"/>
                <w:lang w:val="en-US"/>
              </w:rPr>
              <w:t xml:space="preserve"> 11.1 </w:t>
            </w:r>
          </w:p>
        </w:tc>
        <w:tc>
          <w:tcPr>
            <w:tcW w:w="1145" w:type="dxa"/>
            <w:tcBorders>
              <w:bottom w:val="single" w:sz="4" w:space="0" w:color="999999"/>
            </w:tcBorders>
            <w:vAlign w:val="center"/>
          </w:tcPr>
          <w:p w:rsidR="00871692" w:rsidRPr="007A18CB" w:rsidRDefault="00871692" w:rsidP="00533602">
            <w:pPr>
              <w:ind w:right="57"/>
              <w:jc w:val="right"/>
              <w:rPr>
                <w:rFonts w:ascii="Calibri" w:hAnsi="Calibri" w:cs="Calibri"/>
                <w:color w:val="002B45"/>
                <w:lang w:val="en-US"/>
              </w:rPr>
            </w:pPr>
            <w:r w:rsidRPr="007A18CB">
              <w:rPr>
                <w:rFonts w:ascii="Calibri" w:hAnsi="Calibri" w:cs="Calibri"/>
                <w:color w:val="002B45"/>
                <w:lang w:val="en-US"/>
              </w:rPr>
              <w:t xml:space="preserve"> 10.8 </w:t>
            </w:r>
          </w:p>
        </w:tc>
      </w:tr>
      <w:tr w:rsidR="00871692" w:rsidTr="00533602">
        <w:trPr>
          <w:trHeight w:val="283"/>
        </w:trPr>
        <w:tc>
          <w:tcPr>
            <w:tcW w:w="7088" w:type="dxa"/>
            <w:tcBorders>
              <w:top w:val="single" w:sz="4" w:space="0" w:color="999999"/>
              <w:bottom w:val="single" w:sz="4" w:space="0" w:color="999999"/>
            </w:tcBorders>
            <w:vAlign w:val="center"/>
          </w:tcPr>
          <w:p w:rsidR="00871692" w:rsidRPr="00235E84" w:rsidRDefault="00871692" w:rsidP="00533602">
            <w:pPr>
              <w:pStyle w:val="Tabletext0"/>
              <w:ind w:right="85"/>
              <w:rPr>
                <w:rFonts w:ascii="Calibri" w:hAnsi="Calibri" w:cs="Calibri"/>
                <w:color w:val="002B45"/>
              </w:rPr>
            </w:pPr>
            <w:r w:rsidRPr="00235E84">
              <w:rPr>
                <w:rFonts w:ascii="Calibri" w:hAnsi="Calibri" w:cs="Calibri"/>
                <w:color w:val="002B45"/>
              </w:rPr>
              <w:t>Total current tax</w:t>
            </w:r>
          </w:p>
        </w:tc>
        <w:tc>
          <w:tcPr>
            <w:tcW w:w="1265" w:type="dxa"/>
            <w:tcBorders>
              <w:top w:val="single" w:sz="4" w:space="0" w:color="999999"/>
              <w:bottom w:val="single" w:sz="4" w:space="0" w:color="999999"/>
            </w:tcBorders>
            <w:shd w:val="clear" w:color="auto" w:fill="E6E6E6"/>
            <w:vAlign w:val="center"/>
          </w:tcPr>
          <w:p w:rsidR="00871692" w:rsidRPr="007A18CB" w:rsidRDefault="00871692" w:rsidP="00533602">
            <w:pPr>
              <w:ind w:right="57"/>
              <w:jc w:val="right"/>
              <w:rPr>
                <w:rFonts w:ascii="Calibri" w:hAnsi="Calibri" w:cs="Calibri"/>
                <w:color w:val="002B45"/>
                <w:lang w:val="en-US"/>
              </w:rPr>
            </w:pPr>
            <w:r w:rsidRPr="007A18CB">
              <w:rPr>
                <w:rFonts w:ascii="Calibri" w:hAnsi="Calibri" w:cs="Calibri"/>
                <w:color w:val="002B45"/>
                <w:lang w:val="en-US"/>
              </w:rPr>
              <w:t xml:space="preserve"> 5.6 </w:t>
            </w:r>
          </w:p>
        </w:tc>
        <w:tc>
          <w:tcPr>
            <w:tcW w:w="1145" w:type="dxa"/>
            <w:tcBorders>
              <w:top w:val="single" w:sz="4" w:space="0" w:color="999999"/>
              <w:bottom w:val="single" w:sz="4" w:space="0" w:color="999999"/>
            </w:tcBorders>
            <w:vAlign w:val="center"/>
          </w:tcPr>
          <w:p w:rsidR="00871692" w:rsidRPr="007A18CB" w:rsidRDefault="00871692" w:rsidP="00533602">
            <w:pPr>
              <w:ind w:right="57"/>
              <w:jc w:val="right"/>
              <w:rPr>
                <w:rFonts w:ascii="Calibri" w:hAnsi="Calibri" w:cs="Calibri"/>
                <w:color w:val="002B45"/>
                <w:lang w:val="en-US"/>
              </w:rPr>
            </w:pPr>
            <w:r w:rsidRPr="007A18CB">
              <w:rPr>
                <w:rFonts w:ascii="Calibri" w:hAnsi="Calibri" w:cs="Calibri"/>
                <w:color w:val="002B45"/>
                <w:lang w:val="en-US"/>
              </w:rPr>
              <w:t xml:space="preserve"> 381.1 </w:t>
            </w:r>
          </w:p>
        </w:tc>
      </w:tr>
      <w:tr w:rsidR="00871692" w:rsidRPr="00C44CA2" w:rsidTr="00533602">
        <w:trPr>
          <w:trHeight w:val="283"/>
        </w:trPr>
        <w:tc>
          <w:tcPr>
            <w:tcW w:w="7088" w:type="dxa"/>
            <w:tcBorders>
              <w:top w:val="single" w:sz="4" w:space="0" w:color="999999"/>
            </w:tcBorders>
            <w:vAlign w:val="center"/>
          </w:tcPr>
          <w:p w:rsidR="00871692" w:rsidRPr="00235E84" w:rsidRDefault="00871692" w:rsidP="00533602">
            <w:pPr>
              <w:pStyle w:val="Tabletext0"/>
              <w:ind w:right="85"/>
              <w:rPr>
                <w:rFonts w:ascii="Calibri" w:hAnsi="Calibri" w:cs="Calibri"/>
                <w:color w:val="002B45"/>
              </w:rPr>
            </w:pPr>
            <w:r w:rsidRPr="00235E84">
              <w:rPr>
                <w:rFonts w:ascii="Calibri" w:hAnsi="Calibri" w:cs="Calibri"/>
                <w:color w:val="002B45"/>
              </w:rPr>
              <w:t>Deferred tax</w:t>
            </w:r>
          </w:p>
        </w:tc>
        <w:tc>
          <w:tcPr>
            <w:tcW w:w="1265" w:type="dxa"/>
            <w:tcBorders>
              <w:top w:val="single" w:sz="4" w:space="0" w:color="999999"/>
            </w:tcBorders>
            <w:shd w:val="clear" w:color="auto" w:fill="E6E6E6"/>
            <w:vAlign w:val="center"/>
          </w:tcPr>
          <w:p w:rsidR="00871692" w:rsidRPr="007A18CB" w:rsidRDefault="00871692" w:rsidP="00533602">
            <w:pPr>
              <w:ind w:right="57"/>
              <w:jc w:val="right"/>
              <w:rPr>
                <w:rFonts w:ascii="Calibri" w:hAnsi="Calibri" w:cs="Calibri"/>
                <w:color w:val="002B45"/>
                <w:lang w:val="en-US"/>
              </w:rPr>
            </w:pPr>
          </w:p>
        </w:tc>
        <w:tc>
          <w:tcPr>
            <w:tcW w:w="1145" w:type="dxa"/>
            <w:tcBorders>
              <w:top w:val="single" w:sz="4" w:space="0" w:color="999999"/>
            </w:tcBorders>
            <w:vAlign w:val="center"/>
          </w:tcPr>
          <w:p w:rsidR="00871692" w:rsidRPr="007A18CB" w:rsidRDefault="00871692" w:rsidP="00533602">
            <w:pPr>
              <w:ind w:right="57"/>
              <w:jc w:val="right"/>
              <w:rPr>
                <w:rFonts w:ascii="Calibri" w:hAnsi="Calibri" w:cs="Calibri"/>
                <w:color w:val="002B45"/>
                <w:lang w:val="en-US"/>
              </w:rPr>
            </w:pPr>
          </w:p>
        </w:tc>
      </w:tr>
      <w:tr w:rsidR="00871692" w:rsidRPr="00C44CA2" w:rsidTr="00533602">
        <w:trPr>
          <w:trHeight w:val="283"/>
        </w:trPr>
        <w:tc>
          <w:tcPr>
            <w:tcW w:w="7088" w:type="dxa"/>
            <w:vAlign w:val="center"/>
          </w:tcPr>
          <w:p w:rsidR="00871692" w:rsidRPr="00235E84" w:rsidRDefault="00871692" w:rsidP="00533602">
            <w:pPr>
              <w:pStyle w:val="Tabletext0"/>
              <w:ind w:right="85"/>
              <w:rPr>
                <w:rFonts w:ascii="Calibri" w:hAnsi="Calibri" w:cs="Calibri"/>
                <w:color w:val="002B45"/>
              </w:rPr>
            </w:pPr>
            <w:r w:rsidRPr="00235E84">
              <w:rPr>
                <w:rFonts w:ascii="Calibri" w:hAnsi="Calibri" w:cs="Calibri"/>
                <w:color w:val="002B45"/>
              </w:rPr>
              <w:t>UK corporation tax</w:t>
            </w:r>
          </w:p>
        </w:tc>
        <w:tc>
          <w:tcPr>
            <w:tcW w:w="1265" w:type="dxa"/>
            <w:shd w:val="clear" w:color="auto" w:fill="E6E6E6"/>
            <w:vAlign w:val="center"/>
          </w:tcPr>
          <w:p w:rsidR="00871692" w:rsidRPr="007A18CB" w:rsidRDefault="00871692" w:rsidP="00533602">
            <w:pPr>
              <w:ind w:right="57"/>
              <w:jc w:val="right"/>
              <w:rPr>
                <w:rFonts w:ascii="Calibri" w:hAnsi="Calibri" w:cs="Calibri"/>
                <w:color w:val="002B45"/>
                <w:lang w:val="en-US"/>
              </w:rPr>
            </w:pPr>
            <w:r w:rsidRPr="007A18CB">
              <w:rPr>
                <w:rFonts w:ascii="Calibri" w:hAnsi="Calibri" w:cs="Calibri"/>
                <w:color w:val="002B45"/>
                <w:lang w:val="en-US"/>
              </w:rPr>
              <w:t>(35.5)</w:t>
            </w:r>
          </w:p>
        </w:tc>
        <w:tc>
          <w:tcPr>
            <w:tcW w:w="1145" w:type="dxa"/>
            <w:vAlign w:val="center"/>
          </w:tcPr>
          <w:p w:rsidR="00871692" w:rsidRPr="007A18CB" w:rsidRDefault="00871692" w:rsidP="00533602">
            <w:pPr>
              <w:ind w:right="57"/>
              <w:jc w:val="right"/>
              <w:rPr>
                <w:rFonts w:ascii="Calibri" w:hAnsi="Calibri" w:cs="Calibri"/>
                <w:color w:val="002B45"/>
                <w:lang w:val="en-US"/>
              </w:rPr>
            </w:pPr>
            <w:r w:rsidRPr="007A18CB">
              <w:rPr>
                <w:rFonts w:ascii="Calibri" w:hAnsi="Calibri" w:cs="Calibri"/>
                <w:color w:val="002B45"/>
                <w:lang w:val="en-US"/>
              </w:rPr>
              <w:t xml:space="preserve"> 17.3 </w:t>
            </w:r>
          </w:p>
        </w:tc>
      </w:tr>
      <w:tr w:rsidR="00871692" w:rsidRPr="00C44CA2" w:rsidTr="00533602">
        <w:trPr>
          <w:trHeight w:val="283"/>
        </w:trPr>
        <w:tc>
          <w:tcPr>
            <w:tcW w:w="7088" w:type="dxa"/>
            <w:tcBorders>
              <w:bottom w:val="single" w:sz="4" w:space="0" w:color="999999"/>
            </w:tcBorders>
            <w:vAlign w:val="center"/>
          </w:tcPr>
          <w:p w:rsidR="00871692" w:rsidRPr="00235E84" w:rsidRDefault="00871692" w:rsidP="00533602">
            <w:pPr>
              <w:pStyle w:val="Tabletext0"/>
              <w:ind w:right="85"/>
              <w:rPr>
                <w:rFonts w:ascii="Calibri" w:hAnsi="Calibri" w:cs="Calibri"/>
                <w:color w:val="002B45"/>
              </w:rPr>
            </w:pPr>
            <w:r w:rsidRPr="00235E84">
              <w:rPr>
                <w:rFonts w:ascii="Calibri" w:hAnsi="Calibri" w:cs="Calibri"/>
                <w:color w:val="002B45"/>
              </w:rPr>
              <w:t>Foreign tax</w:t>
            </w:r>
          </w:p>
        </w:tc>
        <w:tc>
          <w:tcPr>
            <w:tcW w:w="1265" w:type="dxa"/>
            <w:tcBorders>
              <w:bottom w:val="single" w:sz="4" w:space="0" w:color="999999"/>
            </w:tcBorders>
            <w:shd w:val="clear" w:color="auto" w:fill="E6E6E6"/>
            <w:vAlign w:val="center"/>
          </w:tcPr>
          <w:p w:rsidR="00871692" w:rsidRPr="007A18CB" w:rsidRDefault="00871692" w:rsidP="00533602">
            <w:pPr>
              <w:ind w:right="57"/>
              <w:jc w:val="right"/>
              <w:rPr>
                <w:rFonts w:ascii="Calibri" w:hAnsi="Calibri" w:cs="Calibri"/>
                <w:color w:val="002B45"/>
                <w:lang w:val="en-US"/>
              </w:rPr>
            </w:pPr>
            <w:r w:rsidRPr="007A18CB">
              <w:rPr>
                <w:rFonts w:ascii="Calibri" w:hAnsi="Calibri" w:cs="Calibri"/>
                <w:color w:val="002B45"/>
                <w:lang w:val="en-US"/>
              </w:rPr>
              <w:t xml:space="preserve"> 130.8 </w:t>
            </w:r>
          </w:p>
        </w:tc>
        <w:tc>
          <w:tcPr>
            <w:tcW w:w="1145" w:type="dxa"/>
            <w:tcBorders>
              <w:bottom w:val="single" w:sz="4" w:space="0" w:color="999999"/>
            </w:tcBorders>
            <w:vAlign w:val="center"/>
          </w:tcPr>
          <w:p w:rsidR="00871692" w:rsidRPr="007A18CB" w:rsidRDefault="00871692" w:rsidP="00533602">
            <w:pPr>
              <w:ind w:right="57"/>
              <w:jc w:val="right"/>
              <w:rPr>
                <w:rFonts w:ascii="Calibri" w:hAnsi="Calibri" w:cs="Calibri"/>
                <w:color w:val="002B45"/>
                <w:lang w:val="en-US"/>
              </w:rPr>
            </w:pPr>
            <w:r w:rsidRPr="007A18CB">
              <w:rPr>
                <w:rFonts w:ascii="Calibri" w:hAnsi="Calibri" w:cs="Calibri"/>
                <w:color w:val="002B45"/>
                <w:lang w:val="en-US"/>
              </w:rPr>
              <w:t xml:space="preserve"> 53.6 </w:t>
            </w:r>
          </w:p>
        </w:tc>
      </w:tr>
      <w:tr w:rsidR="00871692" w:rsidTr="00533602">
        <w:trPr>
          <w:trHeight w:val="283"/>
        </w:trPr>
        <w:tc>
          <w:tcPr>
            <w:tcW w:w="7088" w:type="dxa"/>
            <w:tcBorders>
              <w:top w:val="single" w:sz="4" w:space="0" w:color="999999"/>
            </w:tcBorders>
            <w:vAlign w:val="center"/>
          </w:tcPr>
          <w:p w:rsidR="00871692" w:rsidRPr="00235E84" w:rsidRDefault="00871692" w:rsidP="00533602">
            <w:pPr>
              <w:pStyle w:val="Tabletext0"/>
              <w:ind w:right="85"/>
              <w:rPr>
                <w:rFonts w:ascii="Calibri" w:hAnsi="Calibri" w:cs="Calibri"/>
                <w:color w:val="002B45"/>
              </w:rPr>
            </w:pPr>
            <w:r w:rsidRPr="00235E84">
              <w:rPr>
                <w:rFonts w:ascii="Calibri" w:hAnsi="Calibri" w:cs="Calibri"/>
                <w:color w:val="002B45"/>
              </w:rPr>
              <w:t>Total deferred corporate tax</w:t>
            </w:r>
          </w:p>
        </w:tc>
        <w:tc>
          <w:tcPr>
            <w:tcW w:w="1265" w:type="dxa"/>
            <w:tcBorders>
              <w:top w:val="single" w:sz="4" w:space="0" w:color="999999"/>
            </w:tcBorders>
            <w:shd w:val="clear" w:color="auto" w:fill="E6E6E6"/>
            <w:vAlign w:val="center"/>
          </w:tcPr>
          <w:p w:rsidR="00871692" w:rsidRPr="007A18CB" w:rsidRDefault="00871692" w:rsidP="00533602">
            <w:pPr>
              <w:ind w:right="57"/>
              <w:jc w:val="right"/>
              <w:rPr>
                <w:rFonts w:ascii="Calibri" w:hAnsi="Calibri" w:cs="Calibri"/>
                <w:color w:val="002B45"/>
                <w:lang w:val="en-US"/>
              </w:rPr>
            </w:pPr>
            <w:r w:rsidRPr="007A18CB">
              <w:rPr>
                <w:rFonts w:ascii="Calibri" w:hAnsi="Calibri" w:cs="Calibri"/>
                <w:color w:val="002B45"/>
                <w:lang w:val="en-US"/>
              </w:rPr>
              <w:t xml:space="preserve"> 95.3 </w:t>
            </w:r>
          </w:p>
        </w:tc>
        <w:tc>
          <w:tcPr>
            <w:tcW w:w="1145" w:type="dxa"/>
            <w:tcBorders>
              <w:top w:val="single" w:sz="4" w:space="0" w:color="999999"/>
            </w:tcBorders>
            <w:vAlign w:val="center"/>
          </w:tcPr>
          <w:p w:rsidR="00871692" w:rsidRPr="007A18CB" w:rsidRDefault="00871692" w:rsidP="00533602">
            <w:pPr>
              <w:ind w:right="57"/>
              <w:jc w:val="right"/>
              <w:rPr>
                <w:rFonts w:ascii="Calibri" w:hAnsi="Calibri" w:cs="Calibri"/>
                <w:color w:val="002B45"/>
                <w:lang w:val="en-US"/>
              </w:rPr>
            </w:pPr>
            <w:r w:rsidRPr="007A18CB">
              <w:rPr>
                <w:rFonts w:ascii="Calibri" w:hAnsi="Calibri" w:cs="Calibri"/>
                <w:color w:val="002B45"/>
                <w:lang w:val="en-US"/>
              </w:rPr>
              <w:t xml:space="preserve"> 70.9 </w:t>
            </w:r>
          </w:p>
        </w:tc>
      </w:tr>
      <w:tr w:rsidR="00871692" w:rsidRPr="00C44CA2" w:rsidTr="00533602">
        <w:trPr>
          <w:trHeight w:val="283"/>
        </w:trPr>
        <w:tc>
          <w:tcPr>
            <w:tcW w:w="7088" w:type="dxa"/>
            <w:tcBorders>
              <w:bottom w:val="single" w:sz="4" w:space="0" w:color="999999"/>
            </w:tcBorders>
            <w:vAlign w:val="center"/>
          </w:tcPr>
          <w:p w:rsidR="00871692" w:rsidRPr="00235E84" w:rsidRDefault="00871692" w:rsidP="00533602">
            <w:pPr>
              <w:pStyle w:val="Tabletext0"/>
              <w:ind w:right="85"/>
              <w:rPr>
                <w:rFonts w:ascii="Calibri" w:hAnsi="Calibri" w:cs="Calibri"/>
                <w:color w:val="002B45"/>
              </w:rPr>
            </w:pPr>
            <w:r w:rsidRPr="00235E84">
              <w:rPr>
                <w:rFonts w:ascii="Calibri" w:hAnsi="Calibri" w:cs="Calibri"/>
                <w:color w:val="002B45"/>
              </w:rPr>
              <w:t>Deferred UK petroleum revenue tax</w:t>
            </w:r>
          </w:p>
        </w:tc>
        <w:tc>
          <w:tcPr>
            <w:tcW w:w="1265" w:type="dxa"/>
            <w:tcBorders>
              <w:bottom w:val="single" w:sz="4" w:space="0" w:color="999999"/>
            </w:tcBorders>
            <w:shd w:val="clear" w:color="auto" w:fill="E6E6E6"/>
            <w:vAlign w:val="center"/>
          </w:tcPr>
          <w:p w:rsidR="00871692" w:rsidRPr="007A18CB" w:rsidRDefault="00871692" w:rsidP="00533602">
            <w:pPr>
              <w:ind w:right="57"/>
              <w:jc w:val="right"/>
              <w:rPr>
                <w:rFonts w:ascii="Calibri" w:hAnsi="Calibri" w:cs="Calibri"/>
                <w:color w:val="002B45"/>
                <w:lang w:val="en-US"/>
              </w:rPr>
            </w:pPr>
            <w:r w:rsidRPr="007A18CB">
              <w:rPr>
                <w:rFonts w:ascii="Calibri" w:hAnsi="Calibri" w:cs="Calibri"/>
                <w:color w:val="002B45"/>
                <w:lang w:val="en-US"/>
              </w:rPr>
              <w:t>(3.8)</w:t>
            </w:r>
          </w:p>
        </w:tc>
        <w:tc>
          <w:tcPr>
            <w:tcW w:w="1145" w:type="dxa"/>
            <w:tcBorders>
              <w:bottom w:val="single" w:sz="4" w:space="0" w:color="999999"/>
            </w:tcBorders>
            <w:vAlign w:val="center"/>
          </w:tcPr>
          <w:p w:rsidR="00871692" w:rsidRPr="007A18CB" w:rsidRDefault="00871692" w:rsidP="00533602">
            <w:pPr>
              <w:ind w:right="57"/>
              <w:jc w:val="right"/>
              <w:rPr>
                <w:rFonts w:ascii="Calibri" w:hAnsi="Calibri" w:cs="Calibri"/>
                <w:color w:val="002B45"/>
                <w:lang w:val="en-US"/>
              </w:rPr>
            </w:pPr>
            <w:r w:rsidRPr="007A18CB">
              <w:rPr>
                <w:rFonts w:ascii="Calibri" w:hAnsi="Calibri" w:cs="Calibri"/>
                <w:color w:val="002B45"/>
                <w:lang w:val="en-US"/>
              </w:rPr>
              <w:t>(2.3)</w:t>
            </w:r>
          </w:p>
        </w:tc>
      </w:tr>
      <w:tr w:rsidR="00871692" w:rsidTr="00533602">
        <w:trPr>
          <w:trHeight w:val="283"/>
        </w:trPr>
        <w:tc>
          <w:tcPr>
            <w:tcW w:w="7088" w:type="dxa"/>
            <w:tcBorders>
              <w:top w:val="single" w:sz="4" w:space="0" w:color="999999"/>
              <w:bottom w:val="single" w:sz="4" w:space="0" w:color="999999"/>
            </w:tcBorders>
            <w:vAlign w:val="center"/>
          </w:tcPr>
          <w:p w:rsidR="00871692" w:rsidRPr="00235E84" w:rsidRDefault="00871692" w:rsidP="00533602">
            <w:pPr>
              <w:pStyle w:val="Tabletext0"/>
              <w:ind w:right="85"/>
              <w:rPr>
                <w:rFonts w:ascii="Calibri" w:hAnsi="Calibri" w:cs="Calibri"/>
                <w:color w:val="002B45"/>
              </w:rPr>
            </w:pPr>
            <w:r w:rsidRPr="00235E84">
              <w:rPr>
                <w:rFonts w:ascii="Calibri" w:hAnsi="Calibri" w:cs="Calibri"/>
                <w:color w:val="002B45"/>
              </w:rPr>
              <w:t>Total deferred tax</w:t>
            </w:r>
          </w:p>
        </w:tc>
        <w:tc>
          <w:tcPr>
            <w:tcW w:w="1265" w:type="dxa"/>
            <w:tcBorders>
              <w:top w:val="single" w:sz="4" w:space="0" w:color="999999"/>
              <w:bottom w:val="single" w:sz="4" w:space="0" w:color="999999"/>
            </w:tcBorders>
            <w:shd w:val="clear" w:color="auto" w:fill="E6E6E6"/>
            <w:vAlign w:val="center"/>
          </w:tcPr>
          <w:p w:rsidR="00871692" w:rsidRPr="007A18CB" w:rsidRDefault="00871692" w:rsidP="00533602">
            <w:pPr>
              <w:ind w:right="57"/>
              <w:jc w:val="right"/>
              <w:rPr>
                <w:rFonts w:ascii="Calibri" w:hAnsi="Calibri" w:cs="Calibri"/>
                <w:color w:val="002B45"/>
                <w:lang w:val="en-US"/>
              </w:rPr>
            </w:pPr>
            <w:r w:rsidRPr="007A18CB">
              <w:rPr>
                <w:rFonts w:ascii="Calibri" w:hAnsi="Calibri" w:cs="Calibri"/>
                <w:color w:val="002B45"/>
                <w:lang w:val="en-US"/>
              </w:rPr>
              <w:t xml:space="preserve"> 91.5 </w:t>
            </w:r>
          </w:p>
        </w:tc>
        <w:tc>
          <w:tcPr>
            <w:tcW w:w="1145" w:type="dxa"/>
            <w:tcBorders>
              <w:top w:val="single" w:sz="4" w:space="0" w:color="999999"/>
              <w:bottom w:val="single" w:sz="4" w:space="0" w:color="999999"/>
            </w:tcBorders>
            <w:vAlign w:val="center"/>
          </w:tcPr>
          <w:p w:rsidR="00871692" w:rsidRPr="007A18CB" w:rsidRDefault="00871692" w:rsidP="00533602">
            <w:pPr>
              <w:ind w:right="57"/>
              <w:jc w:val="right"/>
              <w:rPr>
                <w:rFonts w:ascii="Calibri" w:hAnsi="Calibri" w:cs="Calibri"/>
                <w:color w:val="002B45"/>
                <w:lang w:val="en-US"/>
              </w:rPr>
            </w:pPr>
            <w:r w:rsidRPr="007A18CB">
              <w:rPr>
                <w:rFonts w:ascii="Calibri" w:hAnsi="Calibri" w:cs="Calibri"/>
                <w:color w:val="002B45"/>
                <w:lang w:val="en-US"/>
              </w:rPr>
              <w:t xml:space="preserve"> 68.6 </w:t>
            </w:r>
          </w:p>
        </w:tc>
      </w:tr>
      <w:tr w:rsidR="00871692" w:rsidTr="00533602">
        <w:trPr>
          <w:trHeight w:val="283"/>
        </w:trPr>
        <w:tc>
          <w:tcPr>
            <w:tcW w:w="7088" w:type="dxa"/>
            <w:tcBorders>
              <w:top w:val="single" w:sz="4" w:space="0" w:color="999999"/>
              <w:bottom w:val="single" w:sz="12" w:space="0" w:color="999999"/>
            </w:tcBorders>
            <w:vAlign w:val="center"/>
          </w:tcPr>
          <w:p w:rsidR="00871692" w:rsidRPr="00235E84" w:rsidRDefault="00871692" w:rsidP="00533602">
            <w:pPr>
              <w:pStyle w:val="Tabletext0"/>
              <w:ind w:right="85"/>
              <w:rPr>
                <w:rFonts w:ascii="Calibri" w:hAnsi="Calibri" w:cs="Calibri"/>
                <w:color w:val="002B45"/>
              </w:rPr>
            </w:pPr>
            <w:r w:rsidRPr="00235E84">
              <w:rPr>
                <w:rFonts w:ascii="Calibri" w:hAnsi="Calibri" w:cs="Calibri"/>
                <w:color w:val="002B45"/>
              </w:rPr>
              <w:t>Total tax expense</w:t>
            </w:r>
          </w:p>
        </w:tc>
        <w:tc>
          <w:tcPr>
            <w:tcW w:w="1265" w:type="dxa"/>
            <w:tcBorders>
              <w:top w:val="single" w:sz="4" w:space="0" w:color="999999"/>
              <w:bottom w:val="single" w:sz="12" w:space="0" w:color="999999"/>
            </w:tcBorders>
            <w:shd w:val="clear" w:color="auto" w:fill="E6E6E6"/>
            <w:vAlign w:val="center"/>
          </w:tcPr>
          <w:p w:rsidR="00871692" w:rsidRPr="007A18CB" w:rsidRDefault="00871692" w:rsidP="00533602">
            <w:pPr>
              <w:ind w:right="57"/>
              <w:jc w:val="right"/>
              <w:rPr>
                <w:rFonts w:ascii="Calibri" w:hAnsi="Calibri" w:cs="Calibri"/>
                <w:color w:val="002B45"/>
                <w:lang w:val="en-US"/>
              </w:rPr>
            </w:pPr>
            <w:r w:rsidRPr="007A18CB">
              <w:rPr>
                <w:rFonts w:ascii="Calibri" w:hAnsi="Calibri" w:cs="Calibri"/>
                <w:color w:val="002B45"/>
                <w:lang w:val="en-US"/>
              </w:rPr>
              <w:t xml:space="preserve"> 97.1 </w:t>
            </w:r>
          </w:p>
        </w:tc>
        <w:tc>
          <w:tcPr>
            <w:tcW w:w="1145" w:type="dxa"/>
            <w:tcBorders>
              <w:top w:val="single" w:sz="4" w:space="0" w:color="999999"/>
              <w:bottom w:val="single" w:sz="12" w:space="0" w:color="999999"/>
            </w:tcBorders>
            <w:vAlign w:val="center"/>
          </w:tcPr>
          <w:p w:rsidR="00871692" w:rsidRPr="007A18CB" w:rsidRDefault="00871692" w:rsidP="00533602">
            <w:pPr>
              <w:ind w:right="57"/>
              <w:jc w:val="right"/>
              <w:rPr>
                <w:rFonts w:ascii="Calibri" w:hAnsi="Calibri" w:cs="Calibri"/>
                <w:color w:val="002B45"/>
                <w:lang w:val="en-US"/>
              </w:rPr>
            </w:pPr>
            <w:r w:rsidRPr="007A18CB">
              <w:rPr>
                <w:rFonts w:ascii="Calibri" w:hAnsi="Calibri" w:cs="Calibri"/>
                <w:color w:val="002B45"/>
                <w:lang w:val="en-US"/>
              </w:rPr>
              <w:t xml:space="preserve"> 449.7 </w:t>
            </w:r>
          </w:p>
        </w:tc>
      </w:tr>
    </w:tbl>
    <w:p w:rsidR="00871692" w:rsidRPr="009318F0" w:rsidRDefault="00871692" w:rsidP="002228A3">
      <w:pPr>
        <w:numPr>
          <w:ilvl w:val="1"/>
          <w:numId w:val="6"/>
        </w:numPr>
        <w:tabs>
          <w:tab w:val="num" w:pos="380"/>
        </w:tabs>
        <w:spacing w:before="120" w:after="60"/>
        <w:ind w:left="0" w:firstLine="0"/>
        <w:rPr>
          <w:rFonts w:ascii="Calibri" w:hAnsi="Calibri" w:cs="Calibri"/>
          <w:bCs/>
          <w:color w:val="5F5F5F"/>
        </w:rPr>
      </w:pPr>
      <w:r w:rsidRPr="009318F0">
        <w:rPr>
          <w:rFonts w:ascii="Calibri" w:hAnsi="Calibri" w:cs="Calibri"/>
          <w:bCs/>
          <w:color w:val="5F5F5F"/>
        </w:rPr>
        <w:t>Factors affecting tax charge for period</w:t>
      </w:r>
    </w:p>
    <w:p w:rsidR="00871692" w:rsidRPr="00235E84" w:rsidRDefault="00871692" w:rsidP="002228A3">
      <w:pPr>
        <w:spacing w:after="60"/>
        <w:rPr>
          <w:rFonts w:ascii="Calibri" w:hAnsi="Calibri" w:cs="Calibri"/>
          <w:bCs/>
          <w:color w:val="5F5F5F"/>
        </w:rPr>
      </w:pPr>
      <w:r w:rsidRPr="00235E84">
        <w:rPr>
          <w:rFonts w:ascii="Calibri" w:hAnsi="Calibri" w:cs="Calibri"/>
          <w:bCs/>
          <w:color w:val="5F5F5F"/>
        </w:rPr>
        <w:t>The tax rate applied to profit on ordinary activities in preparing the reconciliation below is the UK corporation tax</w:t>
      </w:r>
      <w:r>
        <w:rPr>
          <w:rFonts w:ascii="Calibri" w:hAnsi="Calibri" w:cs="Calibri"/>
          <w:bCs/>
          <w:color w:val="5F5F5F"/>
        </w:rPr>
        <w:t xml:space="preserve"> rate</w:t>
      </w:r>
      <w:r w:rsidRPr="00235E84">
        <w:rPr>
          <w:rFonts w:ascii="Calibri" w:hAnsi="Calibri" w:cs="Calibri"/>
          <w:bCs/>
          <w:color w:val="5F5F5F"/>
        </w:rPr>
        <w:t xml:space="preserve"> applicable to the Group’s non upstream UK profits. </w:t>
      </w:r>
    </w:p>
    <w:p w:rsidR="00871692" w:rsidRDefault="00871692" w:rsidP="002228A3">
      <w:pPr>
        <w:spacing w:after="60"/>
        <w:rPr>
          <w:rFonts w:ascii="Calibri" w:hAnsi="Calibri" w:cs="Calibri"/>
          <w:bCs/>
          <w:color w:val="5F5F5F"/>
        </w:rPr>
      </w:pPr>
      <w:r w:rsidRPr="00235E84">
        <w:rPr>
          <w:rFonts w:ascii="Calibri" w:hAnsi="Calibri" w:cs="Calibri"/>
          <w:bCs/>
          <w:color w:val="5F5F5F"/>
        </w:rPr>
        <w:t>The difference between the total current tax charge shown above and the amount calculated by applying the standard rate of UK corporatio</w:t>
      </w:r>
      <w:r>
        <w:rPr>
          <w:rFonts w:ascii="Calibri" w:hAnsi="Calibri" w:cs="Calibri"/>
          <w:bCs/>
          <w:color w:val="5F5F5F"/>
        </w:rPr>
        <w:t>n tax applicable to UK profits 23% (2012</w:t>
      </w:r>
      <w:r w:rsidRPr="00235E84">
        <w:rPr>
          <w:rFonts w:ascii="Calibri" w:hAnsi="Calibri" w:cs="Calibri"/>
          <w:bCs/>
          <w:color w:val="5F5F5F"/>
        </w:rPr>
        <w:t>:</w:t>
      </w:r>
      <w:r>
        <w:rPr>
          <w:rFonts w:ascii="Calibri" w:hAnsi="Calibri" w:cs="Calibri"/>
          <w:bCs/>
          <w:color w:val="5F5F5F"/>
        </w:rPr>
        <w:t xml:space="preserve"> 24</w:t>
      </w:r>
      <w:r w:rsidRPr="00235E84">
        <w:rPr>
          <w:rFonts w:ascii="Calibri" w:hAnsi="Calibri" w:cs="Calibri"/>
          <w:bCs/>
          <w:color w:val="5F5F5F"/>
        </w:rPr>
        <w:t>%) to the profit before tax is as follows:</w:t>
      </w:r>
    </w:p>
    <w:tbl>
      <w:tblPr>
        <w:tblW w:w="0" w:type="auto"/>
        <w:tblCellMar>
          <w:left w:w="0" w:type="dxa"/>
          <w:right w:w="57" w:type="dxa"/>
        </w:tblCellMar>
        <w:tblLook w:val="00A0" w:firstRow="1" w:lastRow="0" w:firstColumn="1" w:lastColumn="0" w:noHBand="0" w:noVBand="0"/>
      </w:tblPr>
      <w:tblGrid>
        <w:gridCol w:w="7088"/>
        <w:gridCol w:w="379"/>
        <w:gridCol w:w="873"/>
        <w:gridCol w:w="1158"/>
      </w:tblGrid>
      <w:tr w:rsidR="00871692" w:rsidRPr="00E76D01" w:rsidTr="00533602">
        <w:tc>
          <w:tcPr>
            <w:tcW w:w="7467" w:type="dxa"/>
            <w:gridSpan w:val="2"/>
            <w:tcBorders>
              <w:bottom w:val="single" w:sz="12" w:space="0" w:color="999999"/>
            </w:tcBorders>
            <w:vAlign w:val="bottom"/>
          </w:tcPr>
          <w:p w:rsidR="00871692" w:rsidRPr="002228A3" w:rsidRDefault="00871692" w:rsidP="009B4FC7">
            <w:pPr>
              <w:pStyle w:val="Tabletext0"/>
              <w:rPr>
                <w:sz w:val="20"/>
                <w:szCs w:val="20"/>
              </w:rPr>
            </w:pPr>
          </w:p>
        </w:tc>
        <w:tc>
          <w:tcPr>
            <w:tcW w:w="873" w:type="dxa"/>
            <w:tcBorders>
              <w:bottom w:val="single" w:sz="12" w:space="0" w:color="999999"/>
            </w:tcBorders>
            <w:vAlign w:val="bottom"/>
          </w:tcPr>
          <w:p w:rsidR="00871692" w:rsidRPr="002228A3" w:rsidRDefault="00871692" w:rsidP="00533602">
            <w:pPr>
              <w:spacing w:line="180" w:lineRule="exact"/>
              <w:ind w:right="57"/>
              <w:jc w:val="right"/>
              <w:rPr>
                <w:rStyle w:val="Bold"/>
                <w:rFonts w:ascii="Calibri" w:hAnsi="Calibri" w:cs="Calibri"/>
                <w:b/>
                <w:color w:val="002B45"/>
                <w:sz w:val="20"/>
                <w:szCs w:val="20"/>
              </w:rPr>
            </w:pPr>
            <w:r w:rsidRPr="002228A3">
              <w:rPr>
                <w:rStyle w:val="Bold"/>
                <w:rFonts w:ascii="Calibri" w:hAnsi="Calibri" w:cs="Calibri"/>
                <w:b/>
                <w:color w:val="002B45"/>
                <w:sz w:val="20"/>
                <w:szCs w:val="20"/>
              </w:rPr>
              <w:t>201</w:t>
            </w:r>
            <w:r w:rsidR="00EB5D64" w:rsidRPr="002228A3">
              <w:rPr>
                <w:rStyle w:val="Bold"/>
                <w:rFonts w:ascii="Calibri" w:hAnsi="Calibri" w:cs="Calibri"/>
                <w:b/>
                <w:color w:val="002B45"/>
                <w:sz w:val="20"/>
                <w:szCs w:val="20"/>
              </w:rPr>
              <w:t>3</w:t>
            </w:r>
            <w:r w:rsidRPr="002228A3">
              <w:rPr>
                <w:rStyle w:val="Bold"/>
                <w:rFonts w:ascii="Calibri" w:hAnsi="Calibri" w:cs="Calibri"/>
                <w:b/>
                <w:color w:val="002B45"/>
                <w:sz w:val="20"/>
                <w:szCs w:val="20"/>
              </w:rPr>
              <w:br/>
              <w:t>$m</w:t>
            </w:r>
          </w:p>
        </w:tc>
        <w:tc>
          <w:tcPr>
            <w:tcW w:w="1158" w:type="dxa"/>
            <w:tcBorders>
              <w:bottom w:val="single" w:sz="12" w:space="0" w:color="999999"/>
            </w:tcBorders>
            <w:vAlign w:val="bottom"/>
          </w:tcPr>
          <w:p w:rsidR="00871692" w:rsidRPr="002228A3" w:rsidRDefault="00871692" w:rsidP="00533602">
            <w:pPr>
              <w:spacing w:line="180" w:lineRule="exact"/>
              <w:ind w:right="57"/>
              <w:jc w:val="right"/>
              <w:rPr>
                <w:rStyle w:val="Bold"/>
                <w:rFonts w:ascii="Calibri" w:hAnsi="Calibri" w:cs="Calibri"/>
                <w:b/>
                <w:color w:val="002B45"/>
                <w:sz w:val="20"/>
                <w:szCs w:val="20"/>
              </w:rPr>
            </w:pPr>
          </w:p>
          <w:p w:rsidR="00871692" w:rsidRPr="002228A3" w:rsidRDefault="00871692" w:rsidP="00533602">
            <w:pPr>
              <w:spacing w:line="180" w:lineRule="exact"/>
              <w:ind w:right="57"/>
              <w:jc w:val="right"/>
              <w:rPr>
                <w:rStyle w:val="Bold"/>
                <w:rFonts w:ascii="Calibri" w:hAnsi="Calibri" w:cs="Calibri"/>
                <w:b/>
                <w:color w:val="002B45"/>
                <w:sz w:val="20"/>
                <w:szCs w:val="20"/>
              </w:rPr>
            </w:pPr>
            <w:r w:rsidRPr="002228A3">
              <w:rPr>
                <w:rStyle w:val="Bold"/>
                <w:rFonts w:ascii="Calibri" w:hAnsi="Calibri" w:cs="Calibri"/>
                <w:b/>
                <w:color w:val="002B45"/>
                <w:sz w:val="20"/>
                <w:szCs w:val="20"/>
              </w:rPr>
              <w:t>201</w:t>
            </w:r>
            <w:r w:rsidR="00EB5D64" w:rsidRPr="002228A3">
              <w:rPr>
                <w:rStyle w:val="Bold"/>
                <w:rFonts w:ascii="Calibri" w:hAnsi="Calibri" w:cs="Calibri"/>
                <w:b/>
                <w:color w:val="002B45"/>
                <w:sz w:val="20"/>
                <w:szCs w:val="20"/>
              </w:rPr>
              <w:t>2</w:t>
            </w:r>
            <w:r w:rsidRPr="002228A3">
              <w:rPr>
                <w:rStyle w:val="Bold"/>
                <w:rFonts w:ascii="Calibri" w:hAnsi="Calibri" w:cs="Calibri"/>
                <w:b/>
                <w:color w:val="002B45"/>
                <w:sz w:val="20"/>
                <w:szCs w:val="20"/>
              </w:rPr>
              <w:br/>
              <w:t>$m</w:t>
            </w:r>
          </w:p>
        </w:tc>
      </w:tr>
      <w:tr w:rsidR="00871692" w:rsidRPr="00C44CA2" w:rsidTr="002228A3">
        <w:trPr>
          <w:trHeight w:val="283"/>
        </w:trPr>
        <w:tc>
          <w:tcPr>
            <w:tcW w:w="7088" w:type="dxa"/>
            <w:tcBorders>
              <w:top w:val="single" w:sz="12" w:space="0" w:color="999999"/>
              <w:bottom w:val="single" w:sz="4" w:space="0" w:color="999999"/>
            </w:tcBorders>
            <w:vAlign w:val="center"/>
          </w:tcPr>
          <w:p w:rsidR="00871692" w:rsidRPr="00235E84" w:rsidRDefault="00871692" w:rsidP="002228A3">
            <w:pPr>
              <w:pStyle w:val="Tabletext0"/>
              <w:ind w:right="85"/>
              <w:rPr>
                <w:rFonts w:ascii="Calibri" w:hAnsi="Calibri" w:cs="Calibri"/>
                <w:color w:val="002B45"/>
              </w:rPr>
            </w:pPr>
            <w:r w:rsidRPr="00235E84">
              <w:rPr>
                <w:rFonts w:ascii="Calibri" w:hAnsi="Calibri" w:cs="Calibri"/>
                <w:color w:val="002B45"/>
              </w:rPr>
              <w:t xml:space="preserve">Group profit on ordinary activities before tax </w:t>
            </w:r>
          </w:p>
        </w:tc>
        <w:tc>
          <w:tcPr>
            <w:tcW w:w="1252" w:type="dxa"/>
            <w:gridSpan w:val="2"/>
            <w:tcBorders>
              <w:top w:val="single" w:sz="12" w:space="0" w:color="999999"/>
              <w:bottom w:val="single" w:sz="4" w:space="0" w:color="999999"/>
            </w:tcBorders>
            <w:shd w:val="clear" w:color="auto" w:fill="E6E6E6"/>
            <w:vAlign w:val="center"/>
          </w:tcPr>
          <w:p w:rsidR="00871692" w:rsidRPr="007A18CB" w:rsidRDefault="00871692" w:rsidP="00533602">
            <w:pPr>
              <w:ind w:right="57"/>
              <w:jc w:val="right"/>
              <w:rPr>
                <w:rFonts w:ascii="Calibri" w:hAnsi="Calibri" w:cs="Calibri"/>
                <w:color w:val="002B45"/>
                <w:lang w:val="en-US"/>
              </w:rPr>
            </w:pPr>
            <w:r w:rsidRPr="007A18CB">
              <w:rPr>
                <w:rFonts w:ascii="Calibri" w:hAnsi="Calibri" w:cs="Calibri"/>
                <w:color w:val="002B45"/>
                <w:lang w:val="en-US"/>
              </w:rPr>
              <w:t>313.2</w:t>
            </w:r>
          </w:p>
        </w:tc>
        <w:tc>
          <w:tcPr>
            <w:tcW w:w="1158" w:type="dxa"/>
            <w:tcBorders>
              <w:top w:val="single" w:sz="12" w:space="0" w:color="999999"/>
              <w:bottom w:val="single" w:sz="4" w:space="0" w:color="999999"/>
            </w:tcBorders>
            <w:vAlign w:val="center"/>
          </w:tcPr>
          <w:p w:rsidR="00871692" w:rsidRPr="007A18CB" w:rsidRDefault="00871692" w:rsidP="00533602">
            <w:pPr>
              <w:ind w:right="57"/>
              <w:jc w:val="right"/>
              <w:rPr>
                <w:rFonts w:ascii="Calibri" w:hAnsi="Calibri" w:cs="Calibri"/>
                <w:color w:val="002B45"/>
                <w:lang w:val="en-US"/>
              </w:rPr>
            </w:pPr>
            <w:r w:rsidRPr="007A18CB">
              <w:rPr>
                <w:rFonts w:ascii="Calibri" w:hAnsi="Calibri" w:cs="Calibri"/>
                <w:color w:val="002B45"/>
                <w:lang w:val="en-US"/>
              </w:rPr>
              <w:t>1,115.9</w:t>
            </w:r>
          </w:p>
        </w:tc>
      </w:tr>
      <w:tr w:rsidR="00871692" w:rsidTr="002228A3">
        <w:trPr>
          <w:trHeight w:val="680"/>
        </w:trPr>
        <w:tc>
          <w:tcPr>
            <w:tcW w:w="7088" w:type="dxa"/>
            <w:tcBorders>
              <w:top w:val="single" w:sz="4" w:space="0" w:color="999999"/>
            </w:tcBorders>
            <w:vAlign w:val="center"/>
          </w:tcPr>
          <w:p w:rsidR="00871692" w:rsidRPr="00235E84" w:rsidRDefault="00871692" w:rsidP="002228A3">
            <w:pPr>
              <w:pStyle w:val="Tabletext0"/>
              <w:ind w:right="85"/>
              <w:rPr>
                <w:rFonts w:ascii="Calibri" w:hAnsi="Calibri" w:cs="Calibri"/>
                <w:color w:val="002B45"/>
              </w:rPr>
            </w:pPr>
            <w:r w:rsidRPr="00235E84">
              <w:rPr>
                <w:rFonts w:ascii="Calibri" w:hAnsi="Calibri" w:cs="Calibri"/>
                <w:color w:val="002B45"/>
              </w:rPr>
              <w:t xml:space="preserve">Tax on Group profit on ordinary activities at the standard UK corporation </w:t>
            </w:r>
            <w:r w:rsidRPr="00235E84">
              <w:rPr>
                <w:rFonts w:ascii="Calibri" w:hAnsi="Calibri" w:cs="Calibri"/>
                <w:color w:val="002B45"/>
              </w:rPr>
              <w:br/>
              <w:t>tax rate o</w:t>
            </w:r>
            <w:r>
              <w:rPr>
                <w:rFonts w:ascii="Calibri" w:hAnsi="Calibri" w:cs="Calibri"/>
                <w:color w:val="002B45"/>
              </w:rPr>
              <w:t>f 23% (2012: 24</w:t>
            </w:r>
            <w:r w:rsidRPr="00235E84">
              <w:rPr>
                <w:rFonts w:ascii="Calibri" w:hAnsi="Calibri" w:cs="Calibri"/>
                <w:color w:val="002B45"/>
              </w:rPr>
              <w:t>%)</w:t>
            </w:r>
          </w:p>
        </w:tc>
        <w:tc>
          <w:tcPr>
            <w:tcW w:w="1252" w:type="dxa"/>
            <w:gridSpan w:val="2"/>
            <w:tcBorders>
              <w:top w:val="single" w:sz="4" w:space="0" w:color="999999"/>
            </w:tcBorders>
            <w:shd w:val="clear" w:color="auto" w:fill="E6E6E6"/>
            <w:vAlign w:val="center"/>
          </w:tcPr>
          <w:p w:rsidR="00871692" w:rsidRPr="007A18CB" w:rsidRDefault="00871692" w:rsidP="00533602">
            <w:pPr>
              <w:ind w:right="57"/>
              <w:jc w:val="right"/>
              <w:rPr>
                <w:rFonts w:ascii="Calibri" w:hAnsi="Calibri" w:cs="Calibri"/>
                <w:color w:val="002B45"/>
                <w:lang w:val="en-US"/>
              </w:rPr>
            </w:pPr>
            <w:r w:rsidRPr="007A18CB">
              <w:rPr>
                <w:rFonts w:ascii="Calibri" w:hAnsi="Calibri" w:cs="Calibri"/>
                <w:color w:val="002B45"/>
                <w:lang w:val="en-US"/>
              </w:rPr>
              <w:t xml:space="preserve"> 72.0 </w:t>
            </w:r>
          </w:p>
        </w:tc>
        <w:tc>
          <w:tcPr>
            <w:tcW w:w="1158" w:type="dxa"/>
            <w:tcBorders>
              <w:top w:val="single" w:sz="4" w:space="0" w:color="999999"/>
            </w:tcBorders>
            <w:vAlign w:val="center"/>
          </w:tcPr>
          <w:p w:rsidR="00871692" w:rsidRPr="007A18CB" w:rsidRDefault="00871692" w:rsidP="00533602">
            <w:pPr>
              <w:ind w:right="57"/>
              <w:jc w:val="right"/>
              <w:rPr>
                <w:rFonts w:ascii="Calibri" w:hAnsi="Calibri" w:cs="Calibri"/>
                <w:color w:val="002B45"/>
                <w:lang w:val="en-US"/>
              </w:rPr>
            </w:pPr>
            <w:r w:rsidRPr="007A18CB">
              <w:rPr>
                <w:rFonts w:ascii="Calibri" w:hAnsi="Calibri" w:cs="Calibri"/>
                <w:color w:val="002B45"/>
                <w:lang w:val="en-US"/>
              </w:rPr>
              <w:t xml:space="preserve"> 267.8 </w:t>
            </w:r>
          </w:p>
        </w:tc>
      </w:tr>
      <w:tr w:rsidR="00871692" w:rsidRPr="00C44CA2" w:rsidTr="002228A3">
        <w:trPr>
          <w:trHeight w:val="283"/>
        </w:trPr>
        <w:tc>
          <w:tcPr>
            <w:tcW w:w="7088" w:type="dxa"/>
            <w:vAlign w:val="center"/>
          </w:tcPr>
          <w:p w:rsidR="00871692" w:rsidRPr="00235E84" w:rsidRDefault="00871692" w:rsidP="002228A3">
            <w:pPr>
              <w:pStyle w:val="Tabletext0"/>
              <w:ind w:right="85"/>
              <w:rPr>
                <w:rFonts w:ascii="Calibri" w:hAnsi="Calibri" w:cs="Calibri"/>
                <w:color w:val="002B45"/>
              </w:rPr>
            </w:pPr>
            <w:r w:rsidRPr="00235E84">
              <w:rPr>
                <w:rFonts w:ascii="Calibri" w:hAnsi="Calibri" w:cs="Calibri"/>
                <w:color w:val="002B45"/>
              </w:rPr>
              <w:t>Effects of:</w:t>
            </w:r>
          </w:p>
        </w:tc>
        <w:tc>
          <w:tcPr>
            <w:tcW w:w="1252" w:type="dxa"/>
            <w:gridSpan w:val="2"/>
            <w:shd w:val="clear" w:color="auto" w:fill="E6E6E6"/>
            <w:vAlign w:val="center"/>
          </w:tcPr>
          <w:p w:rsidR="00871692" w:rsidRPr="0007770E" w:rsidRDefault="00871692" w:rsidP="00533602">
            <w:pPr>
              <w:ind w:right="57"/>
              <w:jc w:val="right"/>
              <w:rPr>
                <w:rFonts w:ascii="Calibri" w:hAnsi="Calibri" w:cs="Calibri"/>
                <w:color w:val="002B45"/>
                <w:lang w:val="en-US"/>
              </w:rPr>
            </w:pPr>
          </w:p>
        </w:tc>
        <w:tc>
          <w:tcPr>
            <w:tcW w:w="1158" w:type="dxa"/>
            <w:vAlign w:val="center"/>
          </w:tcPr>
          <w:p w:rsidR="00871692" w:rsidRPr="0007770E" w:rsidRDefault="00871692" w:rsidP="00533602">
            <w:pPr>
              <w:ind w:right="57"/>
              <w:jc w:val="right"/>
              <w:rPr>
                <w:rFonts w:ascii="Calibri" w:hAnsi="Calibri" w:cs="Calibri"/>
                <w:color w:val="002B45"/>
                <w:lang w:val="en-US"/>
              </w:rPr>
            </w:pPr>
          </w:p>
        </w:tc>
      </w:tr>
      <w:tr w:rsidR="00871692" w:rsidRPr="00C44CA2" w:rsidTr="002228A3">
        <w:trPr>
          <w:trHeight w:val="283"/>
        </w:trPr>
        <w:tc>
          <w:tcPr>
            <w:tcW w:w="7088" w:type="dxa"/>
            <w:vAlign w:val="center"/>
          </w:tcPr>
          <w:p w:rsidR="00871692" w:rsidRPr="007A18CB" w:rsidRDefault="00871692" w:rsidP="002228A3">
            <w:pPr>
              <w:jc w:val="left"/>
              <w:rPr>
                <w:rFonts w:ascii="Calibri" w:hAnsi="Calibri" w:cs="Calibri"/>
                <w:color w:val="002B45"/>
                <w:lang w:val="en-US"/>
              </w:rPr>
            </w:pPr>
            <w:r w:rsidRPr="007A18CB">
              <w:rPr>
                <w:rFonts w:ascii="Calibri" w:hAnsi="Calibri" w:cs="Calibri"/>
                <w:color w:val="002B45"/>
                <w:lang w:val="en-US"/>
              </w:rPr>
              <w:t>Expenses not deductible for tax purposes</w:t>
            </w:r>
          </w:p>
        </w:tc>
        <w:tc>
          <w:tcPr>
            <w:tcW w:w="1252" w:type="dxa"/>
            <w:gridSpan w:val="2"/>
            <w:shd w:val="clear" w:color="auto" w:fill="E6E6E6"/>
            <w:vAlign w:val="center"/>
          </w:tcPr>
          <w:p w:rsidR="00871692" w:rsidRPr="007A18CB" w:rsidRDefault="00263A06" w:rsidP="00533602">
            <w:pPr>
              <w:ind w:right="57"/>
              <w:jc w:val="right"/>
              <w:rPr>
                <w:rFonts w:ascii="Calibri" w:hAnsi="Calibri" w:cs="Calibri"/>
                <w:color w:val="002B45"/>
                <w:lang w:val="en-US"/>
              </w:rPr>
            </w:pPr>
            <w:r>
              <w:rPr>
                <w:rFonts w:ascii="Calibri" w:hAnsi="Calibri" w:cs="Calibri"/>
                <w:color w:val="002B45"/>
                <w:lang w:val="en-US"/>
              </w:rPr>
              <w:t>123.7</w:t>
            </w:r>
            <w:r w:rsidR="00871692" w:rsidRPr="007A18CB">
              <w:rPr>
                <w:rFonts w:ascii="Calibri" w:hAnsi="Calibri" w:cs="Calibri"/>
                <w:color w:val="002B45"/>
                <w:lang w:val="en-US"/>
              </w:rPr>
              <w:t xml:space="preserve"> </w:t>
            </w:r>
          </w:p>
        </w:tc>
        <w:tc>
          <w:tcPr>
            <w:tcW w:w="1158" w:type="dxa"/>
            <w:vAlign w:val="center"/>
          </w:tcPr>
          <w:p w:rsidR="00871692" w:rsidRPr="007A18CB" w:rsidRDefault="00871692" w:rsidP="00533602">
            <w:pPr>
              <w:ind w:right="57"/>
              <w:jc w:val="right"/>
              <w:rPr>
                <w:rFonts w:ascii="Calibri" w:hAnsi="Calibri" w:cs="Calibri"/>
                <w:color w:val="002B45"/>
                <w:lang w:val="en-US"/>
              </w:rPr>
            </w:pPr>
            <w:r w:rsidRPr="007A18CB">
              <w:rPr>
                <w:rFonts w:ascii="Calibri" w:hAnsi="Calibri" w:cs="Calibri"/>
                <w:color w:val="002B45"/>
                <w:lang w:val="en-US"/>
              </w:rPr>
              <w:t xml:space="preserve">86.7 </w:t>
            </w:r>
          </w:p>
        </w:tc>
      </w:tr>
      <w:tr w:rsidR="00871692" w:rsidRPr="00C44CA2" w:rsidTr="002228A3">
        <w:trPr>
          <w:trHeight w:val="283"/>
        </w:trPr>
        <w:tc>
          <w:tcPr>
            <w:tcW w:w="7088" w:type="dxa"/>
            <w:vAlign w:val="center"/>
          </w:tcPr>
          <w:p w:rsidR="00871692" w:rsidRPr="007A18CB" w:rsidRDefault="00871692" w:rsidP="002228A3">
            <w:pPr>
              <w:jc w:val="left"/>
              <w:rPr>
                <w:rFonts w:ascii="Calibri" w:hAnsi="Calibri" w:cs="Calibri"/>
                <w:color w:val="002B45"/>
                <w:lang w:val="en-US"/>
              </w:rPr>
            </w:pPr>
            <w:r w:rsidRPr="007A18CB">
              <w:rPr>
                <w:rFonts w:ascii="Calibri" w:hAnsi="Calibri" w:cs="Calibri"/>
                <w:color w:val="002B45"/>
                <w:lang w:val="en-US"/>
              </w:rPr>
              <w:t>Other income not subject to corporation tax</w:t>
            </w:r>
          </w:p>
        </w:tc>
        <w:tc>
          <w:tcPr>
            <w:tcW w:w="1252" w:type="dxa"/>
            <w:gridSpan w:val="2"/>
            <w:shd w:val="clear" w:color="auto" w:fill="E6E6E6"/>
            <w:vAlign w:val="center"/>
          </w:tcPr>
          <w:p w:rsidR="00871692" w:rsidRPr="007A18CB" w:rsidRDefault="00871692" w:rsidP="00263A06">
            <w:pPr>
              <w:ind w:right="57"/>
              <w:jc w:val="right"/>
              <w:rPr>
                <w:rFonts w:ascii="Calibri" w:hAnsi="Calibri" w:cs="Calibri"/>
                <w:color w:val="002B45"/>
                <w:lang w:val="en-US"/>
              </w:rPr>
            </w:pPr>
            <w:r w:rsidRPr="007A18CB">
              <w:rPr>
                <w:rFonts w:ascii="Calibri" w:hAnsi="Calibri" w:cs="Calibri"/>
                <w:color w:val="002B45"/>
                <w:lang w:val="en-US"/>
              </w:rPr>
              <w:t>(</w:t>
            </w:r>
            <w:r w:rsidR="00263A06">
              <w:rPr>
                <w:rFonts w:ascii="Calibri" w:hAnsi="Calibri" w:cs="Calibri"/>
                <w:color w:val="002B45"/>
                <w:lang w:val="en-US"/>
              </w:rPr>
              <w:t>85.2</w:t>
            </w:r>
            <w:r w:rsidRPr="007A18CB">
              <w:rPr>
                <w:rFonts w:ascii="Calibri" w:hAnsi="Calibri" w:cs="Calibri"/>
                <w:color w:val="002B45"/>
                <w:lang w:val="en-US"/>
              </w:rPr>
              <w:t>)</w:t>
            </w:r>
          </w:p>
        </w:tc>
        <w:tc>
          <w:tcPr>
            <w:tcW w:w="1158" w:type="dxa"/>
            <w:vAlign w:val="center"/>
          </w:tcPr>
          <w:p w:rsidR="00871692" w:rsidRPr="007A18CB" w:rsidRDefault="00871692" w:rsidP="00263A06">
            <w:pPr>
              <w:ind w:right="57"/>
              <w:jc w:val="right"/>
              <w:rPr>
                <w:rFonts w:ascii="Calibri" w:hAnsi="Calibri" w:cs="Calibri"/>
                <w:color w:val="002B45"/>
                <w:lang w:val="en-US"/>
              </w:rPr>
            </w:pPr>
            <w:r w:rsidRPr="007A18CB">
              <w:rPr>
                <w:rFonts w:ascii="Calibri" w:hAnsi="Calibri" w:cs="Calibri"/>
                <w:color w:val="002B45"/>
                <w:lang w:val="en-US"/>
              </w:rPr>
              <w:t>(</w:t>
            </w:r>
            <w:r w:rsidR="00263A06">
              <w:rPr>
                <w:rFonts w:ascii="Calibri" w:hAnsi="Calibri" w:cs="Calibri"/>
                <w:color w:val="002B45"/>
                <w:lang w:val="en-US"/>
              </w:rPr>
              <w:t>15.5</w:t>
            </w:r>
            <w:r w:rsidRPr="007A18CB">
              <w:rPr>
                <w:rFonts w:ascii="Calibri" w:hAnsi="Calibri" w:cs="Calibri"/>
                <w:color w:val="002B45"/>
                <w:lang w:val="en-US"/>
              </w:rPr>
              <w:t xml:space="preserve">) </w:t>
            </w:r>
          </w:p>
        </w:tc>
      </w:tr>
      <w:tr w:rsidR="00871692" w:rsidRPr="00C44CA2" w:rsidTr="002228A3">
        <w:trPr>
          <w:trHeight w:val="283"/>
        </w:trPr>
        <w:tc>
          <w:tcPr>
            <w:tcW w:w="7088" w:type="dxa"/>
            <w:vAlign w:val="center"/>
          </w:tcPr>
          <w:p w:rsidR="00871692" w:rsidRPr="007A18CB" w:rsidRDefault="00871692" w:rsidP="002228A3">
            <w:pPr>
              <w:jc w:val="left"/>
              <w:rPr>
                <w:rFonts w:ascii="Calibri" w:hAnsi="Calibri" w:cs="Calibri"/>
                <w:color w:val="002B45"/>
                <w:lang w:val="en-US"/>
              </w:rPr>
            </w:pPr>
            <w:r w:rsidRPr="007A18CB">
              <w:rPr>
                <w:rFonts w:ascii="Calibri" w:hAnsi="Calibri" w:cs="Calibri"/>
                <w:color w:val="002B45"/>
                <w:lang w:val="en-US"/>
              </w:rPr>
              <w:t xml:space="preserve">PSC income not subject to corporation tax </w:t>
            </w:r>
          </w:p>
        </w:tc>
        <w:tc>
          <w:tcPr>
            <w:tcW w:w="1252" w:type="dxa"/>
            <w:gridSpan w:val="2"/>
            <w:shd w:val="clear" w:color="auto" w:fill="E6E6E6"/>
            <w:vAlign w:val="center"/>
          </w:tcPr>
          <w:p w:rsidR="00871692" w:rsidRPr="007A18CB" w:rsidRDefault="00871692" w:rsidP="001808A9">
            <w:pPr>
              <w:ind w:right="57"/>
              <w:jc w:val="right"/>
              <w:rPr>
                <w:rFonts w:ascii="Calibri" w:hAnsi="Calibri" w:cs="Calibri"/>
                <w:color w:val="002B45"/>
                <w:lang w:val="en-US"/>
              </w:rPr>
            </w:pPr>
            <w:r w:rsidRPr="007A18CB">
              <w:rPr>
                <w:rFonts w:ascii="Calibri" w:hAnsi="Calibri" w:cs="Calibri"/>
                <w:color w:val="002B45"/>
                <w:lang w:val="en-US"/>
              </w:rPr>
              <w:t>(</w:t>
            </w:r>
            <w:r w:rsidR="001808A9">
              <w:rPr>
                <w:rFonts w:ascii="Calibri" w:hAnsi="Calibri" w:cs="Calibri"/>
                <w:color w:val="002B45"/>
                <w:lang w:val="en-US"/>
              </w:rPr>
              <w:t>51.9</w:t>
            </w:r>
            <w:r w:rsidRPr="007A18CB">
              <w:rPr>
                <w:rFonts w:ascii="Calibri" w:hAnsi="Calibri" w:cs="Calibri"/>
                <w:color w:val="002B45"/>
                <w:lang w:val="en-US"/>
              </w:rPr>
              <w:t>)</w:t>
            </w:r>
          </w:p>
        </w:tc>
        <w:tc>
          <w:tcPr>
            <w:tcW w:w="1158" w:type="dxa"/>
            <w:vAlign w:val="center"/>
          </w:tcPr>
          <w:p w:rsidR="00871692" w:rsidRPr="007A18CB" w:rsidRDefault="00871692" w:rsidP="00533602">
            <w:pPr>
              <w:ind w:right="57"/>
              <w:jc w:val="right"/>
              <w:rPr>
                <w:rFonts w:ascii="Calibri" w:hAnsi="Calibri" w:cs="Calibri"/>
                <w:color w:val="002B45"/>
                <w:lang w:val="en-US"/>
              </w:rPr>
            </w:pPr>
            <w:r w:rsidRPr="007A18CB">
              <w:rPr>
                <w:rFonts w:ascii="Calibri" w:hAnsi="Calibri" w:cs="Calibri"/>
                <w:color w:val="002B45"/>
                <w:lang w:val="en-US"/>
              </w:rPr>
              <w:t>(83.1)</w:t>
            </w:r>
          </w:p>
        </w:tc>
      </w:tr>
      <w:tr w:rsidR="00871692" w:rsidRPr="00C44CA2" w:rsidTr="002228A3">
        <w:trPr>
          <w:trHeight w:val="283"/>
        </w:trPr>
        <w:tc>
          <w:tcPr>
            <w:tcW w:w="7088" w:type="dxa"/>
            <w:vAlign w:val="center"/>
          </w:tcPr>
          <w:p w:rsidR="00871692" w:rsidRPr="007A18CB" w:rsidRDefault="00871692" w:rsidP="002228A3">
            <w:pPr>
              <w:jc w:val="left"/>
              <w:rPr>
                <w:rFonts w:ascii="Calibri" w:hAnsi="Calibri" w:cs="Calibri"/>
                <w:color w:val="002B45"/>
                <w:lang w:val="en-US"/>
              </w:rPr>
            </w:pPr>
            <w:r w:rsidRPr="007A18CB">
              <w:rPr>
                <w:rFonts w:ascii="Calibri" w:hAnsi="Calibri" w:cs="Calibri"/>
                <w:color w:val="002B45"/>
                <w:lang w:val="en-US"/>
              </w:rPr>
              <w:t>Net losses not recognised</w:t>
            </w:r>
          </w:p>
        </w:tc>
        <w:tc>
          <w:tcPr>
            <w:tcW w:w="1252" w:type="dxa"/>
            <w:gridSpan w:val="2"/>
            <w:shd w:val="clear" w:color="auto" w:fill="E6E6E6"/>
            <w:vAlign w:val="center"/>
          </w:tcPr>
          <w:p w:rsidR="00871692" w:rsidRPr="007A18CB" w:rsidRDefault="00871692" w:rsidP="00263A06">
            <w:pPr>
              <w:ind w:right="57"/>
              <w:jc w:val="right"/>
              <w:rPr>
                <w:rFonts w:ascii="Calibri" w:hAnsi="Calibri" w:cs="Calibri"/>
                <w:color w:val="002B45"/>
                <w:lang w:val="en-US"/>
              </w:rPr>
            </w:pPr>
            <w:r w:rsidRPr="007A18CB">
              <w:rPr>
                <w:rFonts w:ascii="Calibri" w:hAnsi="Calibri" w:cs="Calibri"/>
                <w:color w:val="002B45"/>
                <w:lang w:val="en-US"/>
              </w:rPr>
              <w:t xml:space="preserve"> </w:t>
            </w:r>
            <w:r w:rsidR="00263A06">
              <w:rPr>
                <w:rFonts w:ascii="Calibri" w:hAnsi="Calibri" w:cs="Calibri"/>
                <w:color w:val="002B45"/>
                <w:lang w:val="en-US"/>
              </w:rPr>
              <w:t>86.6</w:t>
            </w:r>
            <w:r w:rsidRPr="007A18CB">
              <w:rPr>
                <w:rFonts w:ascii="Calibri" w:hAnsi="Calibri" w:cs="Calibri"/>
                <w:color w:val="002B45"/>
                <w:lang w:val="en-US"/>
              </w:rPr>
              <w:t xml:space="preserve"> </w:t>
            </w:r>
          </w:p>
        </w:tc>
        <w:tc>
          <w:tcPr>
            <w:tcW w:w="1158" w:type="dxa"/>
            <w:vAlign w:val="center"/>
          </w:tcPr>
          <w:p w:rsidR="00871692" w:rsidRPr="007A18CB" w:rsidRDefault="00871692" w:rsidP="00533602">
            <w:pPr>
              <w:ind w:right="57"/>
              <w:jc w:val="right"/>
              <w:rPr>
                <w:rFonts w:ascii="Calibri" w:hAnsi="Calibri" w:cs="Calibri"/>
                <w:color w:val="002B45"/>
                <w:lang w:val="en-US"/>
              </w:rPr>
            </w:pPr>
            <w:r w:rsidRPr="007A18CB">
              <w:rPr>
                <w:rFonts w:ascii="Calibri" w:hAnsi="Calibri" w:cs="Calibri"/>
                <w:color w:val="002B45"/>
                <w:lang w:val="en-US"/>
              </w:rPr>
              <w:t>129.1</w:t>
            </w:r>
          </w:p>
        </w:tc>
      </w:tr>
      <w:tr w:rsidR="00871692" w:rsidRPr="00C44CA2" w:rsidTr="002228A3">
        <w:trPr>
          <w:trHeight w:val="283"/>
        </w:trPr>
        <w:tc>
          <w:tcPr>
            <w:tcW w:w="7088" w:type="dxa"/>
            <w:vAlign w:val="center"/>
          </w:tcPr>
          <w:p w:rsidR="00871692" w:rsidRPr="007A18CB" w:rsidRDefault="00871692" w:rsidP="002228A3">
            <w:pPr>
              <w:jc w:val="left"/>
              <w:rPr>
                <w:rFonts w:ascii="Calibri" w:hAnsi="Calibri" w:cs="Calibri"/>
                <w:color w:val="002B45"/>
                <w:lang w:val="en-US"/>
              </w:rPr>
            </w:pPr>
            <w:r w:rsidRPr="007A18CB">
              <w:rPr>
                <w:rFonts w:ascii="Calibri" w:hAnsi="Calibri" w:cs="Calibri"/>
                <w:color w:val="002B45"/>
                <w:lang w:val="en-US"/>
              </w:rPr>
              <w:t>Petroleum revenue tax (PRT)</w:t>
            </w:r>
          </w:p>
        </w:tc>
        <w:tc>
          <w:tcPr>
            <w:tcW w:w="1252" w:type="dxa"/>
            <w:gridSpan w:val="2"/>
            <w:shd w:val="clear" w:color="auto" w:fill="E6E6E6"/>
            <w:vAlign w:val="center"/>
          </w:tcPr>
          <w:p w:rsidR="00871692" w:rsidRPr="007A18CB" w:rsidRDefault="00871692" w:rsidP="00533602">
            <w:pPr>
              <w:ind w:right="57"/>
              <w:jc w:val="right"/>
              <w:rPr>
                <w:rFonts w:ascii="Calibri" w:hAnsi="Calibri" w:cs="Calibri"/>
                <w:color w:val="002B45"/>
                <w:lang w:val="en-US"/>
              </w:rPr>
            </w:pPr>
            <w:r w:rsidRPr="007A18CB">
              <w:rPr>
                <w:rFonts w:ascii="Calibri" w:hAnsi="Calibri" w:cs="Calibri"/>
                <w:color w:val="002B45"/>
                <w:lang w:val="en-US"/>
              </w:rPr>
              <w:t xml:space="preserve"> 6.8 </w:t>
            </w:r>
          </w:p>
        </w:tc>
        <w:tc>
          <w:tcPr>
            <w:tcW w:w="1158" w:type="dxa"/>
            <w:vAlign w:val="center"/>
          </w:tcPr>
          <w:p w:rsidR="00871692" w:rsidRPr="007A18CB" w:rsidRDefault="00871692" w:rsidP="00533602">
            <w:pPr>
              <w:ind w:right="57"/>
              <w:jc w:val="right"/>
              <w:rPr>
                <w:rFonts w:ascii="Calibri" w:hAnsi="Calibri" w:cs="Calibri"/>
                <w:color w:val="002B45"/>
                <w:lang w:val="en-US"/>
              </w:rPr>
            </w:pPr>
            <w:r w:rsidRPr="007A18CB">
              <w:rPr>
                <w:rFonts w:ascii="Calibri" w:hAnsi="Calibri" w:cs="Calibri"/>
                <w:color w:val="002B45"/>
                <w:lang w:val="en-US"/>
              </w:rPr>
              <w:t>8.5</w:t>
            </w:r>
          </w:p>
        </w:tc>
      </w:tr>
      <w:tr w:rsidR="00871692" w:rsidRPr="00C44CA2" w:rsidTr="002228A3">
        <w:trPr>
          <w:trHeight w:val="283"/>
        </w:trPr>
        <w:tc>
          <w:tcPr>
            <w:tcW w:w="7088" w:type="dxa"/>
            <w:vAlign w:val="center"/>
          </w:tcPr>
          <w:p w:rsidR="00871692" w:rsidRPr="007A18CB" w:rsidRDefault="00871692" w:rsidP="002228A3">
            <w:pPr>
              <w:jc w:val="left"/>
              <w:rPr>
                <w:rFonts w:ascii="Calibri" w:hAnsi="Calibri" w:cs="Calibri"/>
                <w:color w:val="002B45"/>
                <w:lang w:val="en-US"/>
              </w:rPr>
            </w:pPr>
            <w:r w:rsidRPr="007A18CB">
              <w:rPr>
                <w:rFonts w:ascii="Calibri" w:hAnsi="Calibri" w:cs="Calibri"/>
                <w:color w:val="002B45"/>
                <w:lang w:val="en-US"/>
              </w:rPr>
              <w:t>UK corporation tax deductions for current PRT</w:t>
            </w:r>
          </w:p>
        </w:tc>
        <w:tc>
          <w:tcPr>
            <w:tcW w:w="1252" w:type="dxa"/>
            <w:gridSpan w:val="2"/>
            <w:shd w:val="clear" w:color="auto" w:fill="E6E6E6"/>
            <w:vAlign w:val="center"/>
          </w:tcPr>
          <w:p w:rsidR="00871692" w:rsidRPr="007A18CB" w:rsidRDefault="00871692" w:rsidP="00533602">
            <w:pPr>
              <w:ind w:right="57"/>
              <w:jc w:val="right"/>
              <w:rPr>
                <w:rFonts w:ascii="Calibri" w:hAnsi="Calibri" w:cs="Calibri"/>
                <w:color w:val="002B45"/>
                <w:lang w:val="en-US"/>
              </w:rPr>
            </w:pPr>
            <w:r w:rsidRPr="007A18CB">
              <w:rPr>
                <w:rFonts w:ascii="Calibri" w:hAnsi="Calibri" w:cs="Calibri"/>
                <w:color w:val="002B45"/>
                <w:lang w:val="en-US"/>
              </w:rPr>
              <w:t>(4.2)</w:t>
            </w:r>
          </w:p>
        </w:tc>
        <w:tc>
          <w:tcPr>
            <w:tcW w:w="1158" w:type="dxa"/>
            <w:vAlign w:val="center"/>
          </w:tcPr>
          <w:p w:rsidR="00871692" w:rsidRPr="007A18CB" w:rsidRDefault="00871692" w:rsidP="00533602">
            <w:pPr>
              <w:ind w:right="57"/>
              <w:jc w:val="right"/>
              <w:rPr>
                <w:rFonts w:ascii="Calibri" w:hAnsi="Calibri" w:cs="Calibri"/>
                <w:color w:val="002B45"/>
                <w:lang w:val="en-US"/>
              </w:rPr>
            </w:pPr>
            <w:r w:rsidRPr="007A18CB">
              <w:rPr>
                <w:rFonts w:ascii="Calibri" w:hAnsi="Calibri" w:cs="Calibri"/>
                <w:color w:val="002B45"/>
                <w:lang w:val="en-US"/>
              </w:rPr>
              <w:t>(5.3)</w:t>
            </w:r>
          </w:p>
        </w:tc>
      </w:tr>
      <w:tr w:rsidR="00871692" w:rsidRPr="00C44CA2" w:rsidTr="002228A3">
        <w:trPr>
          <w:trHeight w:val="283"/>
        </w:trPr>
        <w:tc>
          <w:tcPr>
            <w:tcW w:w="7088" w:type="dxa"/>
            <w:vAlign w:val="center"/>
          </w:tcPr>
          <w:p w:rsidR="00871692" w:rsidRPr="007A18CB" w:rsidRDefault="00871692" w:rsidP="00263A06">
            <w:pPr>
              <w:jc w:val="left"/>
              <w:rPr>
                <w:rFonts w:ascii="Calibri" w:hAnsi="Calibri" w:cs="Calibri"/>
                <w:color w:val="002B45"/>
                <w:lang w:val="en-US"/>
              </w:rPr>
            </w:pPr>
            <w:r w:rsidRPr="007A18CB">
              <w:rPr>
                <w:rFonts w:ascii="Calibri" w:hAnsi="Calibri" w:cs="Calibri"/>
                <w:color w:val="002B45"/>
                <w:lang w:val="en-US"/>
              </w:rPr>
              <w:t xml:space="preserve">Utilisation </w:t>
            </w:r>
            <w:r w:rsidR="00263A06">
              <w:rPr>
                <w:rFonts w:ascii="Calibri" w:hAnsi="Calibri" w:cs="Calibri"/>
                <w:color w:val="002B45"/>
                <w:lang w:val="en-US"/>
              </w:rPr>
              <w:t>of</w:t>
            </w:r>
            <w:r w:rsidRPr="007A18CB">
              <w:rPr>
                <w:rFonts w:ascii="Calibri" w:hAnsi="Calibri" w:cs="Calibri"/>
                <w:color w:val="002B45"/>
                <w:lang w:val="en-US"/>
              </w:rPr>
              <w:t xml:space="preserve"> tax losses not previously recognised</w:t>
            </w:r>
          </w:p>
        </w:tc>
        <w:tc>
          <w:tcPr>
            <w:tcW w:w="1252" w:type="dxa"/>
            <w:gridSpan w:val="2"/>
            <w:shd w:val="clear" w:color="auto" w:fill="E6E6E6"/>
            <w:vAlign w:val="center"/>
          </w:tcPr>
          <w:p w:rsidR="00871692" w:rsidRPr="007A18CB" w:rsidRDefault="00871692" w:rsidP="00533602">
            <w:pPr>
              <w:ind w:right="57"/>
              <w:jc w:val="right"/>
              <w:rPr>
                <w:rFonts w:ascii="Calibri" w:hAnsi="Calibri" w:cs="Calibri"/>
                <w:color w:val="002B45"/>
                <w:lang w:val="en-US"/>
              </w:rPr>
            </w:pPr>
            <w:r w:rsidRPr="007A18CB">
              <w:rPr>
                <w:rFonts w:ascii="Calibri" w:hAnsi="Calibri" w:cs="Calibri"/>
                <w:color w:val="002B45"/>
                <w:lang w:val="en-US"/>
              </w:rPr>
              <w:t>(7.5)</w:t>
            </w:r>
          </w:p>
        </w:tc>
        <w:tc>
          <w:tcPr>
            <w:tcW w:w="1158" w:type="dxa"/>
            <w:vAlign w:val="center"/>
          </w:tcPr>
          <w:p w:rsidR="00871692" w:rsidRPr="007A18CB" w:rsidRDefault="00871692" w:rsidP="00533602">
            <w:pPr>
              <w:ind w:right="57"/>
              <w:jc w:val="right"/>
              <w:rPr>
                <w:rFonts w:ascii="Calibri" w:hAnsi="Calibri" w:cs="Calibri"/>
                <w:color w:val="002B45"/>
                <w:lang w:val="en-US"/>
              </w:rPr>
            </w:pPr>
            <w:r w:rsidRPr="007A18CB">
              <w:rPr>
                <w:rFonts w:ascii="Calibri" w:hAnsi="Calibri" w:cs="Calibri"/>
                <w:color w:val="002B45"/>
                <w:lang w:val="en-US"/>
              </w:rPr>
              <w:t>–</w:t>
            </w:r>
          </w:p>
        </w:tc>
      </w:tr>
      <w:tr w:rsidR="00871692" w:rsidRPr="00C44CA2" w:rsidTr="002228A3">
        <w:trPr>
          <w:trHeight w:val="283"/>
        </w:trPr>
        <w:tc>
          <w:tcPr>
            <w:tcW w:w="7088" w:type="dxa"/>
            <w:vAlign w:val="center"/>
          </w:tcPr>
          <w:p w:rsidR="00871692" w:rsidRPr="007A18CB" w:rsidRDefault="00871692" w:rsidP="002228A3">
            <w:pPr>
              <w:jc w:val="left"/>
              <w:rPr>
                <w:rFonts w:ascii="Calibri" w:hAnsi="Calibri" w:cs="Calibri"/>
                <w:color w:val="002B45"/>
                <w:lang w:val="en-US"/>
              </w:rPr>
            </w:pPr>
            <w:r w:rsidRPr="007A18CB">
              <w:rPr>
                <w:rFonts w:ascii="Calibri" w:hAnsi="Calibri" w:cs="Calibri"/>
                <w:color w:val="002B45"/>
                <w:lang w:val="en-US"/>
              </w:rPr>
              <w:t>Adjustment</w:t>
            </w:r>
            <w:r w:rsidR="00263A06">
              <w:rPr>
                <w:rFonts w:ascii="Calibri" w:hAnsi="Calibri" w:cs="Calibri"/>
                <w:color w:val="002B45"/>
                <w:lang w:val="en-US"/>
              </w:rPr>
              <w:t>s</w:t>
            </w:r>
            <w:r w:rsidRPr="007A18CB">
              <w:rPr>
                <w:rFonts w:ascii="Calibri" w:hAnsi="Calibri" w:cs="Calibri"/>
                <w:color w:val="002B45"/>
                <w:lang w:val="en-US"/>
              </w:rPr>
              <w:t xml:space="preserve"> relating to prior years</w:t>
            </w:r>
          </w:p>
        </w:tc>
        <w:tc>
          <w:tcPr>
            <w:tcW w:w="1252" w:type="dxa"/>
            <w:gridSpan w:val="2"/>
            <w:shd w:val="clear" w:color="auto" w:fill="E6E6E6"/>
            <w:vAlign w:val="center"/>
          </w:tcPr>
          <w:p w:rsidR="00871692" w:rsidRPr="007A18CB" w:rsidRDefault="00871692" w:rsidP="00263A06">
            <w:pPr>
              <w:ind w:right="57"/>
              <w:jc w:val="right"/>
              <w:rPr>
                <w:rFonts w:ascii="Calibri" w:hAnsi="Calibri" w:cs="Calibri"/>
                <w:color w:val="002B45"/>
                <w:lang w:val="en-US"/>
              </w:rPr>
            </w:pPr>
            <w:r w:rsidRPr="007A18CB">
              <w:rPr>
                <w:rFonts w:ascii="Calibri" w:hAnsi="Calibri" w:cs="Calibri"/>
                <w:color w:val="002B45"/>
                <w:lang w:val="en-US"/>
              </w:rPr>
              <w:t>(</w:t>
            </w:r>
            <w:r w:rsidR="00263A06">
              <w:rPr>
                <w:rFonts w:ascii="Calibri" w:hAnsi="Calibri" w:cs="Calibri"/>
                <w:color w:val="002B45"/>
                <w:lang w:val="en-US"/>
              </w:rPr>
              <w:t>52.5</w:t>
            </w:r>
            <w:r w:rsidRPr="007A18CB">
              <w:rPr>
                <w:rFonts w:ascii="Calibri" w:hAnsi="Calibri" w:cs="Calibri"/>
                <w:color w:val="002B45"/>
                <w:lang w:val="en-US"/>
              </w:rPr>
              <w:t>)</w:t>
            </w:r>
          </w:p>
        </w:tc>
        <w:tc>
          <w:tcPr>
            <w:tcW w:w="1158" w:type="dxa"/>
            <w:vAlign w:val="center"/>
          </w:tcPr>
          <w:p w:rsidR="00871692" w:rsidRPr="007A18CB" w:rsidRDefault="00871692" w:rsidP="00533602">
            <w:pPr>
              <w:ind w:right="57"/>
              <w:jc w:val="right"/>
              <w:rPr>
                <w:rFonts w:ascii="Calibri" w:hAnsi="Calibri" w:cs="Calibri"/>
                <w:color w:val="002B45"/>
                <w:lang w:val="en-US"/>
              </w:rPr>
            </w:pPr>
            <w:r w:rsidRPr="007A18CB">
              <w:rPr>
                <w:rFonts w:ascii="Calibri" w:hAnsi="Calibri" w:cs="Calibri"/>
                <w:color w:val="002B45"/>
                <w:lang w:val="en-US"/>
              </w:rPr>
              <w:t>20.8</w:t>
            </w:r>
          </w:p>
        </w:tc>
      </w:tr>
      <w:tr w:rsidR="00871692" w:rsidRPr="00C44CA2" w:rsidTr="002228A3">
        <w:trPr>
          <w:trHeight w:val="283"/>
        </w:trPr>
        <w:tc>
          <w:tcPr>
            <w:tcW w:w="7088" w:type="dxa"/>
            <w:vAlign w:val="center"/>
          </w:tcPr>
          <w:p w:rsidR="00871692" w:rsidRPr="007A18CB" w:rsidRDefault="00871692" w:rsidP="002228A3">
            <w:pPr>
              <w:jc w:val="left"/>
              <w:rPr>
                <w:rFonts w:ascii="Calibri" w:hAnsi="Calibri" w:cs="Calibri"/>
                <w:color w:val="002B45"/>
                <w:lang w:val="en-US"/>
              </w:rPr>
            </w:pPr>
            <w:r w:rsidRPr="007A18CB">
              <w:rPr>
                <w:rFonts w:ascii="Calibri" w:hAnsi="Calibri" w:cs="Calibri"/>
                <w:color w:val="002B45"/>
                <w:lang w:val="en-US"/>
              </w:rPr>
              <w:t>Adjustments to deferred tax relating to change in tax rates</w:t>
            </w:r>
          </w:p>
        </w:tc>
        <w:tc>
          <w:tcPr>
            <w:tcW w:w="1252" w:type="dxa"/>
            <w:gridSpan w:val="2"/>
            <w:shd w:val="clear" w:color="auto" w:fill="E6E6E6"/>
            <w:vAlign w:val="center"/>
          </w:tcPr>
          <w:p w:rsidR="00871692" w:rsidRPr="007A18CB" w:rsidRDefault="00871692" w:rsidP="00533602">
            <w:pPr>
              <w:ind w:right="57"/>
              <w:jc w:val="right"/>
              <w:rPr>
                <w:rFonts w:ascii="Calibri" w:hAnsi="Calibri" w:cs="Calibri"/>
                <w:color w:val="002B45"/>
                <w:lang w:val="en-US"/>
              </w:rPr>
            </w:pPr>
            <w:r w:rsidRPr="007A18CB">
              <w:rPr>
                <w:rFonts w:ascii="Calibri" w:hAnsi="Calibri" w:cs="Calibri"/>
                <w:color w:val="002B45"/>
                <w:lang w:val="en-US"/>
              </w:rPr>
              <w:t xml:space="preserve"> 0.1 </w:t>
            </w:r>
          </w:p>
        </w:tc>
        <w:tc>
          <w:tcPr>
            <w:tcW w:w="1158" w:type="dxa"/>
            <w:vAlign w:val="center"/>
          </w:tcPr>
          <w:p w:rsidR="00871692" w:rsidRPr="007A18CB" w:rsidRDefault="00871692" w:rsidP="00533602">
            <w:pPr>
              <w:ind w:right="57"/>
              <w:jc w:val="right"/>
              <w:rPr>
                <w:rFonts w:ascii="Calibri" w:hAnsi="Calibri" w:cs="Calibri"/>
                <w:color w:val="002B45"/>
                <w:lang w:val="en-US"/>
              </w:rPr>
            </w:pPr>
            <w:r w:rsidRPr="007A18CB">
              <w:rPr>
                <w:rFonts w:ascii="Calibri" w:hAnsi="Calibri" w:cs="Calibri"/>
                <w:color w:val="002B45"/>
                <w:lang w:val="en-US"/>
              </w:rPr>
              <w:t>16.5</w:t>
            </w:r>
          </w:p>
        </w:tc>
      </w:tr>
      <w:tr w:rsidR="00871692" w:rsidRPr="00C44CA2" w:rsidTr="002228A3">
        <w:trPr>
          <w:trHeight w:val="283"/>
        </w:trPr>
        <w:tc>
          <w:tcPr>
            <w:tcW w:w="7088" w:type="dxa"/>
            <w:vAlign w:val="center"/>
          </w:tcPr>
          <w:p w:rsidR="00871692" w:rsidRPr="007A18CB" w:rsidRDefault="00871692" w:rsidP="002228A3">
            <w:pPr>
              <w:jc w:val="left"/>
              <w:rPr>
                <w:rFonts w:ascii="Calibri" w:hAnsi="Calibri" w:cs="Calibri"/>
                <w:color w:val="002B45"/>
                <w:lang w:val="en-US"/>
              </w:rPr>
            </w:pPr>
            <w:r w:rsidRPr="007A18CB">
              <w:rPr>
                <w:rFonts w:ascii="Calibri" w:hAnsi="Calibri" w:cs="Calibri"/>
                <w:color w:val="002B45"/>
                <w:lang w:val="en-US"/>
              </w:rPr>
              <w:t>Income taxed at a different rate</w:t>
            </w:r>
          </w:p>
        </w:tc>
        <w:tc>
          <w:tcPr>
            <w:tcW w:w="1252" w:type="dxa"/>
            <w:gridSpan w:val="2"/>
            <w:shd w:val="clear" w:color="auto" w:fill="E6E6E6"/>
            <w:vAlign w:val="center"/>
          </w:tcPr>
          <w:p w:rsidR="00871692" w:rsidRPr="007A18CB" w:rsidRDefault="00263A06" w:rsidP="001808A9">
            <w:pPr>
              <w:ind w:right="57"/>
              <w:jc w:val="right"/>
              <w:rPr>
                <w:rFonts w:ascii="Calibri" w:hAnsi="Calibri" w:cs="Calibri"/>
                <w:color w:val="002B45"/>
                <w:lang w:val="en-US"/>
              </w:rPr>
            </w:pPr>
            <w:r>
              <w:rPr>
                <w:rFonts w:ascii="Calibri" w:hAnsi="Calibri" w:cs="Calibri"/>
                <w:color w:val="002B45"/>
                <w:lang w:val="en-US"/>
              </w:rPr>
              <w:t>32</w:t>
            </w:r>
            <w:r w:rsidR="00871692" w:rsidRPr="007A18CB">
              <w:rPr>
                <w:rFonts w:ascii="Calibri" w:hAnsi="Calibri" w:cs="Calibri"/>
                <w:color w:val="002B45"/>
                <w:lang w:val="en-US"/>
              </w:rPr>
              <w:t>.5</w:t>
            </w:r>
          </w:p>
        </w:tc>
        <w:tc>
          <w:tcPr>
            <w:tcW w:w="1158" w:type="dxa"/>
            <w:vAlign w:val="center"/>
          </w:tcPr>
          <w:p w:rsidR="00871692" w:rsidRPr="007A18CB" w:rsidRDefault="00871692" w:rsidP="00533602">
            <w:pPr>
              <w:ind w:right="57"/>
              <w:jc w:val="right"/>
              <w:rPr>
                <w:rFonts w:ascii="Calibri" w:hAnsi="Calibri" w:cs="Calibri"/>
                <w:color w:val="002B45"/>
                <w:lang w:val="en-US"/>
              </w:rPr>
            </w:pPr>
            <w:r w:rsidRPr="007A18CB">
              <w:rPr>
                <w:rFonts w:ascii="Calibri" w:hAnsi="Calibri" w:cs="Calibri"/>
                <w:color w:val="002B45"/>
                <w:lang w:val="en-US"/>
              </w:rPr>
              <w:t>161.2</w:t>
            </w:r>
          </w:p>
        </w:tc>
      </w:tr>
      <w:tr w:rsidR="00871692" w:rsidRPr="00C44CA2" w:rsidTr="002228A3">
        <w:trPr>
          <w:trHeight w:val="283"/>
        </w:trPr>
        <w:tc>
          <w:tcPr>
            <w:tcW w:w="7088" w:type="dxa"/>
            <w:vAlign w:val="center"/>
          </w:tcPr>
          <w:p w:rsidR="00871692" w:rsidRPr="007A18CB" w:rsidRDefault="00871692" w:rsidP="002228A3">
            <w:pPr>
              <w:jc w:val="left"/>
              <w:rPr>
                <w:rFonts w:ascii="Calibri" w:hAnsi="Calibri" w:cs="Calibri"/>
                <w:color w:val="002B45"/>
                <w:lang w:val="en-US"/>
              </w:rPr>
            </w:pPr>
            <w:r w:rsidRPr="007A18CB">
              <w:rPr>
                <w:rFonts w:ascii="Calibri" w:hAnsi="Calibri" w:cs="Calibri"/>
                <w:color w:val="002B45"/>
                <w:lang w:val="en-US"/>
              </w:rPr>
              <w:t>Uganda capital gains tax</w:t>
            </w:r>
          </w:p>
        </w:tc>
        <w:tc>
          <w:tcPr>
            <w:tcW w:w="1252" w:type="dxa"/>
            <w:gridSpan w:val="2"/>
            <w:shd w:val="clear" w:color="auto" w:fill="E6E6E6"/>
            <w:vAlign w:val="center"/>
          </w:tcPr>
          <w:p w:rsidR="00871692" w:rsidRPr="007A18CB" w:rsidRDefault="00871692" w:rsidP="00533602">
            <w:pPr>
              <w:ind w:right="57"/>
              <w:jc w:val="right"/>
              <w:rPr>
                <w:rFonts w:ascii="Calibri" w:hAnsi="Calibri" w:cs="Calibri"/>
                <w:color w:val="002B45"/>
                <w:lang w:val="en-US"/>
              </w:rPr>
            </w:pPr>
            <w:r w:rsidRPr="007A18CB">
              <w:rPr>
                <w:rFonts w:ascii="Calibri" w:hAnsi="Calibri" w:cs="Calibri"/>
                <w:color w:val="002B45"/>
                <w:lang w:val="en-US"/>
              </w:rPr>
              <w:t xml:space="preserve"> –   </w:t>
            </w:r>
          </w:p>
        </w:tc>
        <w:tc>
          <w:tcPr>
            <w:tcW w:w="1158" w:type="dxa"/>
            <w:vAlign w:val="center"/>
          </w:tcPr>
          <w:p w:rsidR="00871692" w:rsidRPr="007A18CB" w:rsidRDefault="00871692" w:rsidP="00533602">
            <w:pPr>
              <w:ind w:right="57"/>
              <w:jc w:val="right"/>
              <w:rPr>
                <w:rFonts w:ascii="Calibri" w:hAnsi="Calibri" w:cs="Calibri"/>
                <w:color w:val="002B45"/>
                <w:lang w:val="en-US"/>
              </w:rPr>
            </w:pPr>
            <w:r w:rsidRPr="007A18CB">
              <w:rPr>
                <w:rFonts w:ascii="Calibri" w:hAnsi="Calibri" w:cs="Calibri"/>
                <w:color w:val="002B45"/>
                <w:lang w:val="en-US"/>
              </w:rPr>
              <w:t>(132.6)</w:t>
            </w:r>
          </w:p>
        </w:tc>
      </w:tr>
      <w:tr w:rsidR="00871692" w:rsidRPr="00C44CA2" w:rsidTr="002228A3">
        <w:trPr>
          <w:trHeight w:val="283"/>
        </w:trPr>
        <w:tc>
          <w:tcPr>
            <w:tcW w:w="7088" w:type="dxa"/>
            <w:tcBorders>
              <w:bottom w:val="single" w:sz="4" w:space="0" w:color="999999"/>
            </w:tcBorders>
            <w:vAlign w:val="center"/>
          </w:tcPr>
          <w:p w:rsidR="00871692" w:rsidRPr="007A18CB" w:rsidRDefault="00871692" w:rsidP="002228A3">
            <w:pPr>
              <w:jc w:val="left"/>
              <w:rPr>
                <w:rFonts w:ascii="Calibri" w:hAnsi="Calibri" w:cs="Calibri"/>
                <w:color w:val="002B45"/>
                <w:lang w:val="en-US"/>
              </w:rPr>
            </w:pPr>
            <w:r w:rsidRPr="007A18CB">
              <w:rPr>
                <w:rFonts w:ascii="Calibri" w:hAnsi="Calibri" w:cs="Calibri"/>
                <w:color w:val="002B45"/>
                <w:lang w:val="en-US"/>
              </w:rPr>
              <w:t>Tax incentives for investment</w:t>
            </w:r>
          </w:p>
        </w:tc>
        <w:tc>
          <w:tcPr>
            <w:tcW w:w="1252" w:type="dxa"/>
            <w:gridSpan w:val="2"/>
            <w:tcBorders>
              <w:bottom w:val="single" w:sz="4" w:space="0" w:color="999999"/>
            </w:tcBorders>
            <w:shd w:val="clear" w:color="auto" w:fill="E6E6E6"/>
            <w:vAlign w:val="center"/>
          </w:tcPr>
          <w:p w:rsidR="00871692" w:rsidRPr="007A18CB" w:rsidRDefault="00871692" w:rsidP="00533602">
            <w:pPr>
              <w:ind w:right="57"/>
              <w:jc w:val="right"/>
              <w:rPr>
                <w:rFonts w:ascii="Calibri" w:hAnsi="Calibri" w:cs="Calibri"/>
                <w:color w:val="002B45"/>
                <w:lang w:val="en-US"/>
              </w:rPr>
            </w:pPr>
            <w:r w:rsidRPr="007A18CB">
              <w:rPr>
                <w:rFonts w:ascii="Calibri" w:hAnsi="Calibri" w:cs="Calibri"/>
                <w:color w:val="002B45"/>
                <w:lang w:val="en-US"/>
              </w:rPr>
              <w:t>(23.3)</w:t>
            </w:r>
          </w:p>
        </w:tc>
        <w:tc>
          <w:tcPr>
            <w:tcW w:w="1158" w:type="dxa"/>
            <w:tcBorders>
              <w:bottom w:val="single" w:sz="4" w:space="0" w:color="999999"/>
            </w:tcBorders>
            <w:vAlign w:val="center"/>
          </w:tcPr>
          <w:p w:rsidR="00871692" w:rsidRPr="007A18CB" w:rsidRDefault="00871692" w:rsidP="00263A06">
            <w:pPr>
              <w:ind w:right="57"/>
              <w:jc w:val="right"/>
              <w:rPr>
                <w:rFonts w:ascii="Calibri" w:hAnsi="Calibri" w:cs="Calibri"/>
                <w:color w:val="002B45"/>
                <w:lang w:val="en-US"/>
              </w:rPr>
            </w:pPr>
            <w:r w:rsidRPr="007A18CB">
              <w:rPr>
                <w:rFonts w:ascii="Calibri" w:hAnsi="Calibri" w:cs="Calibri"/>
                <w:color w:val="002B45"/>
                <w:lang w:val="en-US"/>
              </w:rPr>
              <w:t>(</w:t>
            </w:r>
            <w:r w:rsidR="00263A06">
              <w:rPr>
                <w:rFonts w:ascii="Calibri" w:hAnsi="Calibri" w:cs="Calibri"/>
                <w:color w:val="002B45"/>
                <w:lang w:val="en-US"/>
              </w:rPr>
              <w:t>4.4</w:t>
            </w:r>
            <w:r w:rsidRPr="007A18CB">
              <w:rPr>
                <w:rFonts w:ascii="Calibri" w:hAnsi="Calibri" w:cs="Calibri"/>
                <w:color w:val="002B45"/>
                <w:lang w:val="en-US"/>
              </w:rPr>
              <w:t>)</w:t>
            </w:r>
          </w:p>
        </w:tc>
      </w:tr>
      <w:tr w:rsidR="00871692" w:rsidTr="002228A3">
        <w:trPr>
          <w:trHeight w:val="283"/>
        </w:trPr>
        <w:tc>
          <w:tcPr>
            <w:tcW w:w="7088" w:type="dxa"/>
            <w:tcBorders>
              <w:top w:val="single" w:sz="4" w:space="0" w:color="999999"/>
              <w:bottom w:val="single" w:sz="12" w:space="0" w:color="999999"/>
            </w:tcBorders>
            <w:vAlign w:val="center"/>
          </w:tcPr>
          <w:p w:rsidR="00871692" w:rsidRPr="00EB3F35" w:rsidRDefault="00871692" w:rsidP="002228A3">
            <w:pPr>
              <w:pStyle w:val="Tabletext0"/>
              <w:ind w:right="85"/>
              <w:rPr>
                <w:rFonts w:ascii="Calibri" w:hAnsi="Calibri" w:cs="Calibri"/>
                <w:b/>
                <w:color w:val="002B45"/>
              </w:rPr>
            </w:pPr>
            <w:r w:rsidRPr="00EB3F35">
              <w:rPr>
                <w:rFonts w:ascii="Calibri" w:hAnsi="Calibri" w:cs="Calibri"/>
                <w:b/>
                <w:color w:val="002B45"/>
              </w:rPr>
              <w:t>Group total tax expense for the year</w:t>
            </w:r>
          </w:p>
        </w:tc>
        <w:tc>
          <w:tcPr>
            <w:tcW w:w="1252" w:type="dxa"/>
            <w:gridSpan w:val="2"/>
            <w:tcBorders>
              <w:top w:val="single" w:sz="4" w:space="0" w:color="999999"/>
              <w:bottom w:val="single" w:sz="12" w:space="0" w:color="999999"/>
            </w:tcBorders>
            <w:shd w:val="clear" w:color="auto" w:fill="E6E6E6"/>
            <w:vAlign w:val="center"/>
          </w:tcPr>
          <w:p w:rsidR="00871692" w:rsidRPr="007A18CB" w:rsidRDefault="00871692" w:rsidP="00533602">
            <w:pPr>
              <w:ind w:right="57"/>
              <w:jc w:val="right"/>
              <w:rPr>
                <w:rFonts w:ascii="Calibri" w:hAnsi="Calibri" w:cs="Calibri"/>
                <w:color w:val="002B45"/>
                <w:lang w:val="en-US"/>
              </w:rPr>
            </w:pPr>
            <w:r w:rsidRPr="007A18CB">
              <w:rPr>
                <w:rFonts w:ascii="Calibri" w:hAnsi="Calibri" w:cs="Calibri"/>
                <w:color w:val="002B45"/>
                <w:lang w:val="en-US"/>
              </w:rPr>
              <w:t xml:space="preserve"> 97.1 </w:t>
            </w:r>
          </w:p>
        </w:tc>
        <w:tc>
          <w:tcPr>
            <w:tcW w:w="1158" w:type="dxa"/>
            <w:tcBorders>
              <w:top w:val="single" w:sz="4" w:space="0" w:color="999999"/>
              <w:bottom w:val="single" w:sz="12" w:space="0" w:color="999999"/>
            </w:tcBorders>
            <w:vAlign w:val="center"/>
          </w:tcPr>
          <w:p w:rsidR="00871692" w:rsidRPr="007A18CB" w:rsidRDefault="00871692" w:rsidP="00533602">
            <w:pPr>
              <w:ind w:right="57"/>
              <w:jc w:val="right"/>
              <w:rPr>
                <w:rFonts w:ascii="Calibri" w:hAnsi="Calibri" w:cs="Calibri"/>
                <w:color w:val="002B45"/>
                <w:lang w:val="en-US"/>
              </w:rPr>
            </w:pPr>
            <w:r w:rsidRPr="007A18CB">
              <w:rPr>
                <w:rFonts w:ascii="Calibri" w:hAnsi="Calibri" w:cs="Calibri"/>
                <w:color w:val="002B45"/>
                <w:lang w:val="en-US"/>
              </w:rPr>
              <w:t>449.7</w:t>
            </w:r>
          </w:p>
        </w:tc>
      </w:tr>
    </w:tbl>
    <w:p w:rsidR="00871692" w:rsidRPr="009318F0" w:rsidRDefault="00871692" w:rsidP="00871692">
      <w:pPr>
        <w:rPr>
          <w:rFonts w:ascii="Calibri" w:hAnsi="Calibri" w:cs="Calibri"/>
          <w:color w:val="5F5F5F"/>
          <w:lang w:val="en-IE"/>
        </w:rPr>
      </w:pPr>
    </w:p>
    <w:p w:rsidR="00871692" w:rsidRDefault="00871692" w:rsidP="00871692">
      <w:pPr>
        <w:spacing w:line="240" w:lineRule="auto"/>
        <w:jc w:val="left"/>
        <w:rPr>
          <w:rFonts w:ascii="Calibri" w:hAnsi="Calibri" w:cs="Calibri"/>
          <w:color w:val="5F5F5F"/>
          <w:lang w:val="en-IE"/>
        </w:rPr>
      </w:pPr>
      <w:r>
        <w:rPr>
          <w:rFonts w:ascii="Calibri" w:hAnsi="Calibri" w:cs="Calibri"/>
          <w:color w:val="5F5F5F"/>
          <w:lang w:val="en-IE"/>
        </w:rPr>
        <w:br w:type="page"/>
      </w:r>
    </w:p>
    <w:p w:rsidR="00F75FEE" w:rsidRDefault="00F75FEE" w:rsidP="000404E2">
      <w:pPr>
        <w:spacing w:after="120"/>
        <w:rPr>
          <w:rFonts w:ascii="Calibri" w:hAnsi="Calibri" w:cs="Calibri"/>
          <w:color w:val="5F5F5F"/>
          <w:lang w:val="en-IE"/>
        </w:rPr>
      </w:pPr>
      <w:r>
        <w:rPr>
          <w:rStyle w:val="Bold"/>
          <w:rFonts w:ascii="Calibri" w:hAnsi="Calibri" w:cs="Calibri"/>
          <w:b/>
          <w:color w:val="00305C"/>
          <w:sz w:val="22"/>
          <w:szCs w:val="22"/>
        </w:rPr>
        <w:t>7</w:t>
      </w:r>
      <w:r w:rsidRPr="004F290B">
        <w:rPr>
          <w:rStyle w:val="Bold"/>
          <w:rFonts w:ascii="Calibri" w:hAnsi="Calibri" w:cs="Calibri"/>
          <w:b/>
          <w:color w:val="00305C"/>
          <w:sz w:val="22"/>
          <w:szCs w:val="22"/>
        </w:rPr>
        <w:t xml:space="preserve">. </w:t>
      </w:r>
      <w:r>
        <w:rPr>
          <w:rStyle w:val="Bold"/>
          <w:rFonts w:ascii="Calibri" w:hAnsi="Calibri" w:cs="Calibri"/>
          <w:b/>
          <w:color w:val="00305C"/>
          <w:sz w:val="22"/>
          <w:szCs w:val="22"/>
        </w:rPr>
        <w:t>Ta</w:t>
      </w:r>
      <w:r w:rsidR="007E10D2">
        <w:rPr>
          <w:rStyle w:val="Bold"/>
          <w:rFonts w:ascii="Calibri" w:hAnsi="Calibri" w:cs="Calibri"/>
          <w:b/>
          <w:color w:val="00305C"/>
          <w:sz w:val="22"/>
          <w:szCs w:val="22"/>
        </w:rPr>
        <w:t>xation</w:t>
      </w:r>
      <w:r w:rsidRPr="004F290B">
        <w:rPr>
          <w:rStyle w:val="Bold"/>
          <w:rFonts w:ascii="Calibri" w:hAnsi="Calibri" w:cs="Calibri"/>
          <w:b/>
          <w:color w:val="00305C"/>
          <w:sz w:val="22"/>
          <w:szCs w:val="22"/>
        </w:rPr>
        <w:t xml:space="preserve"> </w:t>
      </w:r>
      <w:r>
        <w:rPr>
          <w:rStyle w:val="Bold"/>
          <w:rFonts w:ascii="Calibri" w:hAnsi="Calibri" w:cs="Calibri"/>
          <w:b/>
          <w:color w:val="00305C"/>
          <w:sz w:val="22"/>
          <w:szCs w:val="22"/>
        </w:rPr>
        <w:t xml:space="preserve">on profit on ordinary activities </w:t>
      </w:r>
      <w:r w:rsidRPr="004F290B">
        <w:rPr>
          <w:rStyle w:val="Bold"/>
          <w:rFonts w:ascii="Calibri" w:hAnsi="Calibri" w:cs="Calibri"/>
          <w:b/>
          <w:color w:val="00305C"/>
          <w:sz w:val="22"/>
          <w:szCs w:val="22"/>
        </w:rPr>
        <w:t>contd.</w:t>
      </w:r>
    </w:p>
    <w:p w:rsidR="00871692" w:rsidRPr="007A18CB" w:rsidRDefault="00871692" w:rsidP="000404E2">
      <w:pPr>
        <w:spacing w:after="120"/>
        <w:rPr>
          <w:rFonts w:ascii="Calibri" w:hAnsi="Calibri" w:cs="Calibri"/>
          <w:color w:val="5F5F5F"/>
          <w:lang w:val="en-IE"/>
        </w:rPr>
      </w:pPr>
      <w:r w:rsidRPr="007A18CB">
        <w:rPr>
          <w:rFonts w:ascii="Calibri" w:hAnsi="Calibri" w:cs="Calibri"/>
          <w:color w:val="5F5F5F"/>
          <w:lang w:val="en-IE"/>
        </w:rPr>
        <w:t xml:space="preserve">Following previous reductions in the main rate of UK corporation tax, on 26 March 2012 additional reductions from 26% to 24% effective from 1 April 2012 and from 24% to 23% from 1 April 2013 were substantively enacted. The Finance Act 2013 substantively enacted on 2 July 2013 included legislation reducing the main rate of UK corporation tax from 23% to 21% with effect from 1 April 2014 and a further phased reduction in the mainstream rate to 20% at 1 April 2015. </w:t>
      </w:r>
    </w:p>
    <w:p w:rsidR="00871692" w:rsidRPr="007A18CB" w:rsidRDefault="00871692" w:rsidP="000404E2">
      <w:pPr>
        <w:spacing w:after="120"/>
        <w:rPr>
          <w:rFonts w:ascii="Calibri" w:hAnsi="Calibri" w:cs="Calibri"/>
          <w:color w:val="5F5F5F"/>
          <w:lang w:val="en-IE"/>
        </w:rPr>
      </w:pPr>
      <w:r w:rsidRPr="007A18CB">
        <w:rPr>
          <w:rFonts w:ascii="Calibri" w:hAnsi="Calibri" w:cs="Calibri"/>
          <w:color w:val="5F5F5F"/>
          <w:lang w:val="en-IE"/>
        </w:rPr>
        <w:t>The Group’s profit before taxation will continue to arise in jurisdictions where the effective rate of taxation differs from that in the UK. Furthermore, unsuccessful exploration expenditure is often incurred in jurisdictions where the Group has no taxable profits, such that no related tax benefit arises. Accordingly, the Group’s tax charge will continue to vary according to the jurisdictions in which pre-tax profits and exploration costs written off arise.</w:t>
      </w:r>
    </w:p>
    <w:p w:rsidR="00871692" w:rsidRPr="007A18CB" w:rsidRDefault="00871692" w:rsidP="000404E2">
      <w:pPr>
        <w:spacing w:after="120"/>
        <w:rPr>
          <w:rFonts w:ascii="Calibri" w:hAnsi="Calibri" w:cs="Calibri"/>
          <w:color w:val="5F5F5F"/>
          <w:lang w:val="en-IE"/>
        </w:rPr>
      </w:pPr>
      <w:r w:rsidRPr="007A18CB">
        <w:rPr>
          <w:rFonts w:ascii="Calibri" w:hAnsi="Calibri" w:cs="Calibri"/>
          <w:color w:val="5F5F5F"/>
          <w:lang w:val="en-IE"/>
        </w:rPr>
        <w:t>The Group has tax losses of $</w:t>
      </w:r>
      <w:r w:rsidR="00263A06">
        <w:rPr>
          <w:rFonts w:ascii="Calibri" w:hAnsi="Calibri" w:cs="Calibri"/>
          <w:color w:val="5F5F5F"/>
          <w:lang w:val="en-IE"/>
        </w:rPr>
        <w:t>1,783.0</w:t>
      </w:r>
      <w:r w:rsidRPr="007A18CB">
        <w:rPr>
          <w:rFonts w:ascii="Calibri" w:hAnsi="Calibri" w:cs="Calibri"/>
          <w:color w:val="5F5F5F"/>
          <w:lang w:val="en-IE"/>
        </w:rPr>
        <w:t xml:space="preserve"> million (2012: $1,724.7 million) that are available for offset against future taxable profits in the companies in which the losses arose. Deferred tax assets have not been recognised in respect of these losses as they may not be used to offset taxable profits elsewhere in the Group. The Group has recognised $52.0 million in deferred tax assets in relation to taxable losses (2012: $49.4 million); this is disclosed net of a deferred tax liability in respect of capitalised interest.</w:t>
      </w:r>
    </w:p>
    <w:p w:rsidR="00871692" w:rsidRPr="007A18CB" w:rsidRDefault="00871692" w:rsidP="000404E2">
      <w:pPr>
        <w:spacing w:after="120"/>
        <w:rPr>
          <w:rFonts w:ascii="Calibri" w:hAnsi="Calibri" w:cs="Calibri"/>
          <w:color w:val="5F5F5F"/>
          <w:lang w:val="en-IE"/>
        </w:rPr>
      </w:pPr>
      <w:r w:rsidRPr="007A18CB">
        <w:rPr>
          <w:rFonts w:ascii="Calibri" w:hAnsi="Calibri" w:cs="Calibri"/>
          <w:color w:val="5F5F5F"/>
          <w:lang w:val="en-IE"/>
        </w:rPr>
        <w:t xml:space="preserve">No deferred tax liability is recognised on temporary differences of $24.5 million (2012: $30 million) relating to unremitted earnings of overseas subsidiaries as the Group is able to control the timing of the reversal of these temporary differences and it is probable that they will not reverse in the foreseeable future. </w:t>
      </w:r>
    </w:p>
    <w:p w:rsidR="00871692" w:rsidRPr="007A18CB" w:rsidRDefault="00871692" w:rsidP="000404E2">
      <w:pPr>
        <w:spacing w:after="120"/>
        <w:rPr>
          <w:rFonts w:ascii="Calibri" w:hAnsi="Calibri" w:cs="Calibri"/>
          <w:color w:val="5F5F5F"/>
          <w:lang w:val="en-IE"/>
        </w:rPr>
      </w:pPr>
      <w:r w:rsidRPr="007A18CB">
        <w:rPr>
          <w:rFonts w:ascii="Calibri" w:hAnsi="Calibri" w:cs="Calibri"/>
          <w:color w:val="5F5F5F"/>
          <w:lang w:val="en-IE"/>
        </w:rPr>
        <w:t>Current tax assets</w:t>
      </w:r>
    </w:p>
    <w:p w:rsidR="00871692" w:rsidRPr="00000E0B" w:rsidRDefault="00871692" w:rsidP="00871692">
      <w:pPr>
        <w:rPr>
          <w:rFonts w:ascii="Calibri" w:hAnsi="Calibri" w:cs="Calibri"/>
          <w:color w:val="5F5F5F"/>
          <w:lang w:val="en-IE"/>
        </w:rPr>
      </w:pPr>
      <w:r w:rsidRPr="007A18CB">
        <w:rPr>
          <w:rFonts w:ascii="Calibri" w:hAnsi="Calibri" w:cs="Calibri"/>
          <w:color w:val="5F5F5F"/>
          <w:lang w:val="en-IE"/>
        </w:rPr>
        <w:t>As at 31 December 2013 current tax assets were $226.</w:t>
      </w:r>
      <w:r w:rsidR="001808A9">
        <w:rPr>
          <w:rFonts w:ascii="Calibri" w:hAnsi="Calibri" w:cs="Calibri"/>
          <w:color w:val="5F5F5F"/>
          <w:lang w:val="en-IE"/>
        </w:rPr>
        <w:t>2</w:t>
      </w:r>
      <w:r w:rsidRPr="007A18CB">
        <w:rPr>
          <w:rFonts w:ascii="Calibri" w:hAnsi="Calibri" w:cs="Calibri"/>
          <w:color w:val="5F5F5F"/>
          <w:lang w:val="en-IE"/>
        </w:rPr>
        <w:t xml:space="preserve"> million (2012: $28.6 million) of which $203.0 million relates to Norway where 78% of exploration expenditure is refunded as a tax refund in the following year.</w:t>
      </w:r>
    </w:p>
    <w:p w:rsidR="00871692" w:rsidRPr="000404E2" w:rsidRDefault="00871692" w:rsidP="000404E2">
      <w:pPr>
        <w:numPr>
          <w:ilvl w:val="0"/>
          <w:numId w:val="6"/>
        </w:numPr>
        <w:spacing w:before="240" w:after="40"/>
        <w:ind w:left="0" w:firstLine="0"/>
        <w:rPr>
          <w:rFonts w:ascii="Calibri" w:hAnsi="Calibri" w:cs="Calibri"/>
          <w:b/>
          <w:color w:val="00305C"/>
          <w:sz w:val="22"/>
          <w:szCs w:val="22"/>
          <w:lang w:val="en-US"/>
        </w:rPr>
      </w:pPr>
      <w:r w:rsidRPr="000404E2">
        <w:rPr>
          <w:rFonts w:ascii="Calibri" w:hAnsi="Calibri" w:cs="Calibri"/>
          <w:b/>
          <w:color w:val="00305C"/>
          <w:sz w:val="22"/>
          <w:szCs w:val="22"/>
          <w:lang w:val="en-US"/>
        </w:rPr>
        <w:t>Acquisitions</w:t>
      </w:r>
    </w:p>
    <w:p w:rsidR="00871692" w:rsidRPr="006064CF" w:rsidRDefault="00871692" w:rsidP="00871692">
      <w:pPr>
        <w:spacing w:after="240"/>
        <w:rPr>
          <w:rFonts w:ascii="Calibri" w:hAnsi="Calibri" w:cs="Calibri"/>
          <w:color w:val="5F5F5F"/>
          <w:lang w:val="en-IE"/>
        </w:rPr>
      </w:pPr>
      <w:r w:rsidRPr="007A18CB">
        <w:rPr>
          <w:rFonts w:ascii="Calibri" w:hAnsi="Calibri" w:cs="Calibri"/>
          <w:color w:val="5F5F5F"/>
          <w:lang w:val="en-IE"/>
        </w:rPr>
        <w:t xml:space="preserve">On 11 December 2012 Tullow announced that it had acquired 100% of the ordinary share capital of Spring Energy Norway AS (“Spring”). The acquisition of Spring added a portfolio of 28 offshore licences across Norway’s continental shelf in the North, Norwegian and Barents Seas. The acquisition enables the Group to rapidly build a strong platform for future </w:t>
      </w:r>
      <w:r w:rsidR="0054674E">
        <w:rPr>
          <w:rFonts w:ascii="Calibri" w:hAnsi="Calibri" w:cs="Calibri"/>
          <w:color w:val="5F5F5F"/>
          <w:lang w:val="en-IE"/>
        </w:rPr>
        <w:t>g</w:t>
      </w:r>
      <w:r w:rsidRPr="007A18CB">
        <w:rPr>
          <w:rFonts w:ascii="Calibri" w:hAnsi="Calibri" w:cs="Calibri"/>
          <w:color w:val="5F5F5F"/>
          <w:lang w:val="en-IE"/>
        </w:rPr>
        <w:t>rowth in Norway. The transaction had an effective date of 1 September 2012 but completed on 22 January 2013 and this is therefore the acquisition date</w:t>
      </w:r>
      <w:r w:rsidRPr="00865BE0">
        <w:rPr>
          <w:rFonts w:ascii="Calibri" w:hAnsi="Calibri" w:cs="Calibri"/>
          <w:color w:val="5F5F5F"/>
          <w:lang w:val="en-IE"/>
        </w:rPr>
        <w:t>.</w:t>
      </w:r>
    </w:p>
    <w:tbl>
      <w:tblPr>
        <w:tblW w:w="9498" w:type="dxa"/>
        <w:tblLayout w:type="fixed"/>
        <w:tblCellMar>
          <w:left w:w="0" w:type="dxa"/>
          <w:right w:w="57" w:type="dxa"/>
        </w:tblCellMar>
        <w:tblLook w:val="00A0" w:firstRow="1" w:lastRow="0" w:firstColumn="1" w:lastColumn="0" w:noHBand="0" w:noVBand="0"/>
      </w:tblPr>
      <w:tblGrid>
        <w:gridCol w:w="8080"/>
        <w:gridCol w:w="1418"/>
      </w:tblGrid>
      <w:tr w:rsidR="00871692" w:rsidRPr="00E76D01" w:rsidTr="000404E2">
        <w:tc>
          <w:tcPr>
            <w:tcW w:w="8080" w:type="dxa"/>
            <w:tcBorders>
              <w:bottom w:val="single" w:sz="12" w:space="0" w:color="999999"/>
            </w:tcBorders>
            <w:shd w:val="clear" w:color="auto" w:fill="auto"/>
            <w:tcMar>
              <w:left w:w="0" w:type="dxa"/>
              <w:right w:w="0" w:type="dxa"/>
            </w:tcMar>
            <w:vAlign w:val="center"/>
          </w:tcPr>
          <w:p w:rsidR="00871692" w:rsidRPr="000404E2" w:rsidRDefault="00871692" w:rsidP="000404E2">
            <w:pPr>
              <w:pStyle w:val="Tabletext0"/>
              <w:jc w:val="right"/>
              <w:rPr>
                <w:sz w:val="20"/>
                <w:szCs w:val="20"/>
              </w:rPr>
            </w:pPr>
          </w:p>
        </w:tc>
        <w:tc>
          <w:tcPr>
            <w:tcW w:w="1418" w:type="dxa"/>
            <w:tcBorders>
              <w:bottom w:val="single" w:sz="12" w:space="0" w:color="999999"/>
            </w:tcBorders>
            <w:vAlign w:val="center"/>
          </w:tcPr>
          <w:p w:rsidR="00871692" w:rsidRPr="000404E2" w:rsidRDefault="00871692" w:rsidP="000404E2">
            <w:pPr>
              <w:spacing w:line="180" w:lineRule="exact"/>
              <w:ind w:right="57"/>
              <w:jc w:val="right"/>
              <w:rPr>
                <w:rStyle w:val="Bold"/>
                <w:rFonts w:ascii="Calibri" w:hAnsi="Calibri" w:cs="Calibri"/>
                <w:b/>
                <w:color w:val="002B45"/>
                <w:sz w:val="20"/>
                <w:szCs w:val="20"/>
              </w:rPr>
            </w:pPr>
            <w:r w:rsidRPr="000404E2">
              <w:rPr>
                <w:rStyle w:val="Bold"/>
                <w:rFonts w:ascii="Calibri" w:hAnsi="Calibri" w:cs="Calibri"/>
                <w:b/>
                <w:color w:val="002B45"/>
                <w:sz w:val="20"/>
                <w:szCs w:val="20"/>
              </w:rPr>
              <w:t>Final fair value</w:t>
            </w:r>
            <w:r w:rsidRPr="000404E2">
              <w:rPr>
                <w:rStyle w:val="Bold"/>
                <w:rFonts w:ascii="Calibri" w:hAnsi="Calibri" w:cs="Calibri"/>
                <w:b/>
                <w:color w:val="002B45"/>
                <w:sz w:val="20"/>
                <w:szCs w:val="20"/>
              </w:rPr>
              <w:br/>
              <w:t>$m</w:t>
            </w:r>
          </w:p>
        </w:tc>
      </w:tr>
      <w:tr w:rsidR="00871692" w:rsidRPr="00C44CA2" w:rsidTr="000404E2">
        <w:trPr>
          <w:trHeight w:val="283"/>
        </w:trPr>
        <w:tc>
          <w:tcPr>
            <w:tcW w:w="8080" w:type="dxa"/>
            <w:tcBorders>
              <w:top w:val="single" w:sz="12" w:space="0" w:color="999999"/>
            </w:tcBorders>
            <w:tcMar>
              <w:left w:w="0" w:type="dxa"/>
              <w:right w:w="0" w:type="dxa"/>
            </w:tcMar>
            <w:vAlign w:val="center"/>
          </w:tcPr>
          <w:p w:rsidR="00871692" w:rsidRPr="00EB3F35" w:rsidRDefault="00871692" w:rsidP="000404E2">
            <w:pPr>
              <w:jc w:val="left"/>
              <w:rPr>
                <w:rFonts w:ascii="Calibri" w:hAnsi="Calibri" w:cs="Calibri"/>
                <w:color w:val="002B45"/>
                <w:lang w:val="en-US"/>
              </w:rPr>
            </w:pPr>
            <w:r w:rsidRPr="00EB3F35">
              <w:rPr>
                <w:rFonts w:ascii="Calibri" w:hAnsi="Calibri" w:cs="Calibri"/>
                <w:color w:val="002B45"/>
                <w:lang w:val="en-US"/>
              </w:rPr>
              <w:t xml:space="preserve">Goodwill </w:t>
            </w:r>
          </w:p>
        </w:tc>
        <w:tc>
          <w:tcPr>
            <w:tcW w:w="1418" w:type="dxa"/>
            <w:tcBorders>
              <w:top w:val="single" w:sz="12" w:space="0" w:color="999999"/>
            </w:tcBorders>
            <w:shd w:val="clear" w:color="auto" w:fill="E6E6E6"/>
            <w:vAlign w:val="center"/>
          </w:tcPr>
          <w:p w:rsidR="00871692" w:rsidRPr="00EB3F35" w:rsidRDefault="00871692" w:rsidP="000404E2">
            <w:pPr>
              <w:ind w:right="57"/>
              <w:jc w:val="right"/>
              <w:rPr>
                <w:rFonts w:ascii="Calibri" w:hAnsi="Calibri" w:cs="Calibri"/>
                <w:color w:val="002B45"/>
                <w:lang w:val="en-US"/>
              </w:rPr>
            </w:pPr>
            <w:r w:rsidRPr="00EB3F35">
              <w:rPr>
                <w:rFonts w:ascii="Calibri" w:hAnsi="Calibri" w:cs="Calibri"/>
                <w:color w:val="002B45"/>
                <w:lang w:val="en-US"/>
              </w:rPr>
              <w:t>350.5</w:t>
            </w:r>
          </w:p>
        </w:tc>
      </w:tr>
      <w:tr w:rsidR="00871692" w:rsidRPr="00C44CA2" w:rsidTr="000404E2">
        <w:trPr>
          <w:trHeight w:val="283"/>
        </w:trPr>
        <w:tc>
          <w:tcPr>
            <w:tcW w:w="8080" w:type="dxa"/>
            <w:tcMar>
              <w:left w:w="0" w:type="dxa"/>
              <w:right w:w="0" w:type="dxa"/>
            </w:tcMar>
            <w:vAlign w:val="center"/>
          </w:tcPr>
          <w:p w:rsidR="00871692" w:rsidRPr="00EB3F35" w:rsidRDefault="00871692" w:rsidP="000404E2">
            <w:pPr>
              <w:jc w:val="left"/>
              <w:rPr>
                <w:rFonts w:ascii="Calibri" w:hAnsi="Calibri" w:cs="Calibri"/>
                <w:color w:val="002B45"/>
                <w:lang w:val="en-US"/>
              </w:rPr>
            </w:pPr>
            <w:r w:rsidRPr="00EB3F35">
              <w:rPr>
                <w:rFonts w:ascii="Calibri" w:hAnsi="Calibri" w:cs="Calibri"/>
                <w:color w:val="002B45"/>
                <w:lang w:val="en-US"/>
              </w:rPr>
              <w:t>Intangible exploration and appraisal assets</w:t>
            </w:r>
          </w:p>
        </w:tc>
        <w:tc>
          <w:tcPr>
            <w:tcW w:w="1418" w:type="dxa"/>
            <w:shd w:val="clear" w:color="auto" w:fill="E6E6E6"/>
            <w:vAlign w:val="center"/>
          </w:tcPr>
          <w:p w:rsidR="00871692" w:rsidRPr="00EB3F35" w:rsidRDefault="00871692" w:rsidP="000404E2">
            <w:pPr>
              <w:ind w:right="57"/>
              <w:jc w:val="right"/>
              <w:rPr>
                <w:rFonts w:ascii="Calibri" w:hAnsi="Calibri" w:cs="Calibri"/>
                <w:color w:val="002B45"/>
                <w:lang w:val="en-US"/>
              </w:rPr>
            </w:pPr>
            <w:r w:rsidRPr="00EB3F35">
              <w:rPr>
                <w:rFonts w:ascii="Calibri" w:hAnsi="Calibri" w:cs="Calibri"/>
                <w:color w:val="002B45"/>
                <w:lang w:val="en-US"/>
              </w:rPr>
              <w:t xml:space="preserve"> 593.3 </w:t>
            </w:r>
          </w:p>
        </w:tc>
      </w:tr>
      <w:tr w:rsidR="00871692" w:rsidRPr="00C44CA2" w:rsidTr="000404E2">
        <w:trPr>
          <w:trHeight w:val="283"/>
        </w:trPr>
        <w:tc>
          <w:tcPr>
            <w:tcW w:w="8080" w:type="dxa"/>
            <w:tcMar>
              <w:left w:w="0" w:type="dxa"/>
              <w:right w:w="0" w:type="dxa"/>
            </w:tcMar>
            <w:vAlign w:val="center"/>
          </w:tcPr>
          <w:p w:rsidR="00871692" w:rsidRPr="00EB3F35" w:rsidRDefault="00871692" w:rsidP="000404E2">
            <w:pPr>
              <w:jc w:val="left"/>
              <w:rPr>
                <w:rFonts w:ascii="Calibri" w:hAnsi="Calibri" w:cs="Calibri"/>
                <w:color w:val="002B45"/>
                <w:lang w:val="en-US"/>
              </w:rPr>
            </w:pPr>
            <w:r w:rsidRPr="00EB3F35">
              <w:rPr>
                <w:rFonts w:ascii="Calibri" w:hAnsi="Calibri" w:cs="Calibri"/>
                <w:color w:val="002B45"/>
                <w:lang w:val="en-US"/>
              </w:rPr>
              <w:t>Property, plant and equipment</w:t>
            </w:r>
          </w:p>
        </w:tc>
        <w:tc>
          <w:tcPr>
            <w:tcW w:w="1418" w:type="dxa"/>
            <w:shd w:val="clear" w:color="auto" w:fill="E6E6E6"/>
            <w:vAlign w:val="center"/>
          </w:tcPr>
          <w:p w:rsidR="00871692" w:rsidRPr="00EB3F35" w:rsidRDefault="00871692" w:rsidP="000404E2">
            <w:pPr>
              <w:ind w:right="57"/>
              <w:jc w:val="right"/>
              <w:rPr>
                <w:rFonts w:ascii="Calibri" w:hAnsi="Calibri" w:cs="Calibri"/>
                <w:color w:val="002B45"/>
                <w:lang w:val="en-US"/>
              </w:rPr>
            </w:pPr>
            <w:r w:rsidRPr="00EB3F35">
              <w:rPr>
                <w:rFonts w:ascii="Calibri" w:hAnsi="Calibri" w:cs="Calibri"/>
                <w:color w:val="002B45"/>
                <w:lang w:val="en-US"/>
              </w:rPr>
              <w:t xml:space="preserve"> 0.6 </w:t>
            </w:r>
          </w:p>
        </w:tc>
      </w:tr>
      <w:tr w:rsidR="00871692" w:rsidRPr="00C44CA2" w:rsidTr="000404E2">
        <w:trPr>
          <w:trHeight w:val="283"/>
        </w:trPr>
        <w:tc>
          <w:tcPr>
            <w:tcW w:w="8080" w:type="dxa"/>
            <w:tcMar>
              <w:left w:w="0" w:type="dxa"/>
              <w:right w:w="0" w:type="dxa"/>
            </w:tcMar>
            <w:vAlign w:val="center"/>
          </w:tcPr>
          <w:p w:rsidR="00871692" w:rsidRPr="00EB3F35" w:rsidRDefault="00871692" w:rsidP="000404E2">
            <w:pPr>
              <w:jc w:val="left"/>
              <w:rPr>
                <w:rFonts w:ascii="Calibri" w:hAnsi="Calibri" w:cs="Calibri"/>
                <w:color w:val="002B45"/>
                <w:lang w:val="en-US"/>
              </w:rPr>
            </w:pPr>
            <w:r w:rsidRPr="00EB3F35">
              <w:rPr>
                <w:rFonts w:ascii="Calibri" w:hAnsi="Calibri" w:cs="Calibri"/>
                <w:color w:val="002B45"/>
                <w:lang w:val="en-US"/>
              </w:rPr>
              <w:t>Other non-current assets</w:t>
            </w:r>
          </w:p>
        </w:tc>
        <w:tc>
          <w:tcPr>
            <w:tcW w:w="1418" w:type="dxa"/>
            <w:shd w:val="clear" w:color="auto" w:fill="E6E6E6"/>
            <w:vAlign w:val="center"/>
          </w:tcPr>
          <w:p w:rsidR="00871692" w:rsidRPr="00EB3F35" w:rsidRDefault="00871692" w:rsidP="000404E2">
            <w:pPr>
              <w:ind w:right="57"/>
              <w:jc w:val="right"/>
              <w:rPr>
                <w:rFonts w:ascii="Calibri" w:hAnsi="Calibri" w:cs="Calibri"/>
                <w:color w:val="002B45"/>
                <w:lang w:val="en-US"/>
              </w:rPr>
            </w:pPr>
            <w:r w:rsidRPr="00EB3F35">
              <w:rPr>
                <w:rFonts w:ascii="Calibri" w:hAnsi="Calibri" w:cs="Calibri"/>
                <w:color w:val="002B45"/>
                <w:lang w:val="en-US"/>
              </w:rPr>
              <w:t xml:space="preserve"> 26.2 </w:t>
            </w:r>
          </w:p>
        </w:tc>
      </w:tr>
      <w:tr w:rsidR="00871692" w:rsidRPr="00C44CA2" w:rsidTr="000404E2">
        <w:trPr>
          <w:trHeight w:val="283"/>
        </w:trPr>
        <w:tc>
          <w:tcPr>
            <w:tcW w:w="8080" w:type="dxa"/>
            <w:tcMar>
              <w:left w:w="0" w:type="dxa"/>
              <w:right w:w="0" w:type="dxa"/>
            </w:tcMar>
            <w:vAlign w:val="center"/>
          </w:tcPr>
          <w:p w:rsidR="00871692" w:rsidRPr="00EB3F35" w:rsidRDefault="00871692" w:rsidP="000404E2">
            <w:pPr>
              <w:jc w:val="left"/>
              <w:rPr>
                <w:rFonts w:ascii="Calibri" w:hAnsi="Calibri" w:cs="Calibri"/>
                <w:color w:val="002B45"/>
                <w:lang w:val="en-US"/>
              </w:rPr>
            </w:pPr>
            <w:r w:rsidRPr="00EB3F35">
              <w:rPr>
                <w:rFonts w:ascii="Calibri" w:hAnsi="Calibri" w:cs="Calibri"/>
                <w:color w:val="002B45"/>
                <w:lang w:val="en-US"/>
              </w:rPr>
              <w:t>Inventory</w:t>
            </w:r>
          </w:p>
        </w:tc>
        <w:tc>
          <w:tcPr>
            <w:tcW w:w="1418" w:type="dxa"/>
            <w:shd w:val="clear" w:color="auto" w:fill="E6E6E6"/>
            <w:vAlign w:val="center"/>
          </w:tcPr>
          <w:p w:rsidR="00871692" w:rsidRPr="00EB3F35" w:rsidRDefault="00871692" w:rsidP="000404E2">
            <w:pPr>
              <w:ind w:right="57"/>
              <w:jc w:val="right"/>
              <w:rPr>
                <w:rFonts w:ascii="Calibri" w:hAnsi="Calibri" w:cs="Calibri"/>
                <w:color w:val="002B45"/>
                <w:lang w:val="en-US"/>
              </w:rPr>
            </w:pPr>
            <w:r w:rsidRPr="00EB3F35">
              <w:rPr>
                <w:rFonts w:ascii="Calibri" w:hAnsi="Calibri" w:cs="Calibri"/>
                <w:color w:val="002B45"/>
                <w:lang w:val="en-US"/>
              </w:rPr>
              <w:t xml:space="preserve"> 0.8 </w:t>
            </w:r>
          </w:p>
        </w:tc>
      </w:tr>
      <w:tr w:rsidR="00871692" w:rsidRPr="00C44CA2" w:rsidTr="000404E2">
        <w:trPr>
          <w:trHeight w:val="283"/>
        </w:trPr>
        <w:tc>
          <w:tcPr>
            <w:tcW w:w="8080" w:type="dxa"/>
            <w:tcMar>
              <w:left w:w="0" w:type="dxa"/>
              <w:right w:w="0" w:type="dxa"/>
            </w:tcMar>
            <w:vAlign w:val="center"/>
          </w:tcPr>
          <w:p w:rsidR="00871692" w:rsidRPr="00EB3F35" w:rsidRDefault="00871692" w:rsidP="000404E2">
            <w:pPr>
              <w:jc w:val="left"/>
              <w:rPr>
                <w:rFonts w:ascii="Calibri" w:hAnsi="Calibri" w:cs="Calibri"/>
                <w:color w:val="002B45"/>
                <w:lang w:val="en-US"/>
              </w:rPr>
            </w:pPr>
            <w:r w:rsidRPr="00EB3F35">
              <w:rPr>
                <w:rFonts w:ascii="Calibri" w:hAnsi="Calibri" w:cs="Calibri"/>
                <w:color w:val="002B45"/>
                <w:lang w:val="en-US"/>
              </w:rPr>
              <w:t>Trade receivables</w:t>
            </w:r>
          </w:p>
        </w:tc>
        <w:tc>
          <w:tcPr>
            <w:tcW w:w="1418" w:type="dxa"/>
            <w:shd w:val="clear" w:color="auto" w:fill="E6E6E6"/>
            <w:vAlign w:val="center"/>
          </w:tcPr>
          <w:p w:rsidR="00871692" w:rsidRPr="00EB3F35" w:rsidRDefault="00871692" w:rsidP="000404E2">
            <w:pPr>
              <w:ind w:right="57"/>
              <w:jc w:val="right"/>
              <w:rPr>
                <w:rFonts w:ascii="Calibri" w:hAnsi="Calibri" w:cs="Calibri"/>
                <w:color w:val="002B45"/>
                <w:lang w:val="en-US"/>
              </w:rPr>
            </w:pPr>
            <w:r w:rsidRPr="00EB3F35">
              <w:rPr>
                <w:rFonts w:ascii="Calibri" w:hAnsi="Calibri" w:cs="Calibri"/>
                <w:color w:val="002B45"/>
                <w:lang w:val="en-US"/>
              </w:rPr>
              <w:t xml:space="preserve"> 4.1 </w:t>
            </w:r>
          </w:p>
        </w:tc>
      </w:tr>
      <w:tr w:rsidR="00871692" w:rsidRPr="00C44CA2" w:rsidTr="000404E2">
        <w:trPr>
          <w:trHeight w:val="283"/>
        </w:trPr>
        <w:tc>
          <w:tcPr>
            <w:tcW w:w="8080" w:type="dxa"/>
            <w:tcMar>
              <w:left w:w="0" w:type="dxa"/>
              <w:right w:w="0" w:type="dxa"/>
            </w:tcMar>
            <w:vAlign w:val="center"/>
          </w:tcPr>
          <w:p w:rsidR="00871692" w:rsidRPr="00EB3F35" w:rsidRDefault="00871692" w:rsidP="000404E2">
            <w:pPr>
              <w:jc w:val="left"/>
              <w:rPr>
                <w:rFonts w:ascii="Calibri" w:hAnsi="Calibri" w:cs="Calibri"/>
                <w:color w:val="002B45"/>
                <w:lang w:val="en-US"/>
              </w:rPr>
            </w:pPr>
            <w:r w:rsidRPr="00EB3F35">
              <w:rPr>
                <w:rFonts w:ascii="Calibri" w:hAnsi="Calibri" w:cs="Calibri"/>
                <w:color w:val="002B45"/>
                <w:lang w:val="en-US"/>
              </w:rPr>
              <w:t>Other current assets</w:t>
            </w:r>
          </w:p>
        </w:tc>
        <w:tc>
          <w:tcPr>
            <w:tcW w:w="1418" w:type="dxa"/>
            <w:shd w:val="clear" w:color="auto" w:fill="E6E6E6"/>
            <w:vAlign w:val="center"/>
          </w:tcPr>
          <w:p w:rsidR="00871692" w:rsidRPr="00EB3F35" w:rsidRDefault="00871692" w:rsidP="000404E2">
            <w:pPr>
              <w:ind w:right="57"/>
              <w:jc w:val="right"/>
              <w:rPr>
                <w:rFonts w:ascii="Calibri" w:hAnsi="Calibri" w:cs="Calibri"/>
                <w:color w:val="002B45"/>
                <w:lang w:val="en-US"/>
              </w:rPr>
            </w:pPr>
            <w:r w:rsidRPr="00EB3F35">
              <w:rPr>
                <w:rFonts w:ascii="Calibri" w:hAnsi="Calibri" w:cs="Calibri"/>
                <w:color w:val="002B45"/>
                <w:lang w:val="en-US"/>
              </w:rPr>
              <w:t xml:space="preserve"> 30.4 </w:t>
            </w:r>
          </w:p>
        </w:tc>
      </w:tr>
      <w:tr w:rsidR="00871692" w:rsidRPr="00C44CA2" w:rsidTr="000404E2">
        <w:trPr>
          <w:trHeight w:val="283"/>
        </w:trPr>
        <w:tc>
          <w:tcPr>
            <w:tcW w:w="8080" w:type="dxa"/>
            <w:tcMar>
              <w:left w:w="0" w:type="dxa"/>
              <w:right w:w="0" w:type="dxa"/>
            </w:tcMar>
            <w:vAlign w:val="center"/>
          </w:tcPr>
          <w:p w:rsidR="00871692" w:rsidRPr="00EB3F35" w:rsidRDefault="00871692" w:rsidP="000404E2">
            <w:pPr>
              <w:jc w:val="left"/>
              <w:rPr>
                <w:rFonts w:ascii="Calibri" w:hAnsi="Calibri" w:cs="Calibri"/>
                <w:color w:val="002B45"/>
                <w:lang w:val="en-US"/>
              </w:rPr>
            </w:pPr>
            <w:r w:rsidRPr="00EB3F35">
              <w:rPr>
                <w:rFonts w:ascii="Calibri" w:hAnsi="Calibri" w:cs="Calibri"/>
                <w:color w:val="002B45"/>
                <w:lang w:val="en-US"/>
              </w:rPr>
              <w:t>Current tax assets</w:t>
            </w:r>
          </w:p>
        </w:tc>
        <w:tc>
          <w:tcPr>
            <w:tcW w:w="1418" w:type="dxa"/>
            <w:shd w:val="clear" w:color="auto" w:fill="E6E6E6"/>
            <w:vAlign w:val="center"/>
          </w:tcPr>
          <w:p w:rsidR="00871692" w:rsidRPr="00EB3F35" w:rsidRDefault="00871692" w:rsidP="000404E2">
            <w:pPr>
              <w:ind w:right="57"/>
              <w:jc w:val="right"/>
              <w:rPr>
                <w:rFonts w:ascii="Calibri" w:hAnsi="Calibri" w:cs="Calibri"/>
                <w:color w:val="002B45"/>
                <w:lang w:val="en-US"/>
              </w:rPr>
            </w:pPr>
            <w:r w:rsidRPr="00EB3F35">
              <w:rPr>
                <w:rFonts w:ascii="Calibri" w:hAnsi="Calibri" w:cs="Calibri"/>
                <w:color w:val="002B45"/>
                <w:lang w:val="en-US"/>
              </w:rPr>
              <w:t xml:space="preserve"> 90.7 </w:t>
            </w:r>
          </w:p>
        </w:tc>
      </w:tr>
      <w:tr w:rsidR="00871692" w:rsidRPr="00C44CA2" w:rsidTr="000404E2">
        <w:trPr>
          <w:trHeight w:val="283"/>
        </w:trPr>
        <w:tc>
          <w:tcPr>
            <w:tcW w:w="8080" w:type="dxa"/>
            <w:tcMar>
              <w:left w:w="0" w:type="dxa"/>
              <w:right w:w="0" w:type="dxa"/>
            </w:tcMar>
            <w:vAlign w:val="center"/>
          </w:tcPr>
          <w:p w:rsidR="00871692" w:rsidRPr="00EB3F35" w:rsidRDefault="00871692" w:rsidP="000404E2">
            <w:pPr>
              <w:jc w:val="left"/>
              <w:rPr>
                <w:rFonts w:ascii="Calibri" w:hAnsi="Calibri" w:cs="Calibri"/>
                <w:color w:val="002B45"/>
                <w:lang w:val="en-US"/>
              </w:rPr>
            </w:pPr>
            <w:r w:rsidRPr="00EB3F35">
              <w:rPr>
                <w:rFonts w:ascii="Calibri" w:hAnsi="Calibri" w:cs="Calibri"/>
                <w:color w:val="002B45"/>
                <w:lang w:val="en-US"/>
              </w:rPr>
              <w:t>Cash and cash equivalents</w:t>
            </w:r>
          </w:p>
        </w:tc>
        <w:tc>
          <w:tcPr>
            <w:tcW w:w="1418" w:type="dxa"/>
            <w:shd w:val="clear" w:color="auto" w:fill="E6E6E6"/>
            <w:vAlign w:val="center"/>
          </w:tcPr>
          <w:p w:rsidR="00871692" w:rsidRPr="00EB3F35" w:rsidRDefault="00871692" w:rsidP="000404E2">
            <w:pPr>
              <w:ind w:right="57"/>
              <w:jc w:val="right"/>
              <w:rPr>
                <w:rFonts w:ascii="Calibri" w:hAnsi="Calibri" w:cs="Calibri"/>
                <w:color w:val="002B45"/>
                <w:lang w:val="en-US"/>
              </w:rPr>
            </w:pPr>
            <w:r w:rsidRPr="00EB3F35">
              <w:rPr>
                <w:rFonts w:ascii="Calibri" w:hAnsi="Calibri" w:cs="Calibri"/>
                <w:color w:val="002B45"/>
                <w:lang w:val="en-US"/>
              </w:rPr>
              <w:t xml:space="preserve"> 26.3 </w:t>
            </w:r>
          </w:p>
        </w:tc>
      </w:tr>
      <w:tr w:rsidR="00871692" w:rsidRPr="00C44CA2" w:rsidTr="000404E2">
        <w:trPr>
          <w:trHeight w:val="283"/>
        </w:trPr>
        <w:tc>
          <w:tcPr>
            <w:tcW w:w="8080" w:type="dxa"/>
            <w:tcMar>
              <w:left w:w="0" w:type="dxa"/>
              <w:right w:w="0" w:type="dxa"/>
            </w:tcMar>
            <w:vAlign w:val="center"/>
          </w:tcPr>
          <w:p w:rsidR="00871692" w:rsidRPr="00EB3F35" w:rsidRDefault="00871692" w:rsidP="000404E2">
            <w:pPr>
              <w:jc w:val="left"/>
              <w:rPr>
                <w:rFonts w:ascii="Calibri" w:hAnsi="Calibri" w:cs="Calibri"/>
                <w:color w:val="002B45"/>
                <w:lang w:val="en-US"/>
              </w:rPr>
            </w:pPr>
            <w:r w:rsidRPr="00EB3F35">
              <w:rPr>
                <w:rFonts w:ascii="Calibri" w:hAnsi="Calibri" w:cs="Calibri"/>
                <w:color w:val="002B45"/>
                <w:lang w:val="en-US"/>
              </w:rPr>
              <w:t xml:space="preserve">Trade and other payables </w:t>
            </w:r>
          </w:p>
        </w:tc>
        <w:tc>
          <w:tcPr>
            <w:tcW w:w="1418" w:type="dxa"/>
            <w:shd w:val="clear" w:color="auto" w:fill="E6E6E6"/>
            <w:vAlign w:val="center"/>
          </w:tcPr>
          <w:p w:rsidR="00871692" w:rsidRPr="00EB3F35" w:rsidRDefault="00871692" w:rsidP="000404E2">
            <w:pPr>
              <w:ind w:right="57"/>
              <w:jc w:val="right"/>
              <w:rPr>
                <w:rFonts w:ascii="Calibri" w:hAnsi="Calibri" w:cs="Calibri"/>
                <w:color w:val="002B45"/>
                <w:lang w:val="en-US"/>
              </w:rPr>
            </w:pPr>
            <w:r w:rsidRPr="00EB3F35">
              <w:rPr>
                <w:rFonts w:ascii="Calibri" w:hAnsi="Calibri" w:cs="Calibri"/>
                <w:color w:val="002B45"/>
                <w:lang w:val="en-US"/>
              </w:rPr>
              <w:t>(68.4)</w:t>
            </w:r>
          </w:p>
        </w:tc>
      </w:tr>
      <w:tr w:rsidR="0054674E" w:rsidRPr="00C44CA2" w:rsidTr="000404E2">
        <w:trPr>
          <w:trHeight w:val="283"/>
        </w:trPr>
        <w:tc>
          <w:tcPr>
            <w:tcW w:w="8080" w:type="dxa"/>
            <w:tcMar>
              <w:left w:w="0" w:type="dxa"/>
              <w:right w:w="0" w:type="dxa"/>
            </w:tcMar>
            <w:vAlign w:val="center"/>
          </w:tcPr>
          <w:p w:rsidR="0054674E" w:rsidRPr="00700B58" w:rsidRDefault="0054674E" w:rsidP="007E10D2">
            <w:pPr>
              <w:jc w:val="left"/>
              <w:rPr>
                <w:rFonts w:ascii="Calibri" w:hAnsi="Calibri" w:cs="Calibri"/>
                <w:color w:val="002B45"/>
                <w:vertAlign w:val="superscript"/>
                <w:lang w:val="en-US"/>
              </w:rPr>
            </w:pPr>
            <w:r w:rsidRPr="00EB3F35">
              <w:rPr>
                <w:rFonts w:ascii="Calibri" w:hAnsi="Calibri" w:cs="Calibri"/>
                <w:color w:val="002B45"/>
                <w:lang w:val="en-US"/>
              </w:rPr>
              <w:t>Other financial liabilities – current</w:t>
            </w:r>
            <w:r w:rsidR="00700B58">
              <w:rPr>
                <w:rFonts w:ascii="Calibri" w:hAnsi="Calibri" w:cs="Calibri"/>
                <w:color w:val="002B45"/>
                <w:vertAlign w:val="superscript"/>
                <w:lang w:val="en-US"/>
              </w:rPr>
              <w:t>5</w:t>
            </w:r>
          </w:p>
        </w:tc>
        <w:tc>
          <w:tcPr>
            <w:tcW w:w="1418" w:type="dxa"/>
            <w:shd w:val="clear" w:color="auto" w:fill="E6E6E6"/>
            <w:vAlign w:val="center"/>
          </w:tcPr>
          <w:p w:rsidR="0054674E" w:rsidRPr="00EB3F35" w:rsidRDefault="0054674E" w:rsidP="000404E2">
            <w:pPr>
              <w:ind w:right="57"/>
              <w:jc w:val="right"/>
              <w:rPr>
                <w:rFonts w:ascii="Calibri" w:hAnsi="Calibri" w:cs="Calibri"/>
                <w:color w:val="002B45"/>
                <w:lang w:val="en-US"/>
              </w:rPr>
            </w:pPr>
            <w:r w:rsidRPr="00EB3F35">
              <w:rPr>
                <w:rFonts w:ascii="Calibri" w:hAnsi="Calibri" w:cs="Calibri"/>
                <w:color w:val="002B45"/>
                <w:lang w:val="en-US"/>
              </w:rPr>
              <w:t>(87.7)</w:t>
            </w:r>
          </w:p>
        </w:tc>
      </w:tr>
      <w:tr w:rsidR="0054674E" w:rsidRPr="00C44CA2" w:rsidTr="000404E2">
        <w:trPr>
          <w:trHeight w:val="283"/>
        </w:trPr>
        <w:tc>
          <w:tcPr>
            <w:tcW w:w="8080" w:type="dxa"/>
            <w:tcMar>
              <w:left w:w="0" w:type="dxa"/>
              <w:right w:w="0" w:type="dxa"/>
            </w:tcMar>
            <w:vAlign w:val="center"/>
          </w:tcPr>
          <w:p w:rsidR="0054674E" w:rsidRPr="00EB3F35" w:rsidRDefault="0054674E" w:rsidP="000404E2">
            <w:pPr>
              <w:jc w:val="left"/>
              <w:rPr>
                <w:rFonts w:ascii="Calibri" w:hAnsi="Calibri" w:cs="Calibri"/>
                <w:color w:val="002B45"/>
                <w:lang w:val="en-US"/>
              </w:rPr>
            </w:pPr>
            <w:r w:rsidRPr="00EB3F35">
              <w:rPr>
                <w:rFonts w:ascii="Calibri" w:hAnsi="Calibri" w:cs="Calibri"/>
                <w:color w:val="002B45"/>
                <w:lang w:val="en-US"/>
              </w:rPr>
              <w:t>Deferred tax liabilities</w:t>
            </w:r>
          </w:p>
        </w:tc>
        <w:tc>
          <w:tcPr>
            <w:tcW w:w="1418" w:type="dxa"/>
            <w:shd w:val="clear" w:color="auto" w:fill="E6E6E6"/>
            <w:vAlign w:val="center"/>
          </w:tcPr>
          <w:p w:rsidR="0054674E" w:rsidRPr="00EB3F35" w:rsidRDefault="0054674E" w:rsidP="000404E2">
            <w:pPr>
              <w:ind w:right="57"/>
              <w:jc w:val="right"/>
              <w:rPr>
                <w:rFonts w:ascii="Calibri" w:hAnsi="Calibri" w:cs="Calibri"/>
                <w:color w:val="002B45"/>
                <w:lang w:val="en-US"/>
              </w:rPr>
            </w:pPr>
            <w:r w:rsidRPr="00EB3F35">
              <w:rPr>
                <w:rFonts w:ascii="Calibri" w:hAnsi="Calibri" w:cs="Calibri"/>
                <w:color w:val="002B45"/>
                <w:lang w:val="en-US"/>
              </w:rPr>
              <w:t>(414.6)</w:t>
            </w:r>
          </w:p>
        </w:tc>
      </w:tr>
      <w:tr w:rsidR="0054674E" w:rsidRPr="00C44CA2" w:rsidTr="000404E2">
        <w:trPr>
          <w:trHeight w:val="283"/>
        </w:trPr>
        <w:tc>
          <w:tcPr>
            <w:tcW w:w="8080" w:type="dxa"/>
            <w:tcBorders>
              <w:bottom w:val="single" w:sz="4" w:space="0" w:color="808080" w:themeColor="background1" w:themeShade="80"/>
            </w:tcBorders>
            <w:tcMar>
              <w:left w:w="0" w:type="dxa"/>
              <w:right w:w="0" w:type="dxa"/>
            </w:tcMar>
            <w:vAlign w:val="center"/>
          </w:tcPr>
          <w:p w:rsidR="0054674E" w:rsidRPr="00EB3F35" w:rsidRDefault="0054674E" w:rsidP="000404E2">
            <w:pPr>
              <w:jc w:val="left"/>
              <w:rPr>
                <w:rFonts w:ascii="Calibri" w:hAnsi="Calibri" w:cs="Calibri"/>
                <w:color w:val="002B45"/>
                <w:lang w:val="en-US"/>
              </w:rPr>
            </w:pPr>
            <w:r w:rsidRPr="00EB3F35">
              <w:rPr>
                <w:rFonts w:ascii="Calibri" w:hAnsi="Calibri" w:cs="Calibri"/>
                <w:color w:val="002B45"/>
                <w:lang w:val="en-US"/>
              </w:rPr>
              <w:t>Provisions</w:t>
            </w:r>
          </w:p>
        </w:tc>
        <w:tc>
          <w:tcPr>
            <w:tcW w:w="1418" w:type="dxa"/>
            <w:tcBorders>
              <w:bottom w:val="single" w:sz="4" w:space="0" w:color="808080" w:themeColor="background1" w:themeShade="80"/>
            </w:tcBorders>
            <w:shd w:val="clear" w:color="auto" w:fill="E6E6E6"/>
            <w:vAlign w:val="center"/>
          </w:tcPr>
          <w:p w:rsidR="0054674E" w:rsidRPr="00EB3F35" w:rsidRDefault="0054674E" w:rsidP="000404E2">
            <w:pPr>
              <w:ind w:right="57"/>
              <w:jc w:val="right"/>
              <w:rPr>
                <w:rFonts w:ascii="Calibri" w:hAnsi="Calibri" w:cs="Calibri"/>
                <w:color w:val="002B45"/>
                <w:lang w:val="en-US"/>
              </w:rPr>
            </w:pPr>
            <w:r w:rsidRPr="00EB3F35">
              <w:rPr>
                <w:rFonts w:ascii="Calibri" w:hAnsi="Calibri" w:cs="Calibri"/>
                <w:color w:val="002B45"/>
                <w:lang w:val="en-US"/>
              </w:rPr>
              <w:t>(28.6)</w:t>
            </w:r>
          </w:p>
        </w:tc>
      </w:tr>
      <w:tr w:rsidR="0054674E" w:rsidRPr="00C44CA2" w:rsidTr="000404E2">
        <w:trPr>
          <w:trHeight w:val="283"/>
        </w:trPr>
        <w:tc>
          <w:tcPr>
            <w:tcW w:w="8080" w:type="dxa"/>
            <w:tcBorders>
              <w:top w:val="single" w:sz="4" w:space="0" w:color="808080" w:themeColor="background1" w:themeShade="80"/>
              <w:bottom w:val="single" w:sz="4" w:space="0" w:color="808080" w:themeColor="background1" w:themeShade="80"/>
            </w:tcBorders>
            <w:tcMar>
              <w:left w:w="0" w:type="dxa"/>
              <w:right w:w="0" w:type="dxa"/>
            </w:tcMar>
            <w:vAlign w:val="center"/>
          </w:tcPr>
          <w:p w:rsidR="0054674E" w:rsidRPr="00EB3F35" w:rsidRDefault="0054674E" w:rsidP="000404E2">
            <w:pPr>
              <w:jc w:val="left"/>
              <w:rPr>
                <w:rFonts w:ascii="Calibri" w:hAnsi="Calibri" w:cs="Calibri"/>
                <w:b/>
                <w:color w:val="002B45"/>
                <w:lang w:val="en-US"/>
              </w:rPr>
            </w:pPr>
            <w:r w:rsidRPr="00EB3F35">
              <w:rPr>
                <w:rFonts w:ascii="Calibri" w:hAnsi="Calibri" w:cs="Calibri"/>
                <w:b/>
                <w:color w:val="002B45"/>
                <w:lang w:val="en-US"/>
              </w:rPr>
              <w:t xml:space="preserve">Total purchase consideration </w:t>
            </w:r>
          </w:p>
        </w:tc>
        <w:tc>
          <w:tcPr>
            <w:tcW w:w="1418" w:type="dxa"/>
            <w:tcBorders>
              <w:top w:val="single" w:sz="4" w:space="0" w:color="808080" w:themeColor="background1" w:themeShade="80"/>
              <w:bottom w:val="single" w:sz="4" w:space="0" w:color="808080" w:themeColor="background1" w:themeShade="80"/>
            </w:tcBorders>
            <w:shd w:val="clear" w:color="auto" w:fill="E6E6E6"/>
            <w:vAlign w:val="center"/>
          </w:tcPr>
          <w:p w:rsidR="0054674E" w:rsidRPr="00EB3F35" w:rsidRDefault="0054674E" w:rsidP="000404E2">
            <w:pPr>
              <w:ind w:right="57"/>
              <w:jc w:val="right"/>
              <w:rPr>
                <w:rFonts w:ascii="Calibri" w:hAnsi="Calibri" w:cs="Calibri"/>
                <w:color w:val="002B45"/>
                <w:lang w:val="en-US"/>
              </w:rPr>
            </w:pPr>
            <w:r w:rsidRPr="00EB3F35">
              <w:rPr>
                <w:rFonts w:ascii="Calibri" w:hAnsi="Calibri" w:cs="Calibri"/>
                <w:color w:val="002B45"/>
                <w:lang w:val="en-US"/>
              </w:rPr>
              <w:t xml:space="preserve"> 523.6 </w:t>
            </w:r>
          </w:p>
        </w:tc>
      </w:tr>
      <w:tr w:rsidR="00871692" w:rsidRPr="00C44CA2" w:rsidTr="000404E2">
        <w:trPr>
          <w:trHeight w:val="283"/>
        </w:trPr>
        <w:tc>
          <w:tcPr>
            <w:tcW w:w="8080" w:type="dxa"/>
            <w:tcBorders>
              <w:top w:val="single" w:sz="4" w:space="0" w:color="808080" w:themeColor="background1" w:themeShade="80"/>
            </w:tcBorders>
            <w:tcMar>
              <w:left w:w="0" w:type="dxa"/>
              <w:right w:w="0" w:type="dxa"/>
            </w:tcMar>
            <w:vAlign w:val="center"/>
          </w:tcPr>
          <w:p w:rsidR="00871692" w:rsidRPr="00EB3F35" w:rsidRDefault="00871692" w:rsidP="000404E2">
            <w:pPr>
              <w:jc w:val="left"/>
              <w:rPr>
                <w:rFonts w:ascii="Calibri" w:hAnsi="Calibri" w:cs="Calibri"/>
                <w:color w:val="002B45"/>
                <w:lang w:val="en-US"/>
              </w:rPr>
            </w:pPr>
            <w:r w:rsidRPr="00EB3F35">
              <w:rPr>
                <w:rFonts w:ascii="Calibri" w:hAnsi="Calibri" w:cs="Calibri"/>
                <w:color w:val="002B45"/>
                <w:lang w:val="en-US"/>
              </w:rPr>
              <w:t>Represented by:</w:t>
            </w:r>
          </w:p>
        </w:tc>
        <w:tc>
          <w:tcPr>
            <w:tcW w:w="1418" w:type="dxa"/>
            <w:tcBorders>
              <w:top w:val="single" w:sz="4" w:space="0" w:color="808080" w:themeColor="background1" w:themeShade="80"/>
            </w:tcBorders>
            <w:shd w:val="clear" w:color="auto" w:fill="E6E6E6"/>
            <w:vAlign w:val="center"/>
          </w:tcPr>
          <w:p w:rsidR="00871692" w:rsidRPr="00EB3F35" w:rsidRDefault="00871692" w:rsidP="000404E2">
            <w:pPr>
              <w:ind w:right="57"/>
              <w:jc w:val="right"/>
              <w:rPr>
                <w:rFonts w:ascii="Calibri" w:hAnsi="Calibri" w:cs="Calibri"/>
                <w:color w:val="002B45"/>
                <w:lang w:val="en-US"/>
              </w:rPr>
            </w:pPr>
          </w:p>
        </w:tc>
      </w:tr>
      <w:tr w:rsidR="00871692" w:rsidRPr="00C44CA2" w:rsidTr="000404E2">
        <w:trPr>
          <w:trHeight w:val="283"/>
        </w:trPr>
        <w:tc>
          <w:tcPr>
            <w:tcW w:w="8080" w:type="dxa"/>
            <w:tcMar>
              <w:left w:w="0" w:type="dxa"/>
              <w:right w:w="0" w:type="dxa"/>
            </w:tcMar>
            <w:vAlign w:val="center"/>
          </w:tcPr>
          <w:p w:rsidR="00871692" w:rsidRPr="00EB3F35" w:rsidRDefault="00871692" w:rsidP="000404E2">
            <w:pPr>
              <w:jc w:val="left"/>
              <w:rPr>
                <w:rFonts w:ascii="Calibri" w:hAnsi="Calibri" w:cs="Calibri"/>
                <w:color w:val="002B45"/>
                <w:lang w:val="en-US"/>
              </w:rPr>
            </w:pPr>
            <w:r w:rsidRPr="00EB3F35">
              <w:rPr>
                <w:rFonts w:ascii="Calibri" w:hAnsi="Calibri" w:cs="Calibri"/>
                <w:color w:val="002B45"/>
                <w:lang w:val="en-US"/>
              </w:rPr>
              <w:t>Consideration satisfied by cash</w:t>
            </w:r>
          </w:p>
        </w:tc>
        <w:tc>
          <w:tcPr>
            <w:tcW w:w="1418" w:type="dxa"/>
            <w:shd w:val="clear" w:color="auto" w:fill="E6E6E6"/>
            <w:vAlign w:val="center"/>
          </w:tcPr>
          <w:p w:rsidR="00871692" w:rsidRPr="00EB3F35" w:rsidRDefault="00871692" w:rsidP="000404E2">
            <w:pPr>
              <w:ind w:right="57"/>
              <w:jc w:val="right"/>
              <w:rPr>
                <w:rFonts w:ascii="Calibri" w:hAnsi="Calibri" w:cs="Calibri"/>
                <w:color w:val="002B45"/>
                <w:lang w:val="en-US"/>
              </w:rPr>
            </w:pPr>
            <w:r w:rsidRPr="00EB3F35">
              <w:rPr>
                <w:rFonts w:ascii="Calibri" w:hAnsi="Calibri" w:cs="Calibri"/>
                <w:color w:val="002B45"/>
                <w:lang w:val="en-US"/>
              </w:rPr>
              <w:t xml:space="preserve"> 419.1 </w:t>
            </w:r>
          </w:p>
        </w:tc>
      </w:tr>
      <w:tr w:rsidR="00871692" w:rsidRPr="00C44CA2" w:rsidTr="000404E2">
        <w:trPr>
          <w:trHeight w:val="283"/>
        </w:trPr>
        <w:tc>
          <w:tcPr>
            <w:tcW w:w="8080" w:type="dxa"/>
            <w:tcBorders>
              <w:bottom w:val="single" w:sz="4" w:space="0" w:color="808080" w:themeColor="background1" w:themeShade="80"/>
            </w:tcBorders>
            <w:tcMar>
              <w:left w:w="0" w:type="dxa"/>
              <w:right w:w="0" w:type="dxa"/>
            </w:tcMar>
            <w:vAlign w:val="center"/>
          </w:tcPr>
          <w:p w:rsidR="00871692" w:rsidRPr="00EB3F35" w:rsidRDefault="00871692" w:rsidP="000404E2">
            <w:pPr>
              <w:jc w:val="left"/>
              <w:rPr>
                <w:rFonts w:ascii="Calibri" w:hAnsi="Calibri" w:cs="Calibri"/>
                <w:color w:val="002B45"/>
                <w:lang w:val="en-US"/>
              </w:rPr>
            </w:pPr>
            <w:r w:rsidRPr="00EB3F35">
              <w:rPr>
                <w:rFonts w:ascii="Calibri" w:hAnsi="Calibri" w:cs="Calibri"/>
                <w:color w:val="002B45"/>
                <w:lang w:val="en-US"/>
              </w:rPr>
              <w:t>Contingent consideration</w:t>
            </w:r>
          </w:p>
        </w:tc>
        <w:tc>
          <w:tcPr>
            <w:tcW w:w="1418" w:type="dxa"/>
            <w:tcBorders>
              <w:bottom w:val="single" w:sz="4" w:space="0" w:color="808080" w:themeColor="background1" w:themeShade="80"/>
            </w:tcBorders>
            <w:shd w:val="clear" w:color="auto" w:fill="E6E6E6"/>
            <w:vAlign w:val="center"/>
          </w:tcPr>
          <w:p w:rsidR="00871692" w:rsidRPr="00EB3F35" w:rsidRDefault="00871692" w:rsidP="000404E2">
            <w:pPr>
              <w:ind w:right="57"/>
              <w:jc w:val="right"/>
              <w:rPr>
                <w:rFonts w:ascii="Calibri" w:hAnsi="Calibri" w:cs="Calibri"/>
                <w:color w:val="002B45"/>
                <w:lang w:val="en-US"/>
              </w:rPr>
            </w:pPr>
            <w:r w:rsidRPr="00EB3F35">
              <w:rPr>
                <w:rFonts w:ascii="Calibri" w:hAnsi="Calibri" w:cs="Calibri"/>
                <w:color w:val="002B45"/>
                <w:lang w:val="en-US"/>
              </w:rPr>
              <w:t xml:space="preserve"> 104.5 </w:t>
            </w:r>
          </w:p>
        </w:tc>
      </w:tr>
      <w:tr w:rsidR="00871692" w:rsidRPr="00C44CA2" w:rsidTr="000404E2">
        <w:trPr>
          <w:trHeight w:val="283"/>
        </w:trPr>
        <w:tc>
          <w:tcPr>
            <w:tcW w:w="8080" w:type="dxa"/>
            <w:tcBorders>
              <w:top w:val="single" w:sz="4" w:space="0" w:color="808080" w:themeColor="background1" w:themeShade="80"/>
              <w:bottom w:val="single" w:sz="4" w:space="0" w:color="808080" w:themeColor="background1" w:themeShade="80"/>
            </w:tcBorders>
            <w:tcMar>
              <w:left w:w="0" w:type="dxa"/>
              <w:right w:w="0" w:type="dxa"/>
            </w:tcMar>
            <w:vAlign w:val="center"/>
          </w:tcPr>
          <w:p w:rsidR="00871692" w:rsidRPr="00EB3F35" w:rsidRDefault="00871692" w:rsidP="000404E2">
            <w:pPr>
              <w:jc w:val="left"/>
              <w:rPr>
                <w:rFonts w:ascii="Calibri" w:hAnsi="Calibri" w:cs="Calibri"/>
                <w:b/>
                <w:color w:val="002B45"/>
                <w:lang w:val="en-US"/>
              </w:rPr>
            </w:pPr>
            <w:r w:rsidRPr="00EB3F35">
              <w:rPr>
                <w:rFonts w:ascii="Calibri" w:hAnsi="Calibri" w:cs="Calibri"/>
                <w:b/>
                <w:color w:val="002B45"/>
                <w:lang w:val="en-US"/>
              </w:rPr>
              <w:t>Total purchase consideration</w:t>
            </w:r>
          </w:p>
        </w:tc>
        <w:tc>
          <w:tcPr>
            <w:tcW w:w="1418" w:type="dxa"/>
            <w:tcBorders>
              <w:top w:val="single" w:sz="4" w:space="0" w:color="808080" w:themeColor="background1" w:themeShade="80"/>
              <w:bottom w:val="single" w:sz="4" w:space="0" w:color="808080" w:themeColor="background1" w:themeShade="80"/>
            </w:tcBorders>
            <w:shd w:val="clear" w:color="auto" w:fill="E6E6E6"/>
            <w:vAlign w:val="center"/>
          </w:tcPr>
          <w:p w:rsidR="00871692" w:rsidRPr="00EB3F35" w:rsidRDefault="00871692" w:rsidP="000404E2">
            <w:pPr>
              <w:ind w:right="57"/>
              <w:jc w:val="right"/>
              <w:rPr>
                <w:rFonts w:ascii="Calibri" w:hAnsi="Calibri" w:cs="Calibri"/>
                <w:color w:val="002B45"/>
                <w:lang w:val="en-US"/>
              </w:rPr>
            </w:pPr>
            <w:r w:rsidRPr="00EB3F35">
              <w:rPr>
                <w:rFonts w:ascii="Calibri" w:hAnsi="Calibri" w:cs="Calibri"/>
                <w:color w:val="002B45"/>
                <w:lang w:val="en-US"/>
              </w:rPr>
              <w:t xml:space="preserve"> 523.6 </w:t>
            </w:r>
          </w:p>
        </w:tc>
      </w:tr>
      <w:tr w:rsidR="00871692" w:rsidRPr="00C44CA2" w:rsidTr="000404E2">
        <w:trPr>
          <w:trHeight w:val="283"/>
        </w:trPr>
        <w:tc>
          <w:tcPr>
            <w:tcW w:w="8080" w:type="dxa"/>
            <w:tcMar>
              <w:left w:w="0" w:type="dxa"/>
              <w:right w:w="0" w:type="dxa"/>
            </w:tcMar>
            <w:vAlign w:val="center"/>
          </w:tcPr>
          <w:p w:rsidR="00871692" w:rsidRPr="00EB3F35" w:rsidRDefault="00871692" w:rsidP="000404E2">
            <w:pPr>
              <w:jc w:val="left"/>
              <w:rPr>
                <w:rFonts w:ascii="Calibri" w:hAnsi="Calibri" w:cs="Calibri"/>
                <w:color w:val="002B45"/>
                <w:lang w:val="en-US"/>
              </w:rPr>
            </w:pPr>
            <w:r w:rsidRPr="00EB3F35">
              <w:rPr>
                <w:rFonts w:ascii="Calibri" w:hAnsi="Calibri" w:cs="Calibri"/>
                <w:color w:val="002B45"/>
                <w:lang w:val="en-US"/>
              </w:rPr>
              <w:t>Consideration satisfied by cash</w:t>
            </w:r>
          </w:p>
        </w:tc>
        <w:tc>
          <w:tcPr>
            <w:tcW w:w="1418" w:type="dxa"/>
            <w:shd w:val="clear" w:color="auto" w:fill="E6E6E6"/>
            <w:vAlign w:val="center"/>
          </w:tcPr>
          <w:p w:rsidR="00871692" w:rsidRPr="00EB3F35" w:rsidRDefault="00871692" w:rsidP="000404E2">
            <w:pPr>
              <w:ind w:right="57"/>
              <w:jc w:val="right"/>
              <w:rPr>
                <w:rFonts w:ascii="Calibri" w:hAnsi="Calibri" w:cs="Calibri"/>
                <w:color w:val="002B45"/>
                <w:lang w:val="en-US"/>
              </w:rPr>
            </w:pPr>
            <w:r w:rsidRPr="00EB3F35">
              <w:rPr>
                <w:rFonts w:ascii="Calibri" w:hAnsi="Calibri" w:cs="Calibri"/>
                <w:color w:val="002B45"/>
                <w:lang w:val="en-US"/>
              </w:rPr>
              <w:t>(419.1)</w:t>
            </w:r>
          </w:p>
        </w:tc>
      </w:tr>
      <w:tr w:rsidR="00871692" w:rsidRPr="00C44CA2" w:rsidTr="000404E2">
        <w:trPr>
          <w:trHeight w:val="283"/>
        </w:trPr>
        <w:tc>
          <w:tcPr>
            <w:tcW w:w="8080" w:type="dxa"/>
            <w:tcBorders>
              <w:bottom w:val="single" w:sz="4" w:space="0" w:color="999999"/>
            </w:tcBorders>
            <w:shd w:val="clear" w:color="auto" w:fill="auto"/>
            <w:tcMar>
              <w:left w:w="0" w:type="dxa"/>
              <w:right w:w="0" w:type="dxa"/>
            </w:tcMar>
            <w:vAlign w:val="center"/>
          </w:tcPr>
          <w:p w:rsidR="00871692" w:rsidRPr="00EB3F35" w:rsidRDefault="00871692" w:rsidP="000404E2">
            <w:pPr>
              <w:jc w:val="left"/>
              <w:rPr>
                <w:rFonts w:ascii="Calibri" w:hAnsi="Calibri" w:cs="Calibri"/>
                <w:color w:val="002B45"/>
                <w:lang w:val="en-US"/>
              </w:rPr>
            </w:pPr>
            <w:r w:rsidRPr="00EB3F35">
              <w:rPr>
                <w:rFonts w:ascii="Calibri" w:hAnsi="Calibri" w:cs="Calibri"/>
                <w:color w:val="002B45"/>
                <w:lang w:val="en-US"/>
              </w:rPr>
              <w:t>Cash and cash equivalents acquired</w:t>
            </w:r>
          </w:p>
        </w:tc>
        <w:tc>
          <w:tcPr>
            <w:tcW w:w="1418" w:type="dxa"/>
            <w:tcBorders>
              <w:bottom w:val="single" w:sz="4" w:space="0" w:color="999999"/>
            </w:tcBorders>
            <w:shd w:val="clear" w:color="auto" w:fill="E6E6E6"/>
            <w:vAlign w:val="center"/>
          </w:tcPr>
          <w:p w:rsidR="00871692" w:rsidRPr="00EB3F35" w:rsidRDefault="00871692" w:rsidP="000404E2">
            <w:pPr>
              <w:ind w:right="57"/>
              <w:jc w:val="right"/>
              <w:rPr>
                <w:rFonts w:ascii="Calibri" w:hAnsi="Calibri" w:cs="Calibri"/>
                <w:color w:val="002B45"/>
                <w:lang w:val="en-US"/>
              </w:rPr>
            </w:pPr>
            <w:r w:rsidRPr="00EB3F35">
              <w:rPr>
                <w:rFonts w:ascii="Calibri" w:hAnsi="Calibri" w:cs="Calibri"/>
                <w:color w:val="002B45"/>
                <w:lang w:val="en-US"/>
              </w:rPr>
              <w:t xml:space="preserve"> 26.3 </w:t>
            </w:r>
          </w:p>
        </w:tc>
      </w:tr>
      <w:tr w:rsidR="00871692" w:rsidRPr="00C44CA2" w:rsidTr="000404E2">
        <w:trPr>
          <w:trHeight w:val="283"/>
        </w:trPr>
        <w:tc>
          <w:tcPr>
            <w:tcW w:w="8080" w:type="dxa"/>
            <w:tcBorders>
              <w:top w:val="single" w:sz="4" w:space="0" w:color="999999"/>
              <w:bottom w:val="single" w:sz="12" w:space="0" w:color="999999"/>
            </w:tcBorders>
            <w:shd w:val="clear" w:color="auto" w:fill="auto"/>
            <w:tcMar>
              <w:left w:w="0" w:type="dxa"/>
              <w:right w:w="0" w:type="dxa"/>
            </w:tcMar>
            <w:vAlign w:val="center"/>
          </w:tcPr>
          <w:p w:rsidR="00871692" w:rsidRPr="00EB3F35" w:rsidRDefault="00871692" w:rsidP="000404E2">
            <w:pPr>
              <w:jc w:val="left"/>
              <w:rPr>
                <w:rFonts w:ascii="Calibri" w:hAnsi="Calibri" w:cs="Calibri"/>
                <w:b/>
                <w:color w:val="002B45"/>
                <w:lang w:val="en-US"/>
              </w:rPr>
            </w:pPr>
            <w:r w:rsidRPr="00EB3F35">
              <w:rPr>
                <w:rFonts w:ascii="Calibri" w:hAnsi="Calibri" w:cs="Calibri"/>
                <w:b/>
                <w:color w:val="002B45"/>
                <w:lang w:val="en-US"/>
              </w:rPr>
              <w:t>Purchase of subsidiaries per the cash flow statement</w:t>
            </w:r>
          </w:p>
        </w:tc>
        <w:tc>
          <w:tcPr>
            <w:tcW w:w="1418" w:type="dxa"/>
            <w:tcBorders>
              <w:top w:val="single" w:sz="4" w:space="0" w:color="999999"/>
              <w:bottom w:val="single" w:sz="12" w:space="0" w:color="999999"/>
            </w:tcBorders>
            <w:shd w:val="clear" w:color="auto" w:fill="E6E6E6"/>
            <w:vAlign w:val="center"/>
          </w:tcPr>
          <w:p w:rsidR="00871692" w:rsidRPr="00EB3F35" w:rsidRDefault="00871692" w:rsidP="000404E2">
            <w:pPr>
              <w:ind w:right="57"/>
              <w:jc w:val="right"/>
              <w:rPr>
                <w:rFonts w:ascii="Calibri" w:hAnsi="Calibri" w:cs="Calibri"/>
                <w:color w:val="002B45"/>
                <w:lang w:val="en-US"/>
              </w:rPr>
            </w:pPr>
            <w:r w:rsidRPr="00EB3F35">
              <w:rPr>
                <w:rFonts w:ascii="Calibri" w:hAnsi="Calibri" w:cs="Calibri"/>
                <w:color w:val="002B45"/>
                <w:lang w:val="en-US"/>
              </w:rPr>
              <w:t>(392.8)</w:t>
            </w:r>
          </w:p>
        </w:tc>
      </w:tr>
    </w:tbl>
    <w:p w:rsidR="00871692" w:rsidRDefault="00871692" w:rsidP="00871692">
      <w:pPr>
        <w:spacing w:after="240"/>
        <w:rPr>
          <w:rFonts w:ascii="Calibri" w:hAnsi="Calibri" w:cs="Calibri"/>
          <w:color w:val="5F5F5F"/>
          <w:lang w:val="en-IE"/>
        </w:rPr>
      </w:pPr>
    </w:p>
    <w:p w:rsidR="000404E2" w:rsidRDefault="000404E2" w:rsidP="00871692">
      <w:pPr>
        <w:spacing w:after="240"/>
        <w:rPr>
          <w:rFonts w:ascii="Calibri" w:hAnsi="Calibri" w:cs="Calibri"/>
          <w:color w:val="5F5F5F"/>
          <w:lang w:val="en-IE"/>
        </w:rPr>
      </w:pPr>
    </w:p>
    <w:p w:rsidR="00292D7E" w:rsidRPr="00292D7E" w:rsidRDefault="00292D7E" w:rsidP="006A1274">
      <w:pPr>
        <w:tabs>
          <w:tab w:val="left" w:pos="426"/>
        </w:tabs>
        <w:spacing w:after="120"/>
        <w:rPr>
          <w:rFonts w:ascii="Calibri" w:hAnsi="Calibri" w:cs="Calibri"/>
          <w:b/>
          <w:color w:val="00305C"/>
          <w:sz w:val="22"/>
          <w:szCs w:val="22"/>
          <w:lang w:val="en-IE"/>
        </w:rPr>
      </w:pPr>
      <w:r w:rsidRPr="00292D7E">
        <w:rPr>
          <w:rFonts w:ascii="Calibri" w:hAnsi="Calibri" w:cs="Calibri"/>
          <w:b/>
          <w:color w:val="00305C"/>
          <w:sz w:val="22"/>
          <w:szCs w:val="22"/>
          <w:lang w:val="en-IE"/>
        </w:rPr>
        <w:t>8</w:t>
      </w:r>
      <w:r w:rsidR="006A1274">
        <w:rPr>
          <w:rFonts w:ascii="Calibri" w:hAnsi="Calibri" w:cs="Calibri"/>
          <w:b/>
          <w:color w:val="00305C"/>
          <w:sz w:val="22"/>
          <w:szCs w:val="22"/>
          <w:lang w:val="en-IE"/>
        </w:rPr>
        <w:t>.</w:t>
      </w:r>
      <w:r w:rsidRPr="00292D7E">
        <w:rPr>
          <w:rFonts w:ascii="Calibri" w:hAnsi="Calibri" w:cs="Calibri"/>
          <w:b/>
          <w:color w:val="00305C"/>
          <w:sz w:val="22"/>
          <w:szCs w:val="22"/>
          <w:lang w:val="en-IE"/>
        </w:rPr>
        <w:t xml:space="preserve"> </w:t>
      </w:r>
      <w:r w:rsidR="006A1274">
        <w:rPr>
          <w:rFonts w:ascii="Calibri" w:hAnsi="Calibri" w:cs="Calibri"/>
          <w:b/>
          <w:color w:val="00305C"/>
          <w:sz w:val="22"/>
          <w:szCs w:val="22"/>
          <w:lang w:val="en-IE"/>
        </w:rPr>
        <w:tab/>
      </w:r>
      <w:r w:rsidRPr="00292D7E">
        <w:rPr>
          <w:rFonts w:ascii="Calibri" w:hAnsi="Calibri" w:cs="Calibri"/>
          <w:b/>
          <w:color w:val="00305C"/>
          <w:sz w:val="22"/>
          <w:szCs w:val="22"/>
          <w:lang w:val="en-IE"/>
        </w:rPr>
        <w:t>Acquisitions</w:t>
      </w:r>
      <w:r>
        <w:rPr>
          <w:rFonts w:ascii="Calibri" w:hAnsi="Calibri" w:cs="Calibri"/>
          <w:b/>
          <w:color w:val="00305C"/>
          <w:sz w:val="22"/>
          <w:szCs w:val="22"/>
          <w:lang w:val="en-IE"/>
        </w:rPr>
        <w:t xml:space="preserve"> contd.</w:t>
      </w:r>
    </w:p>
    <w:p w:rsidR="00871692" w:rsidRPr="00EB3F35" w:rsidRDefault="00871692" w:rsidP="000404E2">
      <w:pPr>
        <w:spacing w:after="120"/>
        <w:rPr>
          <w:rFonts w:ascii="Calibri" w:hAnsi="Calibri" w:cs="Calibri"/>
          <w:color w:val="5F5F5F"/>
          <w:lang w:val="en-IE"/>
        </w:rPr>
      </w:pPr>
      <w:r w:rsidRPr="00EB3F35">
        <w:rPr>
          <w:rFonts w:ascii="Calibri" w:hAnsi="Calibri" w:cs="Calibri"/>
          <w:color w:val="5F5F5F"/>
          <w:lang w:val="en-IE"/>
        </w:rPr>
        <w:t>Valuation methodology and assumptions</w:t>
      </w:r>
    </w:p>
    <w:p w:rsidR="00871692" w:rsidRDefault="00871692" w:rsidP="00871692">
      <w:pPr>
        <w:spacing w:after="240"/>
        <w:rPr>
          <w:rFonts w:ascii="Calibri" w:hAnsi="Calibri" w:cs="Calibri"/>
          <w:color w:val="5F5F5F"/>
          <w:lang w:val="en-IE"/>
        </w:rPr>
      </w:pPr>
      <w:r w:rsidRPr="00EB3F35">
        <w:rPr>
          <w:rFonts w:ascii="Calibri" w:hAnsi="Calibri" w:cs="Calibri"/>
          <w:color w:val="5F5F5F"/>
          <w:lang w:val="en-IE"/>
        </w:rPr>
        <w:t>All fair values calculated for the purposes of IFRS 3 are classified as Level 3 in accordance with IFRS 13 Fair Value Measurement. The following table summarises the techniques used to arrive at fair value and certain key assumption.</w:t>
      </w:r>
    </w:p>
    <w:tbl>
      <w:tblPr>
        <w:tblW w:w="0" w:type="auto"/>
        <w:tblCellMar>
          <w:left w:w="0" w:type="dxa"/>
          <w:right w:w="0" w:type="dxa"/>
        </w:tblCellMar>
        <w:tblLook w:val="00A0" w:firstRow="1" w:lastRow="0" w:firstColumn="1" w:lastColumn="0" w:noHBand="0" w:noVBand="0"/>
      </w:tblPr>
      <w:tblGrid>
        <w:gridCol w:w="2694"/>
        <w:gridCol w:w="2126"/>
        <w:gridCol w:w="4678"/>
      </w:tblGrid>
      <w:tr w:rsidR="0054674E" w:rsidRPr="00235E84" w:rsidTr="00970806">
        <w:trPr>
          <w:trHeight w:val="340"/>
        </w:trPr>
        <w:tc>
          <w:tcPr>
            <w:tcW w:w="2694" w:type="dxa"/>
            <w:tcBorders>
              <w:bottom w:val="single" w:sz="12" w:space="0" w:color="999999"/>
            </w:tcBorders>
            <w:vAlign w:val="bottom"/>
          </w:tcPr>
          <w:p w:rsidR="0054674E" w:rsidRPr="000404E2" w:rsidRDefault="0054674E" w:rsidP="00970806">
            <w:pPr>
              <w:ind w:left="57"/>
              <w:jc w:val="left"/>
              <w:rPr>
                <w:rStyle w:val="Bold"/>
                <w:rFonts w:ascii="Calibri" w:hAnsi="Calibri" w:cs="Calibri"/>
                <w:b/>
                <w:color w:val="002B45"/>
                <w:sz w:val="20"/>
                <w:szCs w:val="20"/>
              </w:rPr>
            </w:pPr>
            <w:r w:rsidRPr="000404E2">
              <w:rPr>
                <w:rStyle w:val="Bold"/>
                <w:rFonts w:ascii="Calibri" w:hAnsi="Calibri" w:cs="Calibri"/>
                <w:b/>
                <w:color w:val="002B45"/>
                <w:sz w:val="20"/>
                <w:szCs w:val="20"/>
              </w:rPr>
              <w:t>Category</w:t>
            </w:r>
          </w:p>
        </w:tc>
        <w:tc>
          <w:tcPr>
            <w:tcW w:w="2126" w:type="dxa"/>
            <w:tcBorders>
              <w:bottom w:val="single" w:sz="12" w:space="0" w:color="999999"/>
            </w:tcBorders>
            <w:vAlign w:val="bottom"/>
          </w:tcPr>
          <w:p w:rsidR="0054674E" w:rsidRPr="000404E2" w:rsidRDefault="0054674E" w:rsidP="00970806">
            <w:pPr>
              <w:ind w:left="57"/>
              <w:jc w:val="left"/>
              <w:rPr>
                <w:rStyle w:val="Bold"/>
                <w:rFonts w:ascii="Calibri" w:hAnsi="Calibri" w:cs="Calibri"/>
                <w:b/>
                <w:color w:val="002B45"/>
                <w:sz w:val="20"/>
                <w:szCs w:val="20"/>
              </w:rPr>
            </w:pPr>
            <w:r w:rsidRPr="000404E2">
              <w:rPr>
                <w:rStyle w:val="Bold"/>
                <w:rFonts w:ascii="Calibri" w:hAnsi="Calibri" w:cs="Calibri"/>
                <w:b/>
                <w:color w:val="002B45"/>
                <w:sz w:val="20"/>
                <w:szCs w:val="20"/>
              </w:rPr>
              <w:t>Valuation technique</w:t>
            </w:r>
          </w:p>
        </w:tc>
        <w:tc>
          <w:tcPr>
            <w:tcW w:w="4678" w:type="dxa"/>
            <w:tcBorders>
              <w:bottom w:val="single" w:sz="12" w:space="0" w:color="999999"/>
            </w:tcBorders>
            <w:vAlign w:val="bottom"/>
          </w:tcPr>
          <w:p w:rsidR="0054674E" w:rsidRPr="000404E2" w:rsidRDefault="0054674E" w:rsidP="00970806">
            <w:pPr>
              <w:ind w:left="57"/>
              <w:jc w:val="left"/>
              <w:rPr>
                <w:rStyle w:val="Bold"/>
                <w:rFonts w:ascii="Calibri" w:hAnsi="Calibri" w:cs="Calibri"/>
                <w:b/>
                <w:color w:val="002B45"/>
                <w:sz w:val="20"/>
                <w:szCs w:val="20"/>
              </w:rPr>
            </w:pPr>
            <w:r w:rsidRPr="000404E2">
              <w:rPr>
                <w:rStyle w:val="Bold"/>
                <w:rFonts w:ascii="Calibri" w:hAnsi="Calibri" w:cs="Calibri"/>
                <w:b/>
                <w:color w:val="002B45"/>
                <w:sz w:val="20"/>
                <w:szCs w:val="20"/>
              </w:rPr>
              <w:t>Key inputs &amp; assumptions</w:t>
            </w:r>
          </w:p>
        </w:tc>
      </w:tr>
      <w:tr w:rsidR="0054674E" w:rsidRPr="00D776D0" w:rsidTr="000404E2">
        <w:trPr>
          <w:trHeight w:val="340"/>
        </w:trPr>
        <w:tc>
          <w:tcPr>
            <w:tcW w:w="2694" w:type="dxa"/>
            <w:tcBorders>
              <w:top w:val="single" w:sz="12" w:space="0" w:color="999999"/>
              <w:bottom w:val="single" w:sz="4" w:space="0" w:color="D9D9D9" w:themeColor="background1" w:themeShade="D9"/>
            </w:tcBorders>
          </w:tcPr>
          <w:p w:rsidR="0054674E" w:rsidRPr="00EB3F35" w:rsidRDefault="0054674E" w:rsidP="000404E2">
            <w:pPr>
              <w:ind w:left="57"/>
              <w:jc w:val="left"/>
              <w:rPr>
                <w:rFonts w:ascii="Calibri" w:hAnsi="Calibri" w:cs="Calibri"/>
                <w:color w:val="002B45"/>
                <w:lang w:val="en-US"/>
              </w:rPr>
            </w:pPr>
            <w:r w:rsidRPr="00EB3F35">
              <w:rPr>
                <w:rFonts w:ascii="Calibri" w:hAnsi="Calibri" w:cs="Calibri"/>
                <w:color w:val="002B45"/>
                <w:lang w:val="en-US"/>
              </w:rPr>
              <w:t xml:space="preserve">Goodwill </w:t>
            </w:r>
          </w:p>
        </w:tc>
        <w:tc>
          <w:tcPr>
            <w:tcW w:w="2126" w:type="dxa"/>
            <w:tcBorders>
              <w:top w:val="single" w:sz="12" w:space="0" w:color="999999"/>
              <w:bottom w:val="single" w:sz="4" w:space="0" w:color="BFBFBF" w:themeColor="background1" w:themeShade="BF"/>
            </w:tcBorders>
            <w:shd w:val="clear" w:color="auto" w:fill="E6E6E6"/>
          </w:tcPr>
          <w:p w:rsidR="0054674E" w:rsidRPr="00EB3F35" w:rsidRDefault="0054674E" w:rsidP="000404E2">
            <w:pPr>
              <w:ind w:left="57"/>
              <w:jc w:val="left"/>
              <w:rPr>
                <w:rFonts w:ascii="Calibri" w:hAnsi="Calibri" w:cs="Calibri"/>
                <w:color w:val="002B45"/>
                <w:lang w:val="en-US"/>
              </w:rPr>
            </w:pPr>
            <w:r w:rsidRPr="00EB3F35">
              <w:rPr>
                <w:rFonts w:ascii="Calibri" w:hAnsi="Calibri" w:cs="Calibri"/>
                <w:color w:val="002B45"/>
                <w:lang w:val="en-US"/>
              </w:rPr>
              <w:t>n/a</w:t>
            </w:r>
            <w:r w:rsidRPr="00EB3F35">
              <w:rPr>
                <w:rFonts w:ascii="Calibri" w:hAnsi="Calibri" w:cs="Calibri"/>
                <w:color w:val="002B45"/>
                <w:vertAlign w:val="superscript"/>
                <w:lang w:val="en-US"/>
              </w:rPr>
              <w:t>1</w:t>
            </w:r>
          </w:p>
        </w:tc>
        <w:tc>
          <w:tcPr>
            <w:tcW w:w="4678" w:type="dxa"/>
            <w:tcBorders>
              <w:top w:val="single" w:sz="12" w:space="0" w:color="999999"/>
              <w:bottom w:val="single" w:sz="4" w:space="0" w:color="D9D9D9" w:themeColor="background1" w:themeShade="D9"/>
            </w:tcBorders>
          </w:tcPr>
          <w:p w:rsidR="0054674E" w:rsidRPr="00EB3F35" w:rsidRDefault="0054674E" w:rsidP="000404E2">
            <w:pPr>
              <w:ind w:left="57"/>
              <w:jc w:val="left"/>
              <w:rPr>
                <w:rFonts w:ascii="Calibri" w:hAnsi="Calibri" w:cs="Calibri"/>
                <w:color w:val="002B45"/>
                <w:lang w:val="en-US"/>
              </w:rPr>
            </w:pPr>
            <w:r w:rsidRPr="00EB3F35">
              <w:rPr>
                <w:rFonts w:ascii="Calibri" w:hAnsi="Calibri" w:cs="Calibri"/>
                <w:color w:val="002B45"/>
                <w:lang w:val="en-US"/>
              </w:rPr>
              <w:t>n/a</w:t>
            </w:r>
          </w:p>
        </w:tc>
      </w:tr>
      <w:tr w:rsidR="0054674E" w:rsidRPr="00D776D0" w:rsidTr="000404E2">
        <w:trPr>
          <w:trHeight w:val="340"/>
        </w:trPr>
        <w:tc>
          <w:tcPr>
            <w:tcW w:w="2694" w:type="dxa"/>
            <w:tcBorders>
              <w:top w:val="single" w:sz="4" w:space="0" w:color="D9D9D9" w:themeColor="background1" w:themeShade="D9"/>
              <w:bottom w:val="single" w:sz="4" w:space="0" w:color="D9D9D9" w:themeColor="background1" w:themeShade="D9"/>
            </w:tcBorders>
          </w:tcPr>
          <w:p w:rsidR="0054674E" w:rsidRPr="00EB3F35" w:rsidRDefault="0054674E" w:rsidP="000404E2">
            <w:pPr>
              <w:ind w:left="57"/>
              <w:jc w:val="left"/>
              <w:rPr>
                <w:rFonts w:ascii="Calibri" w:hAnsi="Calibri" w:cs="Calibri"/>
                <w:color w:val="002B45"/>
                <w:lang w:val="en-US"/>
              </w:rPr>
            </w:pPr>
            <w:r w:rsidRPr="00EB3F35">
              <w:rPr>
                <w:rFonts w:ascii="Calibri" w:hAnsi="Calibri" w:cs="Calibri"/>
                <w:color w:val="002B45"/>
                <w:lang w:val="en-US"/>
              </w:rPr>
              <w:t>Intangible exploration and appraisal assets</w:t>
            </w:r>
          </w:p>
        </w:tc>
        <w:tc>
          <w:tcPr>
            <w:tcW w:w="2126" w:type="dxa"/>
            <w:tcBorders>
              <w:top w:val="single" w:sz="4" w:space="0" w:color="BFBFBF" w:themeColor="background1" w:themeShade="BF"/>
              <w:bottom w:val="single" w:sz="4" w:space="0" w:color="BFBFBF" w:themeColor="background1" w:themeShade="BF"/>
            </w:tcBorders>
            <w:shd w:val="clear" w:color="auto" w:fill="E6E6E6"/>
          </w:tcPr>
          <w:p w:rsidR="0054674E" w:rsidRPr="00EB3F35" w:rsidRDefault="0054674E" w:rsidP="000404E2">
            <w:pPr>
              <w:ind w:left="57"/>
              <w:jc w:val="left"/>
              <w:rPr>
                <w:rFonts w:ascii="Calibri" w:hAnsi="Calibri" w:cs="Calibri"/>
                <w:color w:val="002B45"/>
                <w:lang w:val="en-US"/>
              </w:rPr>
            </w:pPr>
            <w:r w:rsidRPr="00EB3F35">
              <w:rPr>
                <w:rFonts w:ascii="Calibri" w:hAnsi="Calibri" w:cs="Calibri"/>
                <w:color w:val="002B45"/>
                <w:lang w:val="en-US"/>
              </w:rPr>
              <w:t>$/boe of risked resources</w:t>
            </w:r>
          </w:p>
        </w:tc>
        <w:tc>
          <w:tcPr>
            <w:tcW w:w="4678" w:type="dxa"/>
            <w:tcBorders>
              <w:top w:val="single" w:sz="4" w:space="0" w:color="D9D9D9" w:themeColor="background1" w:themeShade="D9"/>
              <w:bottom w:val="single" w:sz="4" w:space="0" w:color="D9D9D9" w:themeColor="background1" w:themeShade="D9"/>
            </w:tcBorders>
          </w:tcPr>
          <w:p w:rsidR="0054674E" w:rsidRPr="00EB3F35" w:rsidRDefault="0054674E" w:rsidP="000404E2">
            <w:pPr>
              <w:ind w:left="57"/>
              <w:jc w:val="left"/>
              <w:rPr>
                <w:rFonts w:ascii="Calibri" w:hAnsi="Calibri" w:cs="Calibri"/>
                <w:color w:val="002B45"/>
                <w:lang w:val="en-US"/>
              </w:rPr>
            </w:pPr>
            <w:r w:rsidRPr="00EB3F35">
              <w:rPr>
                <w:rFonts w:ascii="Calibri" w:hAnsi="Calibri" w:cs="Calibri"/>
                <w:color w:val="002B45"/>
                <w:lang w:val="en-US"/>
              </w:rPr>
              <w:t>$/boe of risked resources</w:t>
            </w:r>
          </w:p>
        </w:tc>
      </w:tr>
      <w:tr w:rsidR="0054674E" w:rsidRPr="00D776D0" w:rsidTr="000404E2">
        <w:trPr>
          <w:trHeight w:val="340"/>
        </w:trPr>
        <w:tc>
          <w:tcPr>
            <w:tcW w:w="2694" w:type="dxa"/>
            <w:tcBorders>
              <w:top w:val="single" w:sz="4" w:space="0" w:color="D9D9D9" w:themeColor="background1" w:themeShade="D9"/>
              <w:bottom w:val="single" w:sz="4" w:space="0" w:color="D9D9D9" w:themeColor="background1" w:themeShade="D9"/>
            </w:tcBorders>
            <w:vAlign w:val="center"/>
          </w:tcPr>
          <w:p w:rsidR="0054674E" w:rsidRPr="00EB3F35" w:rsidRDefault="0054674E" w:rsidP="000404E2">
            <w:pPr>
              <w:ind w:left="57"/>
              <w:jc w:val="left"/>
              <w:rPr>
                <w:rFonts w:ascii="Calibri" w:hAnsi="Calibri" w:cs="Calibri"/>
                <w:color w:val="002B45"/>
                <w:lang w:val="en-US"/>
              </w:rPr>
            </w:pPr>
            <w:r w:rsidRPr="00EB3F35">
              <w:rPr>
                <w:rFonts w:ascii="Calibri" w:hAnsi="Calibri" w:cs="Calibri"/>
                <w:color w:val="002B45"/>
                <w:lang w:val="en-US"/>
              </w:rPr>
              <w:t>Property, plant and equipment</w:t>
            </w:r>
          </w:p>
        </w:tc>
        <w:tc>
          <w:tcPr>
            <w:tcW w:w="2126" w:type="dxa"/>
            <w:tcBorders>
              <w:top w:val="single" w:sz="4" w:space="0" w:color="BFBFBF" w:themeColor="background1" w:themeShade="BF"/>
              <w:bottom w:val="single" w:sz="4" w:space="0" w:color="BFBFBF" w:themeColor="background1" w:themeShade="BF"/>
            </w:tcBorders>
            <w:shd w:val="clear" w:color="auto" w:fill="E6E6E6"/>
            <w:vAlign w:val="center"/>
          </w:tcPr>
          <w:p w:rsidR="0054674E" w:rsidRPr="00EB3F35" w:rsidRDefault="0054674E" w:rsidP="000404E2">
            <w:pPr>
              <w:ind w:left="57"/>
              <w:jc w:val="left"/>
              <w:rPr>
                <w:rFonts w:ascii="Calibri" w:hAnsi="Calibri" w:cs="Calibri"/>
                <w:color w:val="002B45"/>
                <w:lang w:val="en-US"/>
              </w:rPr>
            </w:pPr>
            <w:r w:rsidRPr="00EB3F35">
              <w:rPr>
                <w:rFonts w:ascii="Calibri" w:hAnsi="Calibri" w:cs="Calibri"/>
                <w:color w:val="002B45"/>
                <w:lang w:val="en-US"/>
              </w:rPr>
              <w:t>Discounted cash flow</w:t>
            </w:r>
          </w:p>
        </w:tc>
        <w:tc>
          <w:tcPr>
            <w:tcW w:w="4678" w:type="dxa"/>
            <w:tcBorders>
              <w:top w:val="single" w:sz="4" w:space="0" w:color="D9D9D9" w:themeColor="background1" w:themeShade="D9"/>
              <w:bottom w:val="single" w:sz="4" w:space="0" w:color="D9D9D9" w:themeColor="background1" w:themeShade="D9"/>
            </w:tcBorders>
            <w:vAlign w:val="center"/>
          </w:tcPr>
          <w:p w:rsidR="0054674E" w:rsidRPr="00EB3F35" w:rsidRDefault="0054674E" w:rsidP="000404E2">
            <w:pPr>
              <w:ind w:left="57"/>
              <w:jc w:val="left"/>
              <w:rPr>
                <w:rFonts w:ascii="Calibri" w:hAnsi="Calibri" w:cs="Calibri"/>
                <w:color w:val="002B45"/>
                <w:lang w:val="en-US"/>
              </w:rPr>
            </w:pPr>
            <w:r w:rsidRPr="00EB3F35">
              <w:rPr>
                <w:rFonts w:ascii="Calibri" w:hAnsi="Calibri" w:cs="Calibri"/>
                <w:color w:val="002B45"/>
                <w:lang w:val="en-US"/>
              </w:rPr>
              <w:t>2P reserves, forward oil curve, 10% discount rate</w:t>
            </w:r>
          </w:p>
        </w:tc>
      </w:tr>
      <w:tr w:rsidR="0054674E" w:rsidRPr="00D776D0" w:rsidTr="000404E2">
        <w:trPr>
          <w:trHeight w:val="340"/>
        </w:trPr>
        <w:tc>
          <w:tcPr>
            <w:tcW w:w="2694" w:type="dxa"/>
            <w:tcBorders>
              <w:top w:val="single" w:sz="4" w:space="0" w:color="D9D9D9" w:themeColor="background1" w:themeShade="D9"/>
              <w:bottom w:val="single" w:sz="4" w:space="0" w:color="D9D9D9" w:themeColor="background1" w:themeShade="D9"/>
            </w:tcBorders>
            <w:vAlign w:val="center"/>
          </w:tcPr>
          <w:p w:rsidR="0054674E" w:rsidRPr="00EB3F35" w:rsidRDefault="0054674E" w:rsidP="000404E2">
            <w:pPr>
              <w:ind w:left="57"/>
              <w:jc w:val="left"/>
              <w:rPr>
                <w:rFonts w:ascii="Calibri" w:hAnsi="Calibri" w:cs="Calibri"/>
                <w:color w:val="002B45"/>
                <w:lang w:val="en-US"/>
              </w:rPr>
            </w:pPr>
            <w:r w:rsidRPr="00EB3F35">
              <w:rPr>
                <w:rFonts w:ascii="Calibri" w:hAnsi="Calibri" w:cs="Calibri"/>
                <w:color w:val="002B45"/>
                <w:lang w:val="en-US"/>
              </w:rPr>
              <w:t>Inventory</w:t>
            </w:r>
          </w:p>
        </w:tc>
        <w:tc>
          <w:tcPr>
            <w:tcW w:w="2126" w:type="dxa"/>
            <w:tcBorders>
              <w:top w:val="single" w:sz="4" w:space="0" w:color="BFBFBF" w:themeColor="background1" w:themeShade="BF"/>
              <w:bottom w:val="single" w:sz="4" w:space="0" w:color="BFBFBF" w:themeColor="background1" w:themeShade="BF"/>
            </w:tcBorders>
            <w:shd w:val="clear" w:color="auto" w:fill="E6E6E6"/>
            <w:vAlign w:val="center"/>
          </w:tcPr>
          <w:p w:rsidR="0054674E" w:rsidRPr="00EB3F35" w:rsidRDefault="0054674E" w:rsidP="000404E2">
            <w:pPr>
              <w:ind w:left="57"/>
              <w:jc w:val="left"/>
              <w:rPr>
                <w:rFonts w:ascii="Calibri" w:hAnsi="Calibri" w:cs="Calibri"/>
                <w:color w:val="002B45"/>
                <w:lang w:val="en-US"/>
              </w:rPr>
            </w:pPr>
            <w:r w:rsidRPr="00EB3F35">
              <w:rPr>
                <w:rFonts w:ascii="Calibri" w:hAnsi="Calibri" w:cs="Calibri"/>
                <w:color w:val="002B45"/>
                <w:lang w:val="en-US"/>
              </w:rPr>
              <w:t>Historic</w:t>
            </w:r>
            <w:r w:rsidR="00263A06">
              <w:rPr>
                <w:rFonts w:ascii="Calibri" w:hAnsi="Calibri" w:cs="Calibri"/>
                <w:color w:val="002B45"/>
                <w:lang w:val="en-US"/>
              </w:rPr>
              <w:t>al</w:t>
            </w:r>
            <w:r w:rsidRPr="00EB3F35">
              <w:rPr>
                <w:rFonts w:ascii="Calibri" w:hAnsi="Calibri" w:cs="Calibri"/>
                <w:color w:val="002B45"/>
                <w:lang w:val="en-US"/>
              </w:rPr>
              <w:t xml:space="preserve"> cost</w:t>
            </w:r>
          </w:p>
        </w:tc>
        <w:tc>
          <w:tcPr>
            <w:tcW w:w="4678" w:type="dxa"/>
            <w:tcBorders>
              <w:top w:val="single" w:sz="4" w:space="0" w:color="D9D9D9" w:themeColor="background1" w:themeShade="D9"/>
              <w:bottom w:val="single" w:sz="4" w:space="0" w:color="D9D9D9" w:themeColor="background1" w:themeShade="D9"/>
            </w:tcBorders>
            <w:vAlign w:val="center"/>
          </w:tcPr>
          <w:p w:rsidR="0054674E" w:rsidRPr="00EB3F35" w:rsidRDefault="0054674E" w:rsidP="000404E2">
            <w:pPr>
              <w:ind w:left="57"/>
              <w:jc w:val="left"/>
              <w:rPr>
                <w:rFonts w:ascii="Calibri" w:hAnsi="Calibri" w:cs="Calibri"/>
                <w:color w:val="002B45"/>
                <w:lang w:val="en-US"/>
              </w:rPr>
            </w:pPr>
            <w:r w:rsidRPr="00EB3F35">
              <w:rPr>
                <w:rFonts w:ascii="Calibri" w:hAnsi="Calibri" w:cs="Calibri"/>
                <w:color w:val="002B45"/>
                <w:lang w:val="en-US"/>
              </w:rPr>
              <w:t>Historic</w:t>
            </w:r>
            <w:r w:rsidR="00263A06">
              <w:rPr>
                <w:rFonts w:ascii="Calibri" w:hAnsi="Calibri" w:cs="Calibri"/>
                <w:color w:val="002B45"/>
                <w:lang w:val="en-US"/>
              </w:rPr>
              <w:t>al</w:t>
            </w:r>
            <w:r w:rsidRPr="00EB3F35">
              <w:rPr>
                <w:rFonts w:ascii="Calibri" w:hAnsi="Calibri" w:cs="Calibri"/>
                <w:color w:val="002B45"/>
                <w:lang w:val="en-US"/>
              </w:rPr>
              <w:t xml:space="preserve"> cost of all inventory lower than NRV</w:t>
            </w:r>
          </w:p>
        </w:tc>
      </w:tr>
      <w:tr w:rsidR="0054674E" w:rsidRPr="00D776D0" w:rsidTr="000404E2">
        <w:trPr>
          <w:trHeight w:val="340"/>
        </w:trPr>
        <w:tc>
          <w:tcPr>
            <w:tcW w:w="2694" w:type="dxa"/>
            <w:tcBorders>
              <w:top w:val="single" w:sz="4" w:space="0" w:color="D9D9D9" w:themeColor="background1" w:themeShade="D9"/>
              <w:bottom w:val="single" w:sz="4" w:space="0" w:color="D9D9D9" w:themeColor="background1" w:themeShade="D9"/>
            </w:tcBorders>
            <w:vAlign w:val="center"/>
          </w:tcPr>
          <w:p w:rsidR="0054674E" w:rsidRPr="00EB3F35" w:rsidRDefault="0054674E" w:rsidP="000404E2">
            <w:pPr>
              <w:ind w:left="57"/>
              <w:jc w:val="left"/>
              <w:rPr>
                <w:rFonts w:ascii="Calibri" w:hAnsi="Calibri" w:cs="Calibri"/>
                <w:color w:val="002B45"/>
                <w:lang w:val="en-US"/>
              </w:rPr>
            </w:pPr>
            <w:r w:rsidRPr="00EB3F35">
              <w:rPr>
                <w:rFonts w:ascii="Calibri" w:hAnsi="Calibri" w:cs="Calibri"/>
                <w:color w:val="002B45"/>
                <w:lang w:val="en-US"/>
              </w:rPr>
              <w:t>Provisions</w:t>
            </w:r>
            <w:r w:rsidRPr="00EB3F35">
              <w:rPr>
                <w:rFonts w:ascii="Calibri" w:hAnsi="Calibri" w:cs="Calibri"/>
                <w:color w:val="002B45"/>
                <w:vertAlign w:val="superscript"/>
                <w:lang w:val="en-US"/>
              </w:rPr>
              <w:t>2</w:t>
            </w:r>
          </w:p>
        </w:tc>
        <w:tc>
          <w:tcPr>
            <w:tcW w:w="2126" w:type="dxa"/>
            <w:tcBorders>
              <w:top w:val="single" w:sz="4" w:space="0" w:color="BFBFBF" w:themeColor="background1" w:themeShade="BF"/>
              <w:bottom w:val="single" w:sz="4" w:space="0" w:color="BFBFBF" w:themeColor="background1" w:themeShade="BF"/>
            </w:tcBorders>
            <w:shd w:val="clear" w:color="auto" w:fill="E6E6E6"/>
            <w:vAlign w:val="center"/>
          </w:tcPr>
          <w:p w:rsidR="0054674E" w:rsidRPr="00EB3F35" w:rsidRDefault="0054674E" w:rsidP="000404E2">
            <w:pPr>
              <w:ind w:left="57"/>
              <w:jc w:val="left"/>
              <w:rPr>
                <w:rFonts w:ascii="Calibri" w:hAnsi="Calibri" w:cs="Calibri"/>
                <w:color w:val="002B45"/>
                <w:lang w:val="en-US"/>
              </w:rPr>
            </w:pPr>
            <w:r w:rsidRPr="00EB3F35">
              <w:rPr>
                <w:rFonts w:ascii="Calibri" w:hAnsi="Calibri" w:cs="Calibri"/>
                <w:color w:val="002B45"/>
                <w:lang w:val="en-US"/>
              </w:rPr>
              <w:t>Present value</w:t>
            </w:r>
          </w:p>
        </w:tc>
        <w:tc>
          <w:tcPr>
            <w:tcW w:w="4678" w:type="dxa"/>
            <w:tcBorders>
              <w:top w:val="single" w:sz="4" w:space="0" w:color="D9D9D9" w:themeColor="background1" w:themeShade="D9"/>
              <w:bottom w:val="single" w:sz="4" w:space="0" w:color="D9D9D9" w:themeColor="background1" w:themeShade="D9"/>
            </w:tcBorders>
            <w:vAlign w:val="center"/>
          </w:tcPr>
          <w:p w:rsidR="0054674E" w:rsidRPr="00EB3F35" w:rsidRDefault="0054674E" w:rsidP="000404E2">
            <w:pPr>
              <w:ind w:left="57"/>
              <w:jc w:val="left"/>
              <w:rPr>
                <w:rFonts w:ascii="Calibri" w:hAnsi="Calibri" w:cs="Calibri"/>
                <w:color w:val="002B45"/>
                <w:lang w:val="en-US"/>
              </w:rPr>
            </w:pPr>
            <w:r w:rsidRPr="00EB3F35">
              <w:rPr>
                <w:rFonts w:ascii="Calibri" w:hAnsi="Calibri" w:cs="Calibri"/>
                <w:color w:val="002B45"/>
                <w:lang w:val="en-US"/>
              </w:rPr>
              <w:t>4% discount rate, 2% inflation, operator cost estimate</w:t>
            </w:r>
          </w:p>
        </w:tc>
      </w:tr>
      <w:tr w:rsidR="0054674E" w:rsidRPr="00D776D0" w:rsidTr="000404E2">
        <w:trPr>
          <w:trHeight w:val="340"/>
        </w:trPr>
        <w:tc>
          <w:tcPr>
            <w:tcW w:w="2694" w:type="dxa"/>
            <w:tcBorders>
              <w:top w:val="single" w:sz="4" w:space="0" w:color="D9D9D9" w:themeColor="background1" w:themeShade="D9"/>
              <w:bottom w:val="single" w:sz="4" w:space="0" w:color="D9D9D9" w:themeColor="background1" w:themeShade="D9"/>
            </w:tcBorders>
            <w:vAlign w:val="center"/>
          </w:tcPr>
          <w:p w:rsidR="0054674E" w:rsidRPr="00EB3F35" w:rsidRDefault="0054674E" w:rsidP="000404E2">
            <w:pPr>
              <w:ind w:left="57"/>
              <w:jc w:val="left"/>
              <w:rPr>
                <w:rFonts w:ascii="Calibri" w:hAnsi="Calibri" w:cs="Calibri"/>
                <w:color w:val="002B45"/>
                <w:lang w:val="en-US"/>
              </w:rPr>
            </w:pPr>
            <w:r w:rsidRPr="00EB3F35">
              <w:rPr>
                <w:rFonts w:ascii="Calibri" w:hAnsi="Calibri" w:cs="Calibri"/>
                <w:color w:val="002B45"/>
                <w:lang w:val="en-US"/>
              </w:rPr>
              <w:t>Contingent consideration</w:t>
            </w:r>
          </w:p>
        </w:tc>
        <w:tc>
          <w:tcPr>
            <w:tcW w:w="2126" w:type="dxa"/>
            <w:tcBorders>
              <w:top w:val="single" w:sz="4" w:space="0" w:color="BFBFBF" w:themeColor="background1" w:themeShade="BF"/>
              <w:bottom w:val="single" w:sz="4" w:space="0" w:color="BFBFBF" w:themeColor="background1" w:themeShade="BF"/>
            </w:tcBorders>
            <w:shd w:val="clear" w:color="auto" w:fill="E6E6E6"/>
            <w:vAlign w:val="center"/>
          </w:tcPr>
          <w:p w:rsidR="0054674E" w:rsidRPr="00EB3F35" w:rsidRDefault="0054674E" w:rsidP="000404E2">
            <w:pPr>
              <w:ind w:left="57"/>
              <w:jc w:val="left"/>
              <w:rPr>
                <w:rFonts w:ascii="Calibri" w:hAnsi="Calibri" w:cs="Calibri"/>
                <w:color w:val="002B45"/>
                <w:lang w:val="en-US"/>
              </w:rPr>
            </w:pPr>
            <w:r w:rsidRPr="00EB3F35">
              <w:rPr>
                <w:rFonts w:ascii="Calibri" w:hAnsi="Calibri" w:cs="Calibri"/>
                <w:color w:val="002B45"/>
                <w:lang w:val="en-US"/>
              </w:rPr>
              <w:t>Discounted cash flow</w:t>
            </w:r>
          </w:p>
        </w:tc>
        <w:tc>
          <w:tcPr>
            <w:tcW w:w="4678" w:type="dxa"/>
            <w:tcBorders>
              <w:top w:val="single" w:sz="4" w:space="0" w:color="D9D9D9" w:themeColor="background1" w:themeShade="D9"/>
              <w:bottom w:val="single" w:sz="4" w:space="0" w:color="D9D9D9" w:themeColor="background1" w:themeShade="D9"/>
            </w:tcBorders>
            <w:vAlign w:val="center"/>
          </w:tcPr>
          <w:p w:rsidR="0054674E" w:rsidRPr="00EB3F35" w:rsidRDefault="0054674E" w:rsidP="000404E2">
            <w:pPr>
              <w:ind w:left="57"/>
              <w:jc w:val="left"/>
              <w:rPr>
                <w:rFonts w:ascii="Calibri" w:hAnsi="Calibri" w:cs="Calibri"/>
                <w:color w:val="002B45"/>
                <w:lang w:val="en-US"/>
              </w:rPr>
            </w:pPr>
            <w:r w:rsidRPr="00EB3F35">
              <w:rPr>
                <w:rFonts w:ascii="Calibri" w:hAnsi="Calibri" w:cs="Calibri"/>
                <w:color w:val="002B45"/>
                <w:lang w:val="en-US"/>
              </w:rPr>
              <w:t>$/bbl of risked resources</w:t>
            </w:r>
            <w:r w:rsidRPr="00EB3F35">
              <w:rPr>
                <w:rFonts w:ascii="Calibri" w:hAnsi="Calibri" w:cs="Calibri"/>
                <w:color w:val="002B45"/>
                <w:vertAlign w:val="superscript"/>
                <w:lang w:val="en-US"/>
              </w:rPr>
              <w:t>3</w:t>
            </w:r>
            <w:r w:rsidRPr="00EB3F35">
              <w:rPr>
                <w:rFonts w:ascii="Calibri" w:hAnsi="Calibri" w:cs="Calibri"/>
                <w:color w:val="002B45"/>
                <w:lang w:val="en-US"/>
              </w:rPr>
              <w:t>, 8% discount rate</w:t>
            </w:r>
          </w:p>
        </w:tc>
      </w:tr>
      <w:tr w:rsidR="0054674E" w:rsidRPr="00D776D0" w:rsidTr="00970806">
        <w:trPr>
          <w:trHeight w:val="340"/>
        </w:trPr>
        <w:tc>
          <w:tcPr>
            <w:tcW w:w="2694" w:type="dxa"/>
            <w:tcBorders>
              <w:top w:val="single" w:sz="4" w:space="0" w:color="D9D9D9" w:themeColor="background1" w:themeShade="D9"/>
              <w:bottom w:val="single" w:sz="8" w:space="0" w:color="BFBFBF" w:themeColor="background1" w:themeShade="BF"/>
            </w:tcBorders>
            <w:vAlign w:val="center"/>
          </w:tcPr>
          <w:p w:rsidR="0054674E" w:rsidRPr="00EB3F35" w:rsidRDefault="0054674E" w:rsidP="000404E2">
            <w:pPr>
              <w:ind w:left="57"/>
              <w:jc w:val="left"/>
              <w:rPr>
                <w:rFonts w:ascii="Calibri" w:hAnsi="Calibri" w:cs="Calibri"/>
                <w:color w:val="002B45"/>
                <w:lang w:val="en-US"/>
              </w:rPr>
            </w:pPr>
            <w:r w:rsidRPr="00EB3F35">
              <w:rPr>
                <w:rFonts w:ascii="Calibri" w:hAnsi="Calibri" w:cs="Calibri"/>
                <w:color w:val="002B45"/>
                <w:lang w:val="en-US"/>
              </w:rPr>
              <w:t>All other items</w:t>
            </w:r>
            <w:r w:rsidRPr="00EB3F35">
              <w:rPr>
                <w:rFonts w:ascii="Calibri" w:hAnsi="Calibri" w:cs="Calibri"/>
                <w:color w:val="002B45"/>
                <w:vertAlign w:val="superscript"/>
                <w:lang w:val="en-US"/>
              </w:rPr>
              <w:t>4</w:t>
            </w:r>
          </w:p>
        </w:tc>
        <w:tc>
          <w:tcPr>
            <w:tcW w:w="2126" w:type="dxa"/>
            <w:tcBorders>
              <w:top w:val="single" w:sz="4" w:space="0" w:color="BFBFBF" w:themeColor="background1" w:themeShade="BF"/>
              <w:bottom w:val="single" w:sz="8" w:space="0" w:color="BFBFBF" w:themeColor="background1" w:themeShade="BF"/>
            </w:tcBorders>
            <w:shd w:val="clear" w:color="auto" w:fill="E6E6E6"/>
            <w:vAlign w:val="center"/>
          </w:tcPr>
          <w:p w:rsidR="0054674E" w:rsidRPr="00EB3F35" w:rsidRDefault="0054674E" w:rsidP="000404E2">
            <w:pPr>
              <w:ind w:left="57"/>
              <w:jc w:val="left"/>
              <w:rPr>
                <w:rFonts w:ascii="Calibri" w:hAnsi="Calibri" w:cs="Calibri"/>
                <w:color w:val="002B45"/>
                <w:lang w:val="en-US"/>
              </w:rPr>
            </w:pPr>
            <w:r w:rsidRPr="00EB3F35">
              <w:rPr>
                <w:rFonts w:ascii="Calibri" w:hAnsi="Calibri" w:cs="Calibri"/>
                <w:color w:val="002B45"/>
                <w:lang w:val="en-US"/>
              </w:rPr>
              <w:t>Carrying value</w:t>
            </w:r>
          </w:p>
        </w:tc>
        <w:tc>
          <w:tcPr>
            <w:tcW w:w="4678" w:type="dxa"/>
            <w:tcBorders>
              <w:top w:val="single" w:sz="4" w:space="0" w:color="D9D9D9" w:themeColor="background1" w:themeShade="D9"/>
              <w:bottom w:val="single" w:sz="8" w:space="0" w:color="BFBFBF" w:themeColor="background1" w:themeShade="BF"/>
            </w:tcBorders>
            <w:vAlign w:val="center"/>
          </w:tcPr>
          <w:p w:rsidR="0054674E" w:rsidRPr="00EB3F35" w:rsidRDefault="0054674E" w:rsidP="000404E2">
            <w:pPr>
              <w:ind w:left="57"/>
              <w:jc w:val="left"/>
              <w:rPr>
                <w:rFonts w:ascii="Calibri" w:hAnsi="Calibri" w:cs="Calibri"/>
                <w:color w:val="002B45"/>
                <w:lang w:val="en-US"/>
              </w:rPr>
            </w:pPr>
            <w:r w:rsidRPr="00EB3F35">
              <w:rPr>
                <w:rFonts w:ascii="Calibri" w:hAnsi="Calibri" w:cs="Calibri"/>
                <w:color w:val="002B45"/>
                <w:lang w:val="en-US"/>
              </w:rPr>
              <w:t>The carrying value is equal to fair value</w:t>
            </w:r>
          </w:p>
        </w:tc>
      </w:tr>
    </w:tbl>
    <w:p w:rsidR="00871692" w:rsidRPr="00970806" w:rsidRDefault="00871692" w:rsidP="00970806">
      <w:pPr>
        <w:pStyle w:val="ListParagraph"/>
        <w:numPr>
          <w:ilvl w:val="0"/>
          <w:numId w:val="16"/>
        </w:numPr>
        <w:spacing w:before="120" w:after="40"/>
        <w:ind w:left="284" w:hanging="284"/>
        <w:rPr>
          <w:rFonts w:cs="Calibri"/>
          <w:i/>
          <w:color w:val="5F5F5F"/>
          <w:sz w:val="19"/>
          <w:szCs w:val="19"/>
          <w:lang w:val="en-IE"/>
        </w:rPr>
      </w:pPr>
      <w:r w:rsidRPr="00970806">
        <w:rPr>
          <w:rFonts w:cs="Calibri"/>
          <w:i/>
          <w:color w:val="5F5F5F"/>
          <w:sz w:val="19"/>
          <w:szCs w:val="19"/>
          <w:lang w:val="en-IE"/>
        </w:rPr>
        <w:t xml:space="preserve">The total purchase consideration equals the aggregate of the pre-tax fair value of the identifiable assets and liabilities of Spring. Given the nature of the oil and gas regime in Norway, the fair value of the business acquired has been determined based on the purchase price which is net of tax attributes. As a consequence, the goodwill balance solely results from the requirement on an acquisition to recognise a deferred tax liability, calculated as the difference between the tax effect of the fair value of the acquired assets and liabilities and their tax bases. </w:t>
      </w:r>
    </w:p>
    <w:p w:rsidR="00871692" w:rsidRPr="00970806" w:rsidRDefault="00871692" w:rsidP="00970806">
      <w:pPr>
        <w:pStyle w:val="ListParagraph"/>
        <w:numPr>
          <w:ilvl w:val="0"/>
          <w:numId w:val="16"/>
        </w:numPr>
        <w:spacing w:after="40"/>
        <w:ind w:left="284" w:hanging="284"/>
        <w:rPr>
          <w:rFonts w:cs="Calibri"/>
          <w:i/>
          <w:color w:val="5F5F5F"/>
          <w:sz w:val="19"/>
          <w:szCs w:val="19"/>
          <w:lang w:val="en-IE"/>
        </w:rPr>
      </w:pPr>
      <w:r w:rsidRPr="00970806">
        <w:rPr>
          <w:rFonts w:cs="Calibri"/>
          <w:i/>
          <w:color w:val="5F5F5F"/>
          <w:sz w:val="19"/>
          <w:szCs w:val="19"/>
          <w:lang w:val="en-IE"/>
        </w:rPr>
        <w:t>Provisions represent the present value of decommissioning costs ($18.6 million) which are expected to be incurred up to 2025 and a $10.0 million liability on development of the PL407 licence.</w:t>
      </w:r>
    </w:p>
    <w:p w:rsidR="00871692" w:rsidRPr="00970806" w:rsidRDefault="00871692" w:rsidP="00970806">
      <w:pPr>
        <w:pStyle w:val="ListParagraph"/>
        <w:numPr>
          <w:ilvl w:val="0"/>
          <w:numId w:val="16"/>
        </w:numPr>
        <w:spacing w:after="40"/>
        <w:ind w:left="284" w:hanging="284"/>
        <w:rPr>
          <w:rFonts w:cs="Calibri"/>
          <w:i/>
          <w:color w:val="5F5F5F"/>
          <w:sz w:val="19"/>
          <w:szCs w:val="19"/>
          <w:lang w:val="en-IE"/>
        </w:rPr>
      </w:pPr>
      <w:r w:rsidRPr="00970806">
        <w:rPr>
          <w:rFonts w:cs="Calibri"/>
          <w:i/>
          <w:color w:val="5F5F5F"/>
          <w:sz w:val="19"/>
          <w:szCs w:val="19"/>
          <w:lang w:val="en-IE"/>
        </w:rPr>
        <w:t xml:space="preserve">The contingent consideration represents the fair value of a contingent amount payable to the previous owners of Spring. The payable is calculated as $0.5/bbl to $1.0/bbl of recoverable resources recognised by </w:t>
      </w:r>
      <w:r w:rsidR="0054674E" w:rsidRPr="00970806">
        <w:rPr>
          <w:rFonts w:cs="Calibri"/>
          <w:i/>
          <w:color w:val="5F5F5F"/>
          <w:sz w:val="19"/>
          <w:szCs w:val="19"/>
          <w:lang w:val="en-IE"/>
        </w:rPr>
        <w:t xml:space="preserve">four </w:t>
      </w:r>
      <w:r w:rsidRPr="00970806">
        <w:rPr>
          <w:rFonts w:cs="Calibri"/>
          <w:i/>
          <w:color w:val="5F5F5F"/>
          <w:sz w:val="19"/>
          <w:szCs w:val="19"/>
          <w:lang w:val="en-IE"/>
        </w:rPr>
        <w:t>operated wells expected to be drilled in 2013 and 2014 and is capped at $300 million.</w:t>
      </w:r>
    </w:p>
    <w:p w:rsidR="00871692" w:rsidRPr="00970806" w:rsidRDefault="00871692" w:rsidP="00970806">
      <w:pPr>
        <w:pStyle w:val="ListParagraph"/>
        <w:numPr>
          <w:ilvl w:val="0"/>
          <w:numId w:val="16"/>
        </w:numPr>
        <w:spacing w:after="40"/>
        <w:ind w:left="284" w:hanging="284"/>
        <w:rPr>
          <w:rFonts w:cs="Calibri"/>
          <w:i/>
          <w:color w:val="5F5F5F"/>
          <w:sz w:val="19"/>
          <w:szCs w:val="19"/>
          <w:lang w:val="en-IE"/>
        </w:rPr>
      </w:pPr>
      <w:r w:rsidRPr="00970806">
        <w:rPr>
          <w:rFonts w:cs="Calibri"/>
          <w:i/>
          <w:color w:val="5F5F5F"/>
          <w:sz w:val="19"/>
          <w:szCs w:val="19"/>
          <w:lang w:val="en-IE"/>
        </w:rPr>
        <w:t>All other items includes, other non-current assets, trade receivables, other current assets, current tax assets, cash and cash equivalents, trade and other payables, other financial liabilities and deferred tax liabilities.</w:t>
      </w:r>
    </w:p>
    <w:p w:rsidR="00871692" w:rsidRPr="00970806" w:rsidRDefault="00871692" w:rsidP="00970806">
      <w:pPr>
        <w:pStyle w:val="ListParagraph"/>
        <w:numPr>
          <w:ilvl w:val="0"/>
          <w:numId w:val="16"/>
        </w:numPr>
        <w:spacing w:after="40"/>
        <w:ind w:left="284" w:hanging="284"/>
        <w:rPr>
          <w:rFonts w:cs="Calibri"/>
          <w:i/>
          <w:color w:val="5F5F5F"/>
          <w:sz w:val="19"/>
          <w:szCs w:val="19"/>
          <w:lang w:val="en-IE"/>
        </w:rPr>
      </w:pPr>
      <w:r w:rsidRPr="00970806">
        <w:rPr>
          <w:rFonts w:cs="Calibri"/>
          <w:i/>
          <w:color w:val="5F5F5F"/>
          <w:sz w:val="19"/>
          <w:szCs w:val="19"/>
          <w:lang w:val="en-IE"/>
        </w:rPr>
        <w:t xml:space="preserve">Other current financial liabilities at 31 December and at the acquisition date relate to Spring’s Exploration </w:t>
      </w:r>
      <w:r w:rsidR="0054674E" w:rsidRPr="00970806">
        <w:rPr>
          <w:rFonts w:cs="Calibri"/>
          <w:i/>
          <w:color w:val="5F5F5F"/>
          <w:sz w:val="19"/>
          <w:szCs w:val="19"/>
          <w:lang w:val="en-IE"/>
        </w:rPr>
        <w:t xml:space="preserve">Finance </w:t>
      </w:r>
      <w:r w:rsidRPr="00970806">
        <w:rPr>
          <w:rFonts w:cs="Calibri"/>
          <w:i/>
          <w:color w:val="5F5F5F"/>
          <w:sz w:val="19"/>
          <w:szCs w:val="19"/>
          <w:lang w:val="en-IE"/>
        </w:rPr>
        <w:t>Facility, which provides funding for 74% of Norwegian exploration costs secured against the exploration tax refund on exploration expenditure of 78%</w:t>
      </w:r>
    </w:p>
    <w:p w:rsidR="00871692" w:rsidRDefault="00871692" w:rsidP="00533602">
      <w:pPr>
        <w:spacing w:before="240" w:after="120"/>
        <w:rPr>
          <w:rFonts w:ascii="Calibri" w:hAnsi="Calibri" w:cs="Calibri"/>
          <w:color w:val="5F5F5F"/>
          <w:lang w:val="en-IE"/>
        </w:rPr>
      </w:pPr>
      <w:r w:rsidRPr="00EB3F35">
        <w:rPr>
          <w:rFonts w:ascii="Calibri" w:hAnsi="Calibri" w:cs="Calibri"/>
          <w:color w:val="5F5F5F"/>
          <w:lang w:val="en-IE"/>
        </w:rPr>
        <w:t>Transaction costs of $0.9m in respect of the acquisition are recognised in the 2013 income statement. From the date of acquisition, Spring has contributed $11.2 million to Group revenues and a loss of $17.7 million to the profit of the Group. If the acquisition had been completed on the first day of the financial year, Group revenues for the period would have been $2,647.8 million and Group profit would have been $216.9 million.</w:t>
      </w:r>
    </w:p>
    <w:p w:rsidR="00871692" w:rsidRDefault="00871692" w:rsidP="00871692">
      <w:pPr>
        <w:spacing w:after="240"/>
        <w:rPr>
          <w:rFonts w:ascii="Calibri" w:hAnsi="Calibri" w:cs="Calibri"/>
          <w:color w:val="5F5F5F"/>
          <w:lang w:val="en-IE"/>
        </w:rPr>
      </w:pPr>
      <w:r w:rsidRPr="00C0534B">
        <w:rPr>
          <w:rFonts w:ascii="Calibri" w:hAnsi="Calibri" w:cs="Calibri"/>
          <w:color w:val="5F5F5F"/>
          <w:lang w:val="en-IE"/>
        </w:rPr>
        <w:t>There were no acquisitions involving business combinations in 2012.</w:t>
      </w:r>
    </w:p>
    <w:p w:rsidR="00871692" w:rsidRPr="00970806" w:rsidRDefault="00871692" w:rsidP="00970806">
      <w:pPr>
        <w:numPr>
          <w:ilvl w:val="0"/>
          <w:numId w:val="6"/>
        </w:numPr>
        <w:spacing w:before="240" w:after="40"/>
        <w:ind w:left="0" w:firstLine="0"/>
        <w:rPr>
          <w:rFonts w:ascii="Calibri" w:hAnsi="Calibri" w:cs="Calibri"/>
          <w:b/>
          <w:color w:val="00305C"/>
          <w:sz w:val="22"/>
          <w:szCs w:val="22"/>
          <w:lang w:val="en-US"/>
        </w:rPr>
      </w:pPr>
      <w:r w:rsidRPr="00970806">
        <w:rPr>
          <w:rFonts w:ascii="Calibri" w:hAnsi="Calibri" w:cs="Calibri"/>
          <w:b/>
          <w:color w:val="00305C"/>
          <w:sz w:val="22"/>
          <w:szCs w:val="22"/>
          <w:lang w:val="en-US"/>
        </w:rPr>
        <w:t>Disposals</w:t>
      </w:r>
    </w:p>
    <w:p w:rsidR="00871692" w:rsidRPr="00EB3F35" w:rsidRDefault="00871692" w:rsidP="00970806">
      <w:pPr>
        <w:spacing w:after="120"/>
        <w:rPr>
          <w:rFonts w:ascii="Calibri" w:hAnsi="Calibri" w:cs="Calibri"/>
          <w:color w:val="5F5F5F"/>
          <w:lang w:val="en-IE"/>
        </w:rPr>
      </w:pPr>
      <w:r w:rsidRPr="00EB3F35">
        <w:rPr>
          <w:rFonts w:ascii="Calibri" w:hAnsi="Calibri" w:cs="Calibri"/>
          <w:color w:val="5F5F5F"/>
          <w:lang w:val="en-IE"/>
        </w:rPr>
        <w:t xml:space="preserve">In 2013 the Group completed the disposal of Tullow Bangladesh Limited for $41.4 million which </w:t>
      </w:r>
      <w:r>
        <w:rPr>
          <w:rFonts w:ascii="Calibri" w:hAnsi="Calibri" w:cs="Calibri"/>
          <w:color w:val="5F5F5F"/>
          <w:lang w:val="en-IE"/>
        </w:rPr>
        <w:t>w</w:t>
      </w:r>
      <w:r w:rsidRPr="00EB3F35">
        <w:rPr>
          <w:rFonts w:ascii="Calibri" w:hAnsi="Calibri" w:cs="Calibri"/>
          <w:color w:val="5F5F5F"/>
          <w:lang w:val="en-IE"/>
        </w:rPr>
        <w:t>as pr</w:t>
      </w:r>
      <w:r>
        <w:rPr>
          <w:rFonts w:ascii="Calibri" w:hAnsi="Calibri" w:cs="Calibri"/>
          <w:color w:val="5F5F5F"/>
          <w:lang w:val="en-IE"/>
        </w:rPr>
        <w:t xml:space="preserve">eviously </w:t>
      </w:r>
      <w:r w:rsidR="0054674E">
        <w:rPr>
          <w:rFonts w:ascii="Calibri" w:hAnsi="Calibri" w:cs="Calibri"/>
          <w:color w:val="5F5F5F"/>
          <w:lang w:val="en-IE"/>
        </w:rPr>
        <w:t xml:space="preserve">classified as </w:t>
      </w:r>
      <w:r>
        <w:rPr>
          <w:rFonts w:ascii="Calibri" w:hAnsi="Calibri" w:cs="Calibri"/>
          <w:color w:val="5F5F5F"/>
          <w:lang w:val="en-IE"/>
        </w:rPr>
        <w:t>held for sale</w:t>
      </w:r>
      <w:r w:rsidRPr="00EB3F35">
        <w:rPr>
          <w:rFonts w:ascii="Calibri" w:hAnsi="Calibri" w:cs="Calibri"/>
          <w:color w:val="5F5F5F"/>
          <w:lang w:val="en-IE"/>
        </w:rPr>
        <w:t xml:space="preserve">. </w:t>
      </w:r>
      <w:r w:rsidR="001808A9">
        <w:rPr>
          <w:rFonts w:ascii="Calibri" w:hAnsi="Calibri" w:cs="Calibri"/>
          <w:color w:val="5F5F5F"/>
          <w:lang w:val="en-IE"/>
        </w:rPr>
        <w:t>D</w:t>
      </w:r>
      <w:r w:rsidR="0054674E" w:rsidRPr="00126A06">
        <w:rPr>
          <w:rFonts w:ascii="Calibri" w:hAnsi="Calibri" w:cs="Calibri"/>
          <w:color w:val="5F5F5F"/>
          <w:lang w:val="en-IE"/>
        </w:rPr>
        <w:t xml:space="preserve">uring 2013 the Group </w:t>
      </w:r>
      <w:r w:rsidR="001808A9">
        <w:rPr>
          <w:rFonts w:ascii="Calibri" w:hAnsi="Calibri" w:cs="Calibri"/>
          <w:color w:val="5F5F5F"/>
          <w:lang w:val="en-IE"/>
        </w:rPr>
        <w:t xml:space="preserve">also </w:t>
      </w:r>
      <w:r w:rsidR="0054674E" w:rsidRPr="00126A06">
        <w:rPr>
          <w:rFonts w:ascii="Calibri" w:hAnsi="Calibri" w:cs="Calibri"/>
          <w:color w:val="5F5F5F"/>
          <w:lang w:val="en-IE"/>
        </w:rPr>
        <w:t>farmed down a portion of its interest in CI-103 in Côte d’Ivoire and received $8.</w:t>
      </w:r>
      <w:r w:rsidR="001808A9">
        <w:rPr>
          <w:rFonts w:ascii="Calibri" w:hAnsi="Calibri" w:cs="Calibri"/>
          <w:color w:val="5F5F5F"/>
          <w:lang w:val="en-IE"/>
        </w:rPr>
        <w:t>6</w:t>
      </w:r>
      <w:r w:rsidR="0054674E" w:rsidRPr="00126A06">
        <w:rPr>
          <w:rFonts w:ascii="Calibri" w:hAnsi="Calibri" w:cs="Calibri"/>
          <w:color w:val="5F5F5F"/>
          <w:lang w:val="en-IE"/>
        </w:rPr>
        <w:t xml:space="preserve"> million in cash for past costs</w:t>
      </w:r>
      <w:r w:rsidR="0054674E">
        <w:rPr>
          <w:rFonts w:ascii="Calibri" w:hAnsi="Calibri" w:cs="Calibri"/>
          <w:color w:val="5F5F5F"/>
          <w:lang w:val="en-IE"/>
        </w:rPr>
        <w:t>.</w:t>
      </w:r>
    </w:p>
    <w:p w:rsidR="00871692" w:rsidRPr="00EB3F35" w:rsidRDefault="00871692" w:rsidP="00970806">
      <w:pPr>
        <w:spacing w:after="120"/>
        <w:rPr>
          <w:rFonts w:ascii="Calibri" w:hAnsi="Calibri" w:cs="Calibri"/>
          <w:color w:val="5F5F5F"/>
          <w:lang w:val="en-IE"/>
        </w:rPr>
      </w:pPr>
      <w:r w:rsidRPr="00EB3F35">
        <w:rPr>
          <w:rFonts w:ascii="Calibri" w:hAnsi="Calibri" w:cs="Calibri"/>
          <w:color w:val="5F5F5F"/>
          <w:lang w:val="en-IE"/>
        </w:rPr>
        <w:t xml:space="preserve">In 2012 the Group completed the farm-down of one-third of its Uganda interests to both Total and CNOOC (“the partners”) for consideration of $3.3 billion (including $341.3 million of discounted contingent consideration), generating a profit on disposal of $701.0 million. </w:t>
      </w:r>
    </w:p>
    <w:p w:rsidR="001808A9" w:rsidRPr="00263A06" w:rsidRDefault="001808A9" w:rsidP="001808A9">
      <w:pPr>
        <w:spacing w:after="120"/>
        <w:rPr>
          <w:rFonts w:ascii="Calibri" w:hAnsi="Calibri" w:cs="Calibri"/>
          <w:color w:val="5F5F5F"/>
          <w:lang w:val="en-IE"/>
        </w:rPr>
      </w:pPr>
      <w:r w:rsidRPr="00263A06">
        <w:rPr>
          <w:rFonts w:ascii="Calibri" w:hAnsi="Calibri" w:cs="Calibri"/>
          <w:color w:val="5F5F5F"/>
          <w:lang w:val="en-IE"/>
        </w:rPr>
        <w:t xml:space="preserve">In 2012 </w:t>
      </w:r>
      <w:r>
        <w:rPr>
          <w:rFonts w:ascii="Calibri" w:hAnsi="Calibri" w:cs="Calibri"/>
          <w:color w:val="5F5F5F"/>
          <w:lang w:val="en-IE"/>
        </w:rPr>
        <w:t xml:space="preserve">the </w:t>
      </w:r>
      <w:r w:rsidRPr="00263A06">
        <w:rPr>
          <w:rFonts w:ascii="Calibri" w:hAnsi="Calibri" w:cs="Calibri"/>
          <w:color w:val="5F5F5F"/>
          <w:lang w:val="en-IE"/>
        </w:rPr>
        <w:t>Group provided for $30.0 million in respect to the $313.0 million recoverable security paid by Tullow to the Uganda Revenue Authority as agent to the transaction between Tullow and Heritage</w:t>
      </w:r>
      <w:r>
        <w:rPr>
          <w:rFonts w:ascii="Calibri" w:hAnsi="Calibri" w:cs="Calibri"/>
          <w:color w:val="5F5F5F"/>
          <w:lang w:val="en-IE"/>
        </w:rPr>
        <w:t xml:space="preserve"> Oil and Gas L</w:t>
      </w:r>
      <w:r w:rsidRPr="00263A06">
        <w:rPr>
          <w:rFonts w:ascii="Calibri" w:hAnsi="Calibri" w:cs="Calibri"/>
          <w:color w:val="5F5F5F"/>
          <w:lang w:val="en-IE"/>
        </w:rPr>
        <w:t>td. This balance was initially capitalised as a cost of the Uganda assets and subsequently disposed</w:t>
      </w:r>
      <w:r>
        <w:rPr>
          <w:rFonts w:ascii="Calibri" w:hAnsi="Calibri" w:cs="Calibri"/>
          <w:color w:val="5F5F5F"/>
          <w:lang w:val="en-IE"/>
        </w:rPr>
        <w:t>,</w:t>
      </w:r>
      <w:r w:rsidRPr="00263A06">
        <w:rPr>
          <w:rFonts w:ascii="Calibri" w:hAnsi="Calibri" w:cs="Calibri"/>
          <w:color w:val="5F5F5F"/>
          <w:lang w:val="en-IE"/>
        </w:rPr>
        <w:t xml:space="preserve"> therefore on receipt of the receivable in full the Group recorded a profit on disposal in the 2013 income statement of $30.0 million. The $30.0 million balance previously provided for has been treated as an investing activity in the cash flow statement whereas the remaining $283.0 million is treated as a decrease in </w:t>
      </w:r>
      <w:r>
        <w:rPr>
          <w:rFonts w:ascii="Calibri" w:hAnsi="Calibri" w:cs="Calibri"/>
          <w:color w:val="5F5F5F"/>
          <w:lang w:val="en-IE"/>
        </w:rPr>
        <w:t xml:space="preserve">trade and other </w:t>
      </w:r>
      <w:r w:rsidRPr="00263A06">
        <w:rPr>
          <w:rFonts w:ascii="Calibri" w:hAnsi="Calibri" w:cs="Calibri"/>
          <w:color w:val="5F5F5F"/>
          <w:lang w:val="en-IE"/>
        </w:rPr>
        <w:t xml:space="preserve">receivables. </w:t>
      </w:r>
    </w:p>
    <w:p w:rsidR="00871692" w:rsidRDefault="00871692" w:rsidP="00970806">
      <w:pPr>
        <w:spacing w:after="120"/>
        <w:rPr>
          <w:rFonts w:ascii="Calibri" w:hAnsi="Calibri" w:cs="Calibri"/>
          <w:color w:val="5F5F5F"/>
          <w:lang w:val="en-IE"/>
        </w:rPr>
      </w:pPr>
      <w:r w:rsidRPr="00EB3F35">
        <w:rPr>
          <w:rFonts w:ascii="Calibri" w:hAnsi="Calibri" w:cs="Calibri"/>
          <w:color w:val="5F5F5F"/>
          <w:lang w:val="en-IE"/>
        </w:rPr>
        <w:t>Further disposals of oil and gas assets and non-oil and gas assets generating a loss on disposal of $0.5 million were completed in 2013 (2012: $1.5 million</w:t>
      </w:r>
      <w:r w:rsidR="0054674E">
        <w:rPr>
          <w:rFonts w:ascii="Calibri" w:hAnsi="Calibri" w:cs="Calibri"/>
          <w:color w:val="5F5F5F"/>
          <w:lang w:val="en-IE"/>
        </w:rPr>
        <w:t>, profit</w:t>
      </w:r>
      <w:r w:rsidRPr="00EB3F35">
        <w:rPr>
          <w:rFonts w:ascii="Calibri" w:hAnsi="Calibri" w:cs="Calibri"/>
          <w:color w:val="5F5F5F"/>
          <w:lang w:val="en-IE"/>
        </w:rPr>
        <w:t>)</w:t>
      </w:r>
    </w:p>
    <w:p w:rsidR="00871692" w:rsidRDefault="00871692" w:rsidP="00871692">
      <w:pPr>
        <w:spacing w:line="240" w:lineRule="auto"/>
        <w:jc w:val="left"/>
        <w:rPr>
          <w:rFonts w:ascii="Calibri" w:hAnsi="Calibri" w:cs="Calibri"/>
          <w:color w:val="5F5F5F"/>
          <w:lang w:val="en-IE"/>
        </w:rPr>
      </w:pPr>
      <w:r>
        <w:rPr>
          <w:rFonts w:ascii="Calibri" w:hAnsi="Calibri" w:cs="Calibri"/>
          <w:color w:val="5F5F5F"/>
          <w:lang w:val="en-IE"/>
        </w:rPr>
        <w:br w:type="page"/>
      </w:r>
    </w:p>
    <w:p w:rsidR="00871692" w:rsidRPr="00970806" w:rsidRDefault="00871692" w:rsidP="00970806">
      <w:pPr>
        <w:numPr>
          <w:ilvl w:val="0"/>
          <w:numId w:val="6"/>
        </w:numPr>
        <w:spacing w:before="240" w:after="40"/>
        <w:ind w:left="0" w:firstLine="0"/>
        <w:rPr>
          <w:rFonts w:ascii="Calibri" w:hAnsi="Calibri" w:cs="Calibri"/>
          <w:b/>
          <w:color w:val="00305C"/>
          <w:sz w:val="22"/>
          <w:szCs w:val="22"/>
          <w:lang w:val="en-US"/>
        </w:rPr>
      </w:pPr>
      <w:r w:rsidRPr="00970806">
        <w:rPr>
          <w:rFonts w:ascii="Calibri" w:hAnsi="Calibri" w:cs="Calibri"/>
          <w:b/>
          <w:color w:val="00305C"/>
          <w:sz w:val="22"/>
          <w:szCs w:val="22"/>
          <w:lang w:val="en-US"/>
        </w:rPr>
        <w:t>Intangible exploration and evaluation assets</w:t>
      </w:r>
    </w:p>
    <w:tbl>
      <w:tblPr>
        <w:tblW w:w="0" w:type="auto"/>
        <w:tblCellMar>
          <w:left w:w="0" w:type="dxa"/>
          <w:right w:w="57" w:type="dxa"/>
        </w:tblCellMar>
        <w:tblLook w:val="00A0" w:firstRow="1" w:lastRow="0" w:firstColumn="1" w:lastColumn="0" w:noHBand="0" w:noVBand="0"/>
      </w:tblPr>
      <w:tblGrid>
        <w:gridCol w:w="6804"/>
        <w:gridCol w:w="1418"/>
        <w:gridCol w:w="1276"/>
      </w:tblGrid>
      <w:tr w:rsidR="00871692" w:rsidRPr="00235E84" w:rsidTr="00970806">
        <w:tc>
          <w:tcPr>
            <w:tcW w:w="6804" w:type="dxa"/>
            <w:tcBorders>
              <w:bottom w:val="single" w:sz="12" w:space="0" w:color="999999"/>
            </w:tcBorders>
            <w:vAlign w:val="bottom"/>
          </w:tcPr>
          <w:p w:rsidR="00871692" w:rsidRPr="00970806" w:rsidRDefault="00871692" w:rsidP="00970806">
            <w:pPr>
              <w:pStyle w:val="Tabletext0"/>
              <w:jc w:val="right"/>
              <w:rPr>
                <w:sz w:val="20"/>
                <w:szCs w:val="20"/>
              </w:rPr>
            </w:pPr>
          </w:p>
        </w:tc>
        <w:tc>
          <w:tcPr>
            <w:tcW w:w="1418" w:type="dxa"/>
            <w:tcBorders>
              <w:bottom w:val="single" w:sz="12" w:space="0" w:color="999999"/>
            </w:tcBorders>
            <w:vAlign w:val="bottom"/>
          </w:tcPr>
          <w:p w:rsidR="00871692" w:rsidRPr="00970806" w:rsidRDefault="00871692" w:rsidP="00970806">
            <w:pPr>
              <w:spacing w:line="180" w:lineRule="exact"/>
              <w:ind w:right="57"/>
              <w:jc w:val="right"/>
              <w:rPr>
                <w:rStyle w:val="Bold"/>
                <w:rFonts w:ascii="Calibri" w:hAnsi="Calibri" w:cs="Calibri"/>
                <w:b/>
                <w:color w:val="002B45"/>
                <w:sz w:val="20"/>
                <w:szCs w:val="20"/>
              </w:rPr>
            </w:pPr>
            <w:r w:rsidRPr="00970806">
              <w:rPr>
                <w:rStyle w:val="Bold"/>
                <w:rFonts w:ascii="Calibri" w:hAnsi="Calibri" w:cs="Calibri"/>
                <w:b/>
                <w:color w:val="002B45"/>
                <w:sz w:val="20"/>
                <w:szCs w:val="20"/>
              </w:rPr>
              <w:t>2013</w:t>
            </w:r>
            <w:r w:rsidRPr="00970806">
              <w:rPr>
                <w:rStyle w:val="Bold"/>
                <w:rFonts w:ascii="Calibri" w:hAnsi="Calibri" w:cs="Calibri"/>
                <w:b/>
                <w:color w:val="002B45"/>
                <w:sz w:val="20"/>
                <w:szCs w:val="20"/>
              </w:rPr>
              <w:br/>
              <w:t>$m</w:t>
            </w:r>
          </w:p>
        </w:tc>
        <w:tc>
          <w:tcPr>
            <w:tcW w:w="1276" w:type="dxa"/>
            <w:tcBorders>
              <w:bottom w:val="single" w:sz="12" w:space="0" w:color="999999"/>
            </w:tcBorders>
            <w:vAlign w:val="bottom"/>
          </w:tcPr>
          <w:p w:rsidR="00871692" w:rsidRPr="00970806" w:rsidRDefault="00871692" w:rsidP="00970806">
            <w:pPr>
              <w:spacing w:line="180" w:lineRule="exact"/>
              <w:ind w:right="57"/>
              <w:jc w:val="right"/>
              <w:rPr>
                <w:rStyle w:val="Bold"/>
                <w:rFonts w:ascii="Calibri" w:hAnsi="Calibri" w:cs="Calibri"/>
                <w:b/>
                <w:color w:val="002B45"/>
                <w:sz w:val="20"/>
                <w:szCs w:val="20"/>
              </w:rPr>
            </w:pPr>
            <w:r w:rsidRPr="00970806">
              <w:rPr>
                <w:rStyle w:val="Bold"/>
                <w:rFonts w:ascii="Calibri" w:hAnsi="Calibri" w:cs="Calibri"/>
                <w:b/>
                <w:color w:val="002B45"/>
                <w:sz w:val="20"/>
                <w:szCs w:val="20"/>
              </w:rPr>
              <w:t>2012</w:t>
            </w:r>
            <w:r w:rsidRPr="00970806">
              <w:rPr>
                <w:rStyle w:val="Bold"/>
                <w:rFonts w:ascii="Calibri" w:hAnsi="Calibri" w:cs="Calibri"/>
                <w:b/>
                <w:color w:val="002B45"/>
                <w:sz w:val="20"/>
                <w:szCs w:val="20"/>
              </w:rPr>
              <w:br/>
              <w:t>$m</w:t>
            </w:r>
          </w:p>
        </w:tc>
      </w:tr>
      <w:tr w:rsidR="00871692" w:rsidRPr="0007770E" w:rsidTr="00970806">
        <w:trPr>
          <w:trHeight w:val="283"/>
        </w:trPr>
        <w:tc>
          <w:tcPr>
            <w:tcW w:w="6804" w:type="dxa"/>
            <w:tcBorders>
              <w:top w:val="single" w:sz="12" w:space="0" w:color="999999"/>
            </w:tcBorders>
            <w:vAlign w:val="center"/>
          </w:tcPr>
          <w:p w:rsidR="00871692" w:rsidRPr="00D776D0" w:rsidRDefault="00871692" w:rsidP="00970806">
            <w:pPr>
              <w:jc w:val="left"/>
              <w:rPr>
                <w:rFonts w:ascii="Calibri" w:hAnsi="Calibri" w:cs="Calibri"/>
                <w:color w:val="002B45"/>
                <w:lang w:val="en-US"/>
              </w:rPr>
            </w:pPr>
            <w:r w:rsidRPr="00D776D0">
              <w:rPr>
                <w:rFonts w:ascii="Calibri" w:hAnsi="Calibri" w:cs="Calibri"/>
                <w:color w:val="002B45"/>
                <w:lang w:val="en-US"/>
              </w:rPr>
              <w:t xml:space="preserve">At 1 January </w:t>
            </w:r>
          </w:p>
        </w:tc>
        <w:tc>
          <w:tcPr>
            <w:tcW w:w="1418" w:type="dxa"/>
            <w:tcBorders>
              <w:top w:val="single" w:sz="12" w:space="0" w:color="999999"/>
            </w:tcBorders>
            <w:shd w:val="clear" w:color="auto" w:fill="E6E6E6"/>
            <w:vAlign w:val="center"/>
          </w:tcPr>
          <w:p w:rsidR="00871692" w:rsidRPr="00D4061C" w:rsidRDefault="00871692" w:rsidP="00970806">
            <w:pPr>
              <w:ind w:right="57"/>
              <w:jc w:val="right"/>
              <w:rPr>
                <w:rFonts w:ascii="Calibri" w:hAnsi="Calibri" w:cs="Calibri"/>
                <w:color w:val="002B45"/>
                <w:lang w:val="en-US"/>
              </w:rPr>
            </w:pPr>
            <w:r w:rsidRPr="00D4061C">
              <w:rPr>
                <w:rFonts w:ascii="Calibri" w:hAnsi="Calibri" w:cs="Calibri"/>
                <w:color w:val="002B45"/>
                <w:lang w:val="en-US"/>
              </w:rPr>
              <w:t xml:space="preserve"> 2,977.1 </w:t>
            </w:r>
          </w:p>
        </w:tc>
        <w:tc>
          <w:tcPr>
            <w:tcW w:w="1276" w:type="dxa"/>
            <w:tcBorders>
              <w:top w:val="single" w:sz="12" w:space="0" w:color="999999"/>
            </w:tcBorders>
            <w:vAlign w:val="center"/>
          </w:tcPr>
          <w:p w:rsidR="00871692" w:rsidRPr="00D4061C" w:rsidRDefault="00871692" w:rsidP="00970806">
            <w:pPr>
              <w:ind w:right="57"/>
              <w:jc w:val="right"/>
              <w:rPr>
                <w:rFonts w:ascii="Calibri" w:hAnsi="Calibri" w:cs="Calibri"/>
                <w:color w:val="002B45"/>
                <w:lang w:val="en-US"/>
              </w:rPr>
            </w:pPr>
            <w:r w:rsidRPr="00D4061C">
              <w:rPr>
                <w:rFonts w:ascii="Calibri" w:hAnsi="Calibri" w:cs="Calibri"/>
                <w:color w:val="002B45"/>
                <w:lang w:val="en-US"/>
              </w:rPr>
              <w:t xml:space="preserve"> 5,529.7 </w:t>
            </w:r>
          </w:p>
        </w:tc>
      </w:tr>
      <w:tr w:rsidR="00871692" w:rsidRPr="0007770E" w:rsidTr="00970806">
        <w:trPr>
          <w:trHeight w:val="283"/>
        </w:trPr>
        <w:tc>
          <w:tcPr>
            <w:tcW w:w="6804" w:type="dxa"/>
            <w:vAlign w:val="center"/>
          </w:tcPr>
          <w:p w:rsidR="00871692" w:rsidRPr="00D776D0" w:rsidRDefault="00871692" w:rsidP="00970806">
            <w:pPr>
              <w:jc w:val="left"/>
              <w:rPr>
                <w:rFonts w:ascii="Calibri" w:hAnsi="Calibri" w:cs="Calibri"/>
                <w:color w:val="002B45"/>
                <w:lang w:val="en-US"/>
              </w:rPr>
            </w:pPr>
            <w:r w:rsidRPr="00D776D0">
              <w:rPr>
                <w:rFonts w:ascii="Calibri" w:hAnsi="Calibri" w:cs="Calibri"/>
                <w:color w:val="002B45"/>
                <w:lang w:val="en-US"/>
              </w:rPr>
              <w:t>Acq</w:t>
            </w:r>
            <w:r>
              <w:rPr>
                <w:rFonts w:ascii="Calibri" w:hAnsi="Calibri" w:cs="Calibri"/>
                <w:color w:val="002B45"/>
                <w:lang w:val="en-US"/>
              </w:rPr>
              <w:t>uisition of subsidiaries (note 8</w:t>
            </w:r>
            <w:r w:rsidRPr="00D776D0">
              <w:rPr>
                <w:rFonts w:ascii="Calibri" w:hAnsi="Calibri" w:cs="Calibri"/>
                <w:color w:val="002B45"/>
                <w:lang w:val="en-US"/>
              </w:rPr>
              <w:t>)</w:t>
            </w:r>
          </w:p>
        </w:tc>
        <w:tc>
          <w:tcPr>
            <w:tcW w:w="1418" w:type="dxa"/>
            <w:shd w:val="clear" w:color="auto" w:fill="E6E6E6"/>
            <w:vAlign w:val="center"/>
          </w:tcPr>
          <w:p w:rsidR="00871692" w:rsidRPr="00D4061C" w:rsidRDefault="00871692" w:rsidP="00970806">
            <w:pPr>
              <w:ind w:right="57"/>
              <w:jc w:val="right"/>
              <w:rPr>
                <w:rFonts w:ascii="Calibri" w:hAnsi="Calibri" w:cs="Calibri"/>
                <w:color w:val="002B45"/>
                <w:lang w:val="en-US"/>
              </w:rPr>
            </w:pPr>
            <w:r w:rsidRPr="00D4061C">
              <w:rPr>
                <w:rFonts w:ascii="Calibri" w:hAnsi="Calibri" w:cs="Calibri"/>
                <w:color w:val="002B45"/>
                <w:lang w:val="en-US"/>
              </w:rPr>
              <w:t xml:space="preserve"> 593.3 </w:t>
            </w:r>
          </w:p>
        </w:tc>
        <w:tc>
          <w:tcPr>
            <w:tcW w:w="1276" w:type="dxa"/>
            <w:vAlign w:val="center"/>
          </w:tcPr>
          <w:p w:rsidR="00871692" w:rsidRPr="00D4061C" w:rsidRDefault="00871692" w:rsidP="00970806">
            <w:pPr>
              <w:ind w:right="57"/>
              <w:jc w:val="right"/>
              <w:rPr>
                <w:rFonts w:ascii="Calibri" w:hAnsi="Calibri" w:cs="Calibri"/>
                <w:color w:val="002B45"/>
                <w:lang w:val="en-US"/>
              </w:rPr>
            </w:pPr>
            <w:r w:rsidRPr="00D4061C">
              <w:rPr>
                <w:rFonts w:ascii="Calibri" w:hAnsi="Calibri" w:cs="Calibri"/>
                <w:color w:val="002B45"/>
                <w:lang w:val="en-US"/>
              </w:rPr>
              <w:t xml:space="preserve"> – </w:t>
            </w:r>
          </w:p>
        </w:tc>
      </w:tr>
      <w:tr w:rsidR="00871692" w:rsidRPr="0007770E" w:rsidTr="00970806">
        <w:trPr>
          <w:trHeight w:val="283"/>
        </w:trPr>
        <w:tc>
          <w:tcPr>
            <w:tcW w:w="6804" w:type="dxa"/>
            <w:vAlign w:val="center"/>
          </w:tcPr>
          <w:p w:rsidR="00871692" w:rsidRPr="00D776D0" w:rsidRDefault="00871692" w:rsidP="00970806">
            <w:pPr>
              <w:jc w:val="left"/>
              <w:rPr>
                <w:rFonts w:ascii="Calibri" w:hAnsi="Calibri" w:cs="Calibri"/>
                <w:color w:val="002B45"/>
                <w:lang w:val="en-US"/>
              </w:rPr>
            </w:pPr>
            <w:r w:rsidRPr="00D776D0">
              <w:rPr>
                <w:rFonts w:ascii="Calibri" w:hAnsi="Calibri" w:cs="Calibri"/>
                <w:color w:val="002B45"/>
                <w:lang w:val="en-US"/>
              </w:rPr>
              <w:t>Additions</w:t>
            </w:r>
          </w:p>
        </w:tc>
        <w:tc>
          <w:tcPr>
            <w:tcW w:w="1418" w:type="dxa"/>
            <w:shd w:val="clear" w:color="auto" w:fill="E6E6E6"/>
            <w:vAlign w:val="center"/>
          </w:tcPr>
          <w:p w:rsidR="00871692" w:rsidRPr="00D4061C" w:rsidRDefault="00871692" w:rsidP="00970806">
            <w:pPr>
              <w:ind w:right="57"/>
              <w:jc w:val="right"/>
              <w:rPr>
                <w:rFonts w:ascii="Calibri" w:hAnsi="Calibri" w:cs="Calibri"/>
                <w:color w:val="002B45"/>
                <w:lang w:val="en-US"/>
              </w:rPr>
            </w:pPr>
            <w:r w:rsidRPr="00D4061C">
              <w:rPr>
                <w:rFonts w:ascii="Calibri" w:hAnsi="Calibri" w:cs="Calibri"/>
                <w:color w:val="002B45"/>
                <w:lang w:val="en-US"/>
              </w:rPr>
              <w:t xml:space="preserve"> 1,502.7 </w:t>
            </w:r>
          </w:p>
        </w:tc>
        <w:tc>
          <w:tcPr>
            <w:tcW w:w="1276" w:type="dxa"/>
            <w:vAlign w:val="center"/>
          </w:tcPr>
          <w:p w:rsidR="00871692" w:rsidRPr="00D4061C" w:rsidRDefault="00871692" w:rsidP="00970806">
            <w:pPr>
              <w:ind w:right="57"/>
              <w:jc w:val="right"/>
              <w:rPr>
                <w:rFonts w:ascii="Calibri" w:hAnsi="Calibri" w:cs="Calibri"/>
                <w:color w:val="002B45"/>
                <w:lang w:val="en-US"/>
              </w:rPr>
            </w:pPr>
            <w:r w:rsidRPr="00D4061C">
              <w:rPr>
                <w:rFonts w:ascii="Calibri" w:hAnsi="Calibri" w:cs="Calibri"/>
                <w:color w:val="002B45"/>
                <w:lang w:val="en-US"/>
              </w:rPr>
              <w:t xml:space="preserve"> 1,340.9 </w:t>
            </w:r>
          </w:p>
        </w:tc>
      </w:tr>
      <w:tr w:rsidR="00871692" w:rsidRPr="0007770E" w:rsidTr="00970806">
        <w:trPr>
          <w:trHeight w:val="283"/>
        </w:trPr>
        <w:tc>
          <w:tcPr>
            <w:tcW w:w="6804" w:type="dxa"/>
            <w:vAlign w:val="center"/>
          </w:tcPr>
          <w:p w:rsidR="00871692" w:rsidRPr="00D776D0" w:rsidRDefault="00871692" w:rsidP="00970806">
            <w:pPr>
              <w:jc w:val="left"/>
              <w:rPr>
                <w:rFonts w:ascii="Calibri" w:hAnsi="Calibri" w:cs="Calibri"/>
                <w:color w:val="002B45"/>
                <w:lang w:val="en-US"/>
              </w:rPr>
            </w:pPr>
            <w:r>
              <w:rPr>
                <w:rFonts w:ascii="Calibri" w:hAnsi="Calibri" w:cs="Calibri"/>
                <w:color w:val="002B45"/>
                <w:lang w:val="en-US"/>
              </w:rPr>
              <w:t>Disposals (note 9</w:t>
            </w:r>
            <w:r w:rsidRPr="00D776D0">
              <w:rPr>
                <w:rFonts w:ascii="Calibri" w:hAnsi="Calibri" w:cs="Calibri"/>
                <w:color w:val="002B45"/>
                <w:lang w:val="en-US"/>
              </w:rPr>
              <w:t>)</w:t>
            </w:r>
          </w:p>
        </w:tc>
        <w:tc>
          <w:tcPr>
            <w:tcW w:w="1418" w:type="dxa"/>
            <w:shd w:val="clear" w:color="auto" w:fill="E6E6E6"/>
            <w:vAlign w:val="center"/>
          </w:tcPr>
          <w:p w:rsidR="00871692" w:rsidRPr="00D4061C" w:rsidRDefault="00871692" w:rsidP="00970806">
            <w:pPr>
              <w:ind w:right="57"/>
              <w:jc w:val="right"/>
              <w:rPr>
                <w:rFonts w:ascii="Calibri" w:hAnsi="Calibri" w:cs="Calibri"/>
                <w:color w:val="002B45"/>
                <w:lang w:val="en-US"/>
              </w:rPr>
            </w:pPr>
            <w:r w:rsidRPr="00D4061C">
              <w:rPr>
                <w:rFonts w:ascii="Calibri" w:hAnsi="Calibri" w:cs="Calibri"/>
                <w:color w:val="002B45"/>
                <w:lang w:val="en-US"/>
              </w:rPr>
              <w:t>(8.6)</w:t>
            </w:r>
          </w:p>
        </w:tc>
        <w:tc>
          <w:tcPr>
            <w:tcW w:w="1276" w:type="dxa"/>
            <w:vAlign w:val="center"/>
          </w:tcPr>
          <w:p w:rsidR="00871692" w:rsidRPr="00D4061C" w:rsidRDefault="00871692" w:rsidP="00970806">
            <w:pPr>
              <w:ind w:right="57"/>
              <w:jc w:val="right"/>
              <w:rPr>
                <w:rFonts w:ascii="Calibri" w:hAnsi="Calibri" w:cs="Calibri"/>
                <w:color w:val="002B45"/>
                <w:lang w:val="en-US"/>
              </w:rPr>
            </w:pPr>
            <w:r w:rsidRPr="00D4061C">
              <w:rPr>
                <w:rFonts w:ascii="Calibri" w:hAnsi="Calibri" w:cs="Calibri"/>
                <w:color w:val="002B45"/>
                <w:lang w:val="en-US"/>
              </w:rPr>
              <w:t>(2,573.6)</w:t>
            </w:r>
          </w:p>
        </w:tc>
      </w:tr>
      <w:tr w:rsidR="00871692" w:rsidRPr="0007770E" w:rsidTr="00970806">
        <w:trPr>
          <w:trHeight w:val="283"/>
        </w:trPr>
        <w:tc>
          <w:tcPr>
            <w:tcW w:w="6804" w:type="dxa"/>
            <w:vAlign w:val="center"/>
          </w:tcPr>
          <w:p w:rsidR="00871692" w:rsidRPr="00D776D0" w:rsidRDefault="00871692" w:rsidP="00970806">
            <w:pPr>
              <w:jc w:val="left"/>
              <w:rPr>
                <w:rFonts w:ascii="Calibri" w:hAnsi="Calibri" w:cs="Calibri"/>
                <w:color w:val="002B45"/>
                <w:lang w:val="en-US"/>
              </w:rPr>
            </w:pPr>
            <w:r w:rsidRPr="00D776D0">
              <w:rPr>
                <w:rFonts w:ascii="Calibri" w:hAnsi="Calibri" w:cs="Calibri"/>
                <w:color w:val="002B45"/>
                <w:lang w:val="en-US"/>
              </w:rPr>
              <w:t xml:space="preserve">Amounts written off </w:t>
            </w:r>
          </w:p>
        </w:tc>
        <w:tc>
          <w:tcPr>
            <w:tcW w:w="1418" w:type="dxa"/>
            <w:shd w:val="clear" w:color="auto" w:fill="E6E6E6"/>
            <w:vAlign w:val="center"/>
          </w:tcPr>
          <w:p w:rsidR="00871692" w:rsidRPr="00D4061C" w:rsidRDefault="00871692" w:rsidP="00970806">
            <w:pPr>
              <w:ind w:right="57"/>
              <w:jc w:val="right"/>
              <w:rPr>
                <w:rFonts w:ascii="Calibri" w:hAnsi="Calibri" w:cs="Calibri"/>
                <w:color w:val="002B45"/>
                <w:lang w:val="en-US"/>
              </w:rPr>
            </w:pPr>
            <w:r w:rsidRPr="00D4061C">
              <w:rPr>
                <w:rFonts w:ascii="Calibri" w:hAnsi="Calibri" w:cs="Calibri"/>
                <w:color w:val="002B45"/>
                <w:lang w:val="en-US"/>
              </w:rPr>
              <w:t>(865.5)</w:t>
            </w:r>
          </w:p>
        </w:tc>
        <w:tc>
          <w:tcPr>
            <w:tcW w:w="1276" w:type="dxa"/>
            <w:vAlign w:val="center"/>
          </w:tcPr>
          <w:p w:rsidR="00871692" w:rsidRPr="00D4061C" w:rsidRDefault="00871692" w:rsidP="00970806">
            <w:pPr>
              <w:ind w:right="57"/>
              <w:jc w:val="right"/>
              <w:rPr>
                <w:rFonts w:ascii="Calibri" w:hAnsi="Calibri" w:cs="Calibri"/>
                <w:color w:val="002B45"/>
                <w:lang w:val="en-US"/>
              </w:rPr>
            </w:pPr>
            <w:r w:rsidRPr="00D4061C">
              <w:rPr>
                <w:rFonts w:ascii="Calibri" w:hAnsi="Calibri" w:cs="Calibri"/>
                <w:color w:val="002B45"/>
                <w:lang w:val="en-US"/>
              </w:rPr>
              <w:t>(670.9)</w:t>
            </w:r>
          </w:p>
        </w:tc>
      </w:tr>
      <w:tr w:rsidR="00871692" w:rsidRPr="0007770E" w:rsidTr="00970806">
        <w:trPr>
          <w:trHeight w:val="283"/>
        </w:trPr>
        <w:tc>
          <w:tcPr>
            <w:tcW w:w="6804" w:type="dxa"/>
            <w:vAlign w:val="center"/>
          </w:tcPr>
          <w:p w:rsidR="00871692" w:rsidRPr="00D776D0" w:rsidRDefault="00871692" w:rsidP="00970806">
            <w:pPr>
              <w:jc w:val="left"/>
              <w:rPr>
                <w:rFonts w:ascii="Calibri" w:hAnsi="Calibri" w:cs="Calibri"/>
                <w:color w:val="002B45"/>
                <w:lang w:val="en-US"/>
              </w:rPr>
            </w:pPr>
            <w:r w:rsidRPr="00D4061C">
              <w:rPr>
                <w:rFonts w:ascii="Calibri" w:hAnsi="Calibri" w:cs="Calibri"/>
                <w:color w:val="002B45"/>
                <w:lang w:val="en-US"/>
              </w:rPr>
              <w:t>Write-off associated with Norway contingent consideration</w:t>
            </w:r>
          </w:p>
        </w:tc>
        <w:tc>
          <w:tcPr>
            <w:tcW w:w="1418" w:type="dxa"/>
            <w:shd w:val="clear" w:color="auto" w:fill="E6E6E6"/>
            <w:vAlign w:val="center"/>
          </w:tcPr>
          <w:p w:rsidR="00871692" w:rsidRPr="00D4061C" w:rsidRDefault="00871692" w:rsidP="00970806">
            <w:pPr>
              <w:ind w:right="57"/>
              <w:jc w:val="right"/>
              <w:rPr>
                <w:rFonts w:ascii="Calibri" w:hAnsi="Calibri" w:cs="Calibri"/>
                <w:color w:val="002B45"/>
                <w:lang w:val="en-US"/>
              </w:rPr>
            </w:pPr>
            <w:r w:rsidRPr="00D4061C">
              <w:rPr>
                <w:rFonts w:ascii="Calibri" w:hAnsi="Calibri" w:cs="Calibri"/>
                <w:color w:val="002B45"/>
                <w:lang w:val="en-US"/>
              </w:rPr>
              <w:t>(41.2)</w:t>
            </w:r>
          </w:p>
        </w:tc>
        <w:tc>
          <w:tcPr>
            <w:tcW w:w="1276" w:type="dxa"/>
            <w:vAlign w:val="center"/>
          </w:tcPr>
          <w:p w:rsidR="00871692" w:rsidRPr="00D4061C" w:rsidRDefault="00871692" w:rsidP="00970806">
            <w:pPr>
              <w:ind w:right="57"/>
              <w:jc w:val="right"/>
              <w:rPr>
                <w:rFonts w:ascii="Calibri" w:hAnsi="Calibri" w:cs="Calibri"/>
                <w:color w:val="002B45"/>
                <w:lang w:val="en-US"/>
              </w:rPr>
            </w:pPr>
            <w:r w:rsidRPr="00D4061C">
              <w:rPr>
                <w:rFonts w:ascii="Calibri" w:hAnsi="Calibri" w:cs="Calibri"/>
                <w:color w:val="002B45"/>
                <w:lang w:val="en-US"/>
              </w:rPr>
              <w:t xml:space="preserve">– </w:t>
            </w:r>
          </w:p>
        </w:tc>
      </w:tr>
      <w:tr w:rsidR="00871692" w:rsidRPr="0007770E" w:rsidTr="00970806">
        <w:trPr>
          <w:trHeight w:val="283"/>
        </w:trPr>
        <w:tc>
          <w:tcPr>
            <w:tcW w:w="6804" w:type="dxa"/>
            <w:vAlign w:val="center"/>
          </w:tcPr>
          <w:p w:rsidR="00871692" w:rsidRPr="00D776D0" w:rsidRDefault="00871692" w:rsidP="00970806">
            <w:pPr>
              <w:jc w:val="left"/>
              <w:rPr>
                <w:rFonts w:ascii="Calibri" w:hAnsi="Calibri" w:cs="Calibri"/>
                <w:color w:val="002B45"/>
                <w:lang w:val="en-US"/>
              </w:rPr>
            </w:pPr>
            <w:r w:rsidRPr="00D776D0">
              <w:rPr>
                <w:rFonts w:ascii="Calibri" w:hAnsi="Calibri" w:cs="Calibri"/>
                <w:color w:val="002B45"/>
                <w:lang w:val="en-US"/>
              </w:rPr>
              <w:t>Transfer to assets held for sale</w:t>
            </w:r>
          </w:p>
        </w:tc>
        <w:tc>
          <w:tcPr>
            <w:tcW w:w="1418" w:type="dxa"/>
            <w:shd w:val="clear" w:color="auto" w:fill="E6E6E6"/>
            <w:vAlign w:val="center"/>
          </w:tcPr>
          <w:p w:rsidR="00871692" w:rsidRPr="00D4061C" w:rsidRDefault="00871692" w:rsidP="00970806">
            <w:pPr>
              <w:ind w:right="57"/>
              <w:jc w:val="right"/>
              <w:rPr>
                <w:rFonts w:ascii="Calibri" w:hAnsi="Calibri" w:cs="Calibri"/>
                <w:color w:val="002B45"/>
                <w:lang w:val="en-US"/>
              </w:rPr>
            </w:pPr>
            <w:r w:rsidRPr="00D4061C">
              <w:rPr>
                <w:rFonts w:ascii="Calibri" w:hAnsi="Calibri" w:cs="Calibri"/>
                <w:color w:val="002B45"/>
                <w:lang w:val="en-US"/>
              </w:rPr>
              <w:t xml:space="preserve">–   </w:t>
            </w:r>
          </w:p>
        </w:tc>
        <w:tc>
          <w:tcPr>
            <w:tcW w:w="1276" w:type="dxa"/>
            <w:vAlign w:val="center"/>
          </w:tcPr>
          <w:p w:rsidR="00871692" w:rsidRPr="00D4061C" w:rsidRDefault="00871692" w:rsidP="00970806">
            <w:pPr>
              <w:ind w:right="57"/>
              <w:jc w:val="right"/>
              <w:rPr>
                <w:rFonts w:ascii="Calibri" w:hAnsi="Calibri" w:cs="Calibri"/>
                <w:color w:val="002B45"/>
                <w:lang w:val="en-US"/>
              </w:rPr>
            </w:pPr>
            <w:r w:rsidRPr="00D4061C">
              <w:rPr>
                <w:rFonts w:ascii="Calibri" w:hAnsi="Calibri" w:cs="Calibri"/>
                <w:color w:val="002B45"/>
                <w:lang w:val="en-US"/>
              </w:rPr>
              <w:t>(28.4)</w:t>
            </w:r>
          </w:p>
        </w:tc>
      </w:tr>
      <w:tr w:rsidR="00871692" w:rsidRPr="0007770E" w:rsidTr="00970806">
        <w:trPr>
          <w:trHeight w:val="283"/>
        </w:trPr>
        <w:tc>
          <w:tcPr>
            <w:tcW w:w="6804" w:type="dxa"/>
            <w:vAlign w:val="center"/>
          </w:tcPr>
          <w:p w:rsidR="00871692" w:rsidRPr="00D776D0" w:rsidRDefault="00871692" w:rsidP="00970806">
            <w:pPr>
              <w:jc w:val="left"/>
              <w:rPr>
                <w:rFonts w:ascii="Calibri" w:hAnsi="Calibri" w:cs="Calibri"/>
                <w:color w:val="002B45"/>
                <w:lang w:val="en-US"/>
              </w:rPr>
            </w:pPr>
            <w:r w:rsidRPr="00D776D0">
              <w:rPr>
                <w:rFonts w:ascii="Calibri" w:hAnsi="Calibri" w:cs="Calibri"/>
                <w:color w:val="002B45"/>
                <w:lang w:val="en-US"/>
              </w:rPr>
              <w:t>Transfer to property, plant and equipment</w:t>
            </w:r>
          </w:p>
        </w:tc>
        <w:tc>
          <w:tcPr>
            <w:tcW w:w="1418" w:type="dxa"/>
            <w:shd w:val="clear" w:color="auto" w:fill="E6E6E6"/>
            <w:vAlign w:val="center"/>
          </w:tcPr>
          <w:p w:rsidR="00871692" w:rsidRPr="00D4061C" w:rsidRDefault="00871692" w:rsidP="00970806">
            <w:pPr>
              <w:ind w:right="57"/>
              <w:jc w:val="right"/>
              <w:rPr>
                <w:rFonts w:ascii="Calibri" w:hAnsi="Calibri" w:cs="Calibri"/>
                <w:color w:val="002B45"/>
                <w:lang w:val="en-US"/>
              </w:rPr>
            </w:pPr>
            <w:r w:rsidRPr="00D4061C">
              <w:rPr>
                <w:rFonts w:ascii="Calibri" w:hAnsi="Calibri" w:cs="Calibri"/>
                <w:color w:val="002B45"/>
                <w:lang w:val="en-US"/>
              </w:rPr>
              <w:t>(2.7)</w:t>
            </w:r>
          </w:p>
        </w:tc>
        <w:tc>
          <w:tcPr>
            <w:tcW w:w="1276" w:type="dxa"/>
            <w:vAlign w:val="center"/>
          </w:tcPr>
          <w:p w:rsidR="00871692" w:rsidRPr="00D4061C" w:rsidRDefault="00871692" w:rsidP="00970806">
            <w:pPr>
              <w:ind w:right="57"/>
              <w:jc w:val="right"/>
              <w:rPr>
                <w:rFonts w:ascii="Calibri" w:hAnsi="Calibri" w:cs="Calibri"/>
                <w:color w:val="002B45"/>
                <w:lang w:val="en-US"/>
              </w:rPr>
            </w:pPr>
            <w:r w:rsidRPr="00D4061C">
              <w:rPr>
                <w:rFonts w:ascii="Calibri" w:hAnsi="Calibri" w:cs="Calibri"/>
                <w:color w:val="002B45"/>
                <w:lang w:val="en-US"/>
              </w:rPr>
              <w:t>(625.3)</w:t>
            </w:r>
          </w:p>
        </w:tc>
      </w:tr>
      <w:tr w:rsidR="00871692" w:rsidRPr="0007770E" w:rsidTr="00970806">
        <w:trPr>
          <w:trHeight w:val="283"/>
        </w:trPr>
        <w:tc>
          <w:tcPr>
            <w:tcW w:w="6804" w:type="dxa"/>
            <w:tcBorders>
              <w:bottom w:val="single" w:sz="4" w:space="0" w:color="999999"/>
            </w:tcBorders>
            <w:vAlign w:val="center"/>
          </w:tcPr>
          <w:p w:rsidR="00871692" w:rsidRPr="00D776D0" w:rsidRDefault="00871692" w:rsidP="00970806">
            <w:pPr>
              <w:jc w:val="left"/>
              <w:rPr>
                <w:rFonts w:ascii="Calibri" w:hAnsi="Calibri" w:cs="Calibri"/>
                <w:color w:val="002B45"/>
                <w:lang w:val="en-US"/>
              </w:rPr>
            </w:pPr>
            <w:r w:rsidRPr="00D776D0">
              <w:rPr>
                <w:rFonts w:ascii="Calibri" w:hAnsi="Calibri" w:cs="Calibri"/>
                <w:color w:val="002B45"/>
                <w:lang w:val="en-US"/>
              </w:rPr>
              <w:t>Currency translation adjustments</w:t>
            </w:r>
          </w:p>
        </w:tc>
        <w:tc>
          <w:tcPr>
            <w:tcW w:w="1418" w:type="dxa"/>
            <w:tcBorders>
              <w:bottom w:val="single" w:sz="4" w:space="0" w:color="999999"/>
            </w:tcBorders>
            <w:shd w:val="clear" w:color="auto" w:fill="E6E6E6"/>
            <w:vAlign w:val="center"/>
          </w:tcPr>
          <w:p w:rsidR="00871692" w:rsidRPr="00D4061C" w:rsidRDefault="00871692" w:rsidP="00970806">
            <w:pPr>
              <w:ind w:right="57"/>
              <w:jc w:val="right"/>
              <w:rPr>
                <w:rFonts w:ascii="Calibri" w:hAnsi="Calibri" w:cs="Calibri"/>
                <w:color w:val="002B45"/>
                <w:lang w:val="en-US"/>
              </w:rPr>
            </w:pPr>
            <w:r w:rsidRPr="00D4061C">
              <w:rPr>
                <w:rFonts w:ascii="Calibri" w:hAnsi="Calibri" w:cs="Calibri"/>
                <w:color w:val="002B45"/>
                <w:lang w:val="en-US"/>
              </w:rPr>
              <w:t>(6.8)</w:t>
            </w:r>
          </w:p>
        </w:tc>
        <w:tc>
          <w:tcPr>
            <w:tcW w:w="1276" w:type="dxa"/>
            <w:tcBorders>
              <w:bottom w:val="single" w:sz="4" w:space="0" w:color="999999"/>
            </w:tcBorders>
            <w:vAlign w:val="center"/>
          </w:tcPr>
          <w:p w:rsidR="00871692" w:rsidRPr="00D4061C" w:rsidRDefault="00871692" w:rsidP="00970806">
            <w:pPr>
              <w:ind w:right="57"/>
              <w:jc w:val="right"/>
              <w:rPr>
                <w:rFonts w:ascii="Calibri" w:hAnsi="Calibri" w:cs="Calibri"/>
                <w:color w:val="002B45"/>
                <w:lang w:val="en-US"/>
              </w:rPr>
            </w:pPr>
            <w:r w:rsidRPr="00D4061C">
              <w:rPr>
                <w:rFonts w:ascii="Calibri" w:hAnsi="Calibri" w:cs="Calibri"/>
                <w:color w:val="002B45"/>
                <w:lang w:val="en-US"/>
              </w:rPr>
              <w:t xml:space="preserve"> 4.7 </w:t>
            </w:r>
          </w:p>
        </w:tc>
      </w:tr>
      <w:tr w:rsidR="00871692" w:rsidRPr="0007770E" w:rsidTr="00970806">
        <w:trPr>
          <w:trHeight w:val="283"/>
        </w:trPr>
        <w:tc>
          <w:tcPr>
            <w:tcW w:w="6804" w:type="dxa"/>
            <w:tcBorders>
              <w:top w:val="single" w:sz="4" w:space="0" w:color="999999"/>
              <w:bottom w:val="single" w:sz="12" w:space="0" w:color="999999"/>
            </w:tcBorders>
            <w:vAlign w:val="center"/>
          </w:tcPr>
          <w:p w:rsidR="00871692" w:rsidRPr="00D776D0" w:rsidRDefault="00871692" w:rsidP="00970806">
            <w:pPr>
              <w:jc w:val="left"/>
              <w:rPr>
                <w:rFonts w:ascii="Calibri" w:hAnsi="Calibri" w:cs="Calibri"/>
                <w:color w:val="002B45"/>
                <w:lang w:val="en-US"/>
              </w:rPr>
            </w:pPr>
            <w:r w:rsidRPr="00D776D0">
              <w:rPr>
                <w:rFonts w:ascii="Calibri" w:hAnsi="Calibri" w:cs="Calibri"/>
                <w:color w:val="002B45"/>
                <w:lang w:val="en-US"/>
              </w:rPr>
              <w:t>At 31 December</w:t>
            </w:r>
          </w:p>
        </w:tc>
        <w:tc>
          <w:tcPr>
            <w:tcW w:w="1418" w:type="dxa"/>
            <w:tcBorders>
              <w:top w:val="single" w:sz="4" w:space="0" w:color="999999"/>
              <w:bottom w:val="single" w:sz="12" w:space="0" w:color="999999"/>
            </w:tcBorders>
            <w:shd w:val="clear" w:color="auto" w:fill="E6E6E6"/>
            <w:vAlign w:val="center"/>
          </w:tcPr>
          <w:p w:rsidR="00871692" w:rsidRPr="00D4061C" w:rsidRDefault="00871692" w:rsidP="00970806">
            <w:pPr>
              <w:ind w:right="57"/>
              <w:jc w:val="right"/>
              <w:rPr>
                <w:rFonts w:ascii="Calibri" w:hAnsi="Calibri" w:cs="Calibri"/>
                <w:color w:val="002B45"/>
                <w:lang w:val="en-US"/>
              </w:rPr>
            </w:pPr>
            <w:r w:rsidRPr="00D4061C">
              <w:rPr>
                <w:rFonts w:ascii="Calibri" w:hAnsi="Calibri" w:cs="Calibri"/>
                <w:color w:val="002B45"/>
                <w:lang w:val="en-US"/>
              </w:rPr>
              <w:t>4,148.3</w:t>
            </w:r>
          </w:p>
        </w:tc>
        <w:tc>
          <w:tcPr>
            <w:tcW w:w="1276" w:type="dxa"/>
            <w:tcBorders>
              <w:top w:val="single" w:sz="4" w:space="0" w:color="999999"/>
              <w:bottom w:val="single" w:sz="12" w:space="0" w:color="999999"/>
            </w:tcBorders>
            <w:vAlign w:val="center"/>
          </w:tcPr>
          <w:p w:rsidR="00871692" w:rsidRPr="00D4061C" w:rsidRDefault="00871692" w:rsidP="00970806">
            <w:pPr>
              <w:ind w:right="57"/>
              <w:jc w:val="right"/>
              <w:rPr>
                <w:rFonts w:ascii="Calibri" w:hAnsi="Calibri" w:cs="Calibri"/>
                <w:color w:val="002B45"/>
                <w:lang w:val="en-US"/>
              </w:rPr>
            </w:pPr>
            <w:r w:rsidRPr="00D4061C">
              <w:rPr>
                <w:rFonts w:ascii="Calibri" w:hAnsi="Calibri" w:cs="Calibri"/>
                <w:color w:val="002B45"/>
                <w:lang w:val="en-US"/>
              </w:rPr>
              <w:t>2,977.1</w:t>
            </w:r>
          </w:p>
        </w:tc>
      </w:tr>
    </w:tbl>
    <w:p w:rsidR="00871692" w:rsidRDefault="00871692" w:rsidP="00A36FAF">
      <w:pPr>
        <w:spacing w:before="240" w:after="120"/>
        <w:rPr>
          <w:rFonts w:ascii="Calibri" w:hAnsi="Calibri" w:cs="Calibri"/>
          <w:color w:val="5F5F5F"/>
          <w:lang w:val="en-IE"/>
        </w:rPr>
      </w:pPr>
      <w:r w:rsidRPr="00D4061C">
        <w:rPr>
          <w:rFonts w:ascii="Calibri" w:hAnsi="Calibri" w:cs="Calibri"/>
          <w:color w:val="5F5F5F"/>
          <w:lang w:val="en-IE"/>
        </w:rPr>
        <w:t>Inclu</w:t>
      </w:r>
      <w:r w:rsidR="00332281">
        <w:rPr>
          <w:rFonts w:ascii="Calibri" w:hAnsi="Calibri" w:cs="Calibri"/>
          <w:color w:val="5F5F5F"/>
          <w:lang w:val="en-IE"/>
        </w:rPr>
        <w:t>ded within 2013 additions is $56.9</w:t>
      </w:r>
      <w:r w:rsidRPr="00D4061C">
        <w:rPr>
          <w:rFonts w:ascii="Calibri" w:hAnsi="Calibri" w:cs="Calibri"/>
          <w:color w:val="5F5F5F"/>
          <w:lang w:val="en-IE"/>
        </w:rPr>
        <w:t xml:space="preserve"> million of capitalised interest (2012: $67.2 million). The Group only capitalises interest in respect of intangible exploration and evaluation assets where it is considered that development is highly likely and advanced appraisal and development is ongoing.</w:t>
      </w:r>
    </w:p>
    <w:p w:rsidR="0054674E" w:rsidRDefault="0054674E" w:rsidP="00871692">
      <w:pPr>
        <w:spacing w:after="240"/>
        <w:rPr>
          <w:rFonts w:ascii="Calibri" w:hAnsi="Calibri" w:cs="Calibri"/>
          <w:color w:val="5F5F5F"/>
          <w:lang w:val="en-IE"/>
        </w:rPr>
      </w:pPr>
      <w:r w:rsidRPr="00D4061C">
        <w:rPr>
          <w:rFonts w:ascii="Calibri" w:hAnsi="Calibri" w:cs="Calibri"/>
          <w:color w:val="5F5F5F"/>
          <w:lang w:val="en-IE"/>
        </w:rPr>
        <w:t>In 2013 the income statement exploration costs written-off differ</w:t>
      </w:r>
      <w:r>
        <w:rPr>
          <w:rFonts w:ascii="Calibri" w:hAnsi="Calibri" w:cs="Calibri"/>
          <w:color w:val="5F5F5F"/>
          <w:lang w:val="en-IE"/>
        </w:rPr>
        <w:t xml:space="preserve"> from the table above</w:t>
      </w:r>
      <w:r w:rsidRPr="00D4061C">
        <w:rPr>
          <w:rFonts w:ascii="Calibri" w:hAnsi="Calibri" w:cs="Calibri"/>
          <w:color w:val="5F5F5F"/>
          <w:lang w:val="en-IE"/>
        </w:rPr>
        <w:t xml:space="preserve"> as a result of the write down of the held for sale Pakistan assets of $5.1 million.</w:t>
      </w:r>
    </w:p>
    <w:tbl>
      <w:tblPr>
        <w:tblW w:w="0" w:type="auto"/>
        <w:tblCellMar>
          <w:left w:w="0" w:type="dxa"/>
          <w:right w:w="57" w:type="dxa"/>
        </w:tblCellMar>
        <w:tblLook w:val="00A0" w:firstRow="1" w:lastRow="0" w:firstColumn="1" w:lastColumn="0" w:noHBand="0" w:noVBand="0"/>
      </w:tblPr>
      <w:tblGrid>
        <w:gridCol w:w="6804"/>
        <w:gridCol w:w="1418"/>
        <w:gridCol w:w="1276"/>
      </w:tblGrid>
      <w:tr w:rsidR="00871692" w:rsidRPr="00235E84" w:rsidTr="00970806">
        <w:tc>
          <w:tcPr>
            <w:tcW w:w="6804" w:type="dxa"/>
            <w:tcBorders>
              <w:bottom w:val="single" w:sz="12" w:space="0" w:color="999999"/>
            </w:tcBorders>
            <w:vAlign w:val="bottom"/>
          </w:tcPr>
          <w:p w:rsidR="00871692" w:rsidRPr="00970806" w:rsidRDefault="00871692" w:rsidP="009B4FC7">
            <w:pPr>
              <w:pStyle w:val="Tabletext0"/>
              <w:rPr>
                <w:sz w:val="20"/>
                <w:szCs w:val="20"/>
              </w:rPr>
            </w:pPr>
          </w:p>
        </w:tc>
        <w:tc>
          <w:tcPr>
            <w:tcW w:w="1418" w:type="dxa"/>
            <w:tcBorders>
              <w:bottom w:val="single" w:sz="12" w:space="0" w:color="999999"/>
            </w:tcBorders>
            <w:vAlign w:val="bottom"/>
          </w:tcPr>
          <w:p w:rsidR="00871692" w:rsidRPr="00970806" w:rsidRDefault="00871692" w:rsidP="00970806">
            <w:pPr>
              <w:spacing w:line="180" w:lineRule="exact"/>
              <w:ind w:right="57"/>
              <w:jc w:val="right"/>
              <w:rPr>
                <w:rStyle w:val="Bold"/>
                <w:rFonts w:ascii="Calibri" w:hAnsi="Calibri" w:cs="Calibri"/>
                <w:b/>
                <w:color w:val="002B45"/>
                <w:sz w:val="20"/>
                <w:szCs w:val="20"/>
              </w:rPr>
            </w:pPr>
            <w:r w:rsidRPr="00970806">
              <w:rPr>
                <w:rStyle w:val="Bold"/>
                <w:rFonts w:ascii="Calibri" w:hAnsi="Calibri" w:cs="Calibri"/>
                <w:b/>
                <w:color w:val="002B45"/>
                <w:sz w:val="20"/>
                <w:szCs w:val="20"/>
              </w:rPr>
              <w:t>2013</w:t>
            </w:r>
            <w:r w:rsidRPr="00970806">
              <w:rPr>
                <w:rStyle w:val="Bold"/>
                <w:rFonts w:ascii="Calibri" w:hAnsi="Calibri" w:cs="Calibri"/>
                <w:b/>
                <w:color w:val="002B45"/>
                <w:sz w:val="20"/>
                <w:szCs w:val="20"/>
              </w:rPr>
              <w:br/>
              <w:t>$m</w:t>
            </w:r>
          </w:p>
        </w:tc>
        <w:tc>
          <w:tcPr>
            <w:tcW w:w="1276" w:type="dxa"/>
            <w:tcBorders>
              <w:bottom w:val="single" w:sz="12" w:space="0" w:color="999999"/>
            </w:tcBorders>
            <w:vAlign w:val="bottom"/>
          </w:tcPr>
          <w:p w:rsidR="00871692" w:rsidRPr="00970806" w:rsidRDefault="00871692" w:rsidP="00970806">
            <w:pPr>
              <w:spacing w:line="180" w:lineRule="exact"/>
              <w:ind w:right="57"/>
              <w:jc w:val="right"/>
              <w:rPr>
                <w:rStyle w:val="Bold"/>
                <w:rFonts w:ascii="Calibri" w:hAnsi="Calibri" w:cs="Calibri"/>
                <w:b/>
                <w:color w:val="002B45"/>
                <w:sz w:val="20"/>
                <w:szCs w:val="20"/>
              </w:rPr>
            </w:pPr>
            <w:r w:rsidRPr="00970806">
              <w:rPr>
                <w:rStyle w:val="Bold"/>
                <w:rFonts w:ascii="Calibri" w:hAnsi="Calibri" w:cs="Calibri"/>
                <w:b/>
                <w:color w:val="002B45"/>
                <w:sz w:val="20"/>
                <w:szCs w:val="20"/>
              </w:rPr>
              <w:t>2012</w:t>
            </w:r>
            <w:r w:rsidRPr="00970806">
              <w:rPr>
                <w:rStyle w:val="Bold"/>
                <w:rFonts w:ascii="Calibri" w:hAnsi="Calibri" w:cs="Calibri"/>
                <w:b/>
                <w:color w:val="002B45"/>
                <w:sz w:val="20"/>
                <w:szCs w:val="20"/>
              </w:rPr>
              <w:br/>
              <w:t>$m</w:t>
            </w:r>
          </w:p>
        </w:tc>
      </w:tr>
      <w:tr w:rsidR="00871692" w:rsidRPr="00D4061C" w:rsidTr="00970806">
        <w:trPr>
          <w:trHeight w:val="283"/>
        </w:trPr>
        <w:tc>
          <w:tcPr>
            <w:tcW w:w="6804" w:type="dxa"/>
            <w:tcBorders>
              <w:top w:val="single" w:sz="12" w:space="0" w:color="999999"/>
            </w:tcBorders>
          </w:tcPr>
          <w:p w:rsidR="00871692" w:rsidRPr="00D4061C" w:rsidRDefault="00871692" w:rsidP="009B4FC7">
            <w:pPr>
              <w:rPr>
                <w:rFonts w:ascii="Calibri" w:hAnsi="Calibri" w:cs="Calibri"/>
                <w:color w:val="002B45"/>
                <w:lang w:val="en-US"/>
              </w:rPr>
            </w:pPr>
            <w:r w:rsidRPr="00D4061C">
              <w:rPr>
                <w:rFonts w:ascii="Calibri" w:hAnsi="Calibri" w:cs="Calibri"/>
                <w:color w:val="002B45"/>
                <w:lang w:val="en-US"/>
              </w:rPr>
              <w:t xml:space="preserve">Exploration costs written off </w:t>
            </w:r>
          </w:p>
        </w:tc>
        <w:tc>
          <w:tcPr>
            <w:tcW w:w="1418" w:type="dxa"/>
            <w:tcBorders>
              <w:top w:val="single" w:sz="12" w:space="0" w:color="999999"/>
            </w:tcBorders>
            <w:shd w:val="clear" w:color="auto" w:fill="E6E6E6"/>
          </w:tcPr>
          <w:p w:rsidR="00871692" w:rsidRPr="00D4061C" w:rsidRDefault="00871692" w:rsidP="00970806">
            <w:pPr>
              <w:ind w:right="57"/>
              <w:jc w:val="right"/>
              <w:rPr>
                <w:rFonts w:ascii="Calibri" w:hAnsi="Calibri" w:cs="Calibri"/>
                <w:color w:val="002B45"/>
                <w:lang w:val="en-US"/>
              </w:rPr>
            </w:pPr>
            <w:r w:rsidRPr="00D4061C">
              <w:rPr>
                <w:rFonts w:ascii="Calibri" w:hAnsi="Calibri" w:cs="Calibri"/>
                <w:color w:val="002B45"/>
                <w:lang w:val="en-US"/>
              </w:rPr>
              <w:t>(870.6)</w:t>
            </w:r>
          </w:p>
        </w:tc>
        <w:tc>
          <w:tcPr>
            <w:tcW w:w="1276" w:type="dxa"/>
            <w:tcBorders>
              <w:top w:val="single" w:sz="12" w:space="0" w:color="999999"/>
            </w:tcBorders>
          </w:tcPr>
          <w:p w:rsidR="00871692" w:rsidRPr="00D4061C" w:rsidRDefault="00871692" w:rsidP="00970806">
            <w:pPr>
              <w:ind w:right="57"/>
              <w:jc w:val="right"/>
              <w:rPr>
                <w:rFonts w:ascii="Calibri" w:hAnsi="Calibri" w:cs="Calibri"/>
                <w:color w:val="002B45"/>
                <w:lang w:val="en-US"/>
              </w:rPr>
            </w:pPr>
            <w:r w:rsidRPr="00D4061C">
              <w:rPr>
                <w:rFonts w:ascii="Calibri" w:hAnsi="Calibri" w:cs="Calibri"/>
                <w:color w:val="002B45"/>
                <w:lang w:val="en-US"/>
              </w:rPr>
              <w:t>(670.9)</w:t>
            </w:r>
          </w:p>
        </w:tc>
      </w:tr>
      <w:tr w:rsidR="00871692" w:rsidRPr="00D4061C" w:rsidTr="00970806">
        <w:trPr>
          <w:trHeight w:val="283"/>
        </w:trPr>
        <w:tc>
          <w:tcPr>
            <w:tcW w:w="6804" w:type="dxa"/>
            <w:tcBorders>
              <w:bottom w:val="single" w:sz="4" w:space="0" w:color="999999"/>
            </w:tcBorders>
          </w:tcPr>
          <w:p w:rsidR="00871692" w:rsidRPr="00D4061C" w:rsidRDefault="00871692" w:rsidP="009B4FC7">
            <w:pPr>
              <w:rPr>
                <w:rFonts w:ascii="Calibri" w:hAnsi="Calibri" w:cs="Calibri"/>
                <w:color w:val="002B45"/>
                <w:lang w:val="en-US"/>
              </w:rPr>
            </w:pPr>
            <w:r w:rsidRPr="00D4061C">
              <w:rPr>
                <w:rFonts w:ascii="Calibri" w:hAnsi="Calibri" w:cs="Calibri"/>
                <w:color w:val="002B45"/>
                <w:lang w:val="en-US"/>
              </w:rPr>
              <w:t>Associated deferred tax credit</w:t>
            </w:r>
          </w:p>
        </w:tc>
        <w:tc>
          <w:tcPr>
            <w:tcW w:w="1418" w:type="dxa"/>
            <w:tcBorders>
              <w:bottom w:val="single" w:sz="4" w:space="0" w:color="999999"/>
            </w:tcBorders>
            <w:shd w:val="clear" w:color="auto" w:fill="E6E6E6"/>
          </w:tcPr>
          <w:p w:rsidR="00871692" w:rsidRPr="00D4061C" w:rsidRDefault="00871692" w:rsidP="00970806">
            <w:pPr>
              <w:ind w:right="57"/>
              <w:jc w:val="right"/>
              <w:rPr>
                <w:rFonts w:ascii="Calibri" w:hAnsi="Calibri" w:cs="Calibri"/>
                <w:color w:val="002B45"/>
                <w:lang w:val="en-US"/>
              </w:rPr>
            </w:pPr>
            <w:r w:rsidRPr="00D4061C">
              <w:rPr>
                <w:rFonts w:ascii="Calibri" w:hAnsi="Calibri" w:cs="Calibri"/>
                <w:color w:val="002B45"/>
                <w:lang w:val="en-US"/>
              </w:rPr>
              <w:t>173.9</w:t>
            </w:r>
          </w:p>
        </w:tc>
        <w:tc>
          <w:tcPr>
            <w:tcW w:w="1276" w:type="dxa"/>
            <w:tcBorders>
              <w:bottom w:val="single" w:sz="4" w:space="0" w:color="999999"/>
            </w:tcBorders>
          </w:tcPr>
          <w:p w:rsidR="00871692" w:rsidRPr="00D4061C" w:rsidRDefault="00871692" w:rsidP="00970806">
            <w:pPr>
              <w:ind w:right="57"/>
              <w:jc w:val="right"/>
              <w:rPr>
                <w:rFonts w:ascii="Calibri" w:hAnsi="Calibri" w:cs="Calibri"/>
                <w:color w:val="002B45"/>
                <w:lang w:val="en-US"/>
              </w:rPr>
            </w:pPr>
            <w:r w:rsidRPr="00D4061C">
              <w:rPr>
                <w:rFonts w:ascii="Calibri" w:hAnsi="Calibri" w:cs="Calibri"/>
                <w:color w:val="002B45"/>
                <w:lang w:val="en-US"/>
              </w:rPr>
              <w:t>69.5</w:t>
            </w:r>
          </w:p>
        </w:tc>
      </w:tr>
      <w:tr w:rsidR="00871692" w:rsidRPr="00D4061C" w:rsidTr="00970806">
        <w:trPr>
          <w:trHeight w:val="283"/>
        </w:trPr>
        <w:tc>
          <w:tcPr>
            <w:tcW w:w="6804" w:type="dxa"/>
            <w:tcBorders>
              <w:top w:val="single" w:sz="4" w:space="0" w:color="999999"/>
              <w:bottom w:val="single" w:sz="12" w:space="0" w:color="999999"/>
            </w:tcBorders>
          </w:tcPr>
          <w:p w:rsidR="00871692" w:rsidRPr="00D4061C" w:rsidRDefault="00871692" w:rsidP="009B4FC7">
            <w:pPr>
              <w:rPr>
                <w:rFonts w:ascii="Calibri" w:hAnsi="Calibri" w:cs="Calibri"/>
                <w:color w:val="002B45"/>
                <w:lang w:val="en-US"/>
              </w:rPr>
            </w:pPr>
            <w:r w:rsidRPr="00D4061C">
              <w:rPr>
                <w:rFonts w:ascii="Calibri" w:hAnsi="Calibri" w:cs="Calibri"/>
                <w:color w:val="002B45"/>
                <w:lang w:val="en-US"/>
              </w:rPr>
              <w:t>Net exploration costs written off</w:t>
            </w:r>
          </w:p>
        </w:tc>
        <w:tc>
          <w:tcPr>
            <w:tcW w:w="1418" w:type="dxa"/>
            <w:tcBorders>
              <w:top w:val="single" w:sz="4" w:space="0" w:color="999999"/>
              <w:bottom w:val="single" w:sz="12" w:space="0" w:color="999999"/>
            </w:tcBorders>
            <w:shd w:val="clear" w:color="auto" w:fill="E6E6E6"/>
          </w:tcPr>
          <w:p w:rsidR="00871692" w:rsidRPr="00D4061C" w:rsidRDefault="00871692" w:rsidP="00970806">
            <w:pPr>
              <w:ind w:right="57"/>
              <w:jc w:val="right"/>
              <w:rPr>
                <w:rFonts w:ascii="Calibri" w:hAnsi="Calibri" w:cs="Calibri"/>
                <w:color w:val="002B45"/>
                <w:lang w:val="en-US"/>
              </w:rPr>
            </w:pPr>
            <w:r w:rsidRPr="00D4061C">
              <w:rPr>
                <w:rFonts w:ascii="Calibri" w:hAnsi="Calibri" w:cs="Calibri"/>
                <w:color w:val="002B45"/>
                <w:lang w:val="en-US"/>
              </w:rPr>
              <w:t>(696.7)</w:t>
            </w:r>
          </w:p>
        </w:tc>
        <w:tc>
          <w:tcPr>
            <w:tcW w:w="1276" w:type="dxa"/>
            <w:tcBorders>
              <w:top w:val="single" w:sz="4" w:space="0" w:color="999999"/>
              <w:bottom w:val="single" w:sz="12" w:space="0" w:color="999999"/>
            </w:tcBorders>
          </w:tcPr>
          <w:p w:rsidR="00871692" w:rsidRPr="00D4061C" w:rsidRDefault="00871692" w:rsidP="00970806">
            <w:pPr>
              <w:ind w:right="57"/>
              <w:jc w:val="right"/>
              <w:rPr>
                <w:rFonts w:ascii="Calibri" w:hAnsi="Calibri" w:cs="Calibri"/>
                <w:color w:val="002B45"/>
                <w:lang w:val="en-US"/>
              </w:rPr>
            </w:pPr>
            <w:r w:rsidRPr="00D4061C">
              <w:rPr>
                <w:rFonts w:ascii="Calibri" w:hAnsi="Calibri" w:cs="Calibri"/>
                <w:color w:val="002B45"/>
                <w:lang w:val="en-US"/>
              </w:rPr>
              <w:t>(601.4)</w:t>
            </w:r>
          </w:p>
        </w:tc>
      </w:tr>
    </w:tbl>
    <w:p w:rsidR="00332281" w:rsidRDefault="00871692" w:rsidP="00A36FAF">
      <w:pPr>
        <w:spacing w:before="240" w:after="120"/>
        <w:rPr>
          <w:rFonts w:ascii="Calibri" w:hAnsi="Calibri" w:cs="Calibri"/>
          <w:color w:val="5F5F5F"/>
          <w:lang w:val="en-IE"/>
        </w:rPr>
      </w:pPr>
      <w:r w:rsidRPr="00D4061C">
        <w:rPr>
          <w:rFonts w:ascii="Calibri" w:hAnsi="Calibri" w:cs="Calibri"/>
          <w:color w:val="5F5F5F"/>
          <w:lang w:val="en-IE"/>
        </w:rPr>
        <w:t>During 2013 the Group spent $1.</w:t>
      </w:r>
      <w:r w:rsidR="009E3D53">
        <w:rPr>
          <w:rFonts w:ascii="Calibri" w:hAnsi="Calibri" w:cs="Calibri"/>
          <w:color w:val="5F5F5F"/>
          <w:lang w:val="en-IE"/>
        </w:rPr>
        <w:t>1</w:t>
      </w:r>
      <w:r w:rsidRPr="00D4061C">
        <w:rPr>
          <w:rFonts w:ascii="Calibri" w:hAnsi="Calibri" w:cs="Calibri"/>
          <w:color w:val="5F5F5F"/>
          <w:lang w:val="en-IE"/>
        </w:rPr>
        <w:t xml:space="preserve"> billion, including Norway exploration costs on a post tax basis, on exploration and appraisal activities and has written off $</w:t>
      </w:r>
      <w:r w:rsidR="00F06A27">
        <w:rPr>
          <w:rFonts w:ascii="Calibri" w:hAnsi="Calibri" w:cs="Calibri"/>
          <w:color w:val="5F5F5F"/>
          <w:lang w:val="en-IE"/>
        </w:rPr>
        <w:t>4</w:t>
      </w:r>
      <w:r w:rsidR="007E10D2">
        <w:rPr>
          <w:rFonts w:ascii="Calibri" w:hAnsi="Calibri" w:cs="Calibri"/>
          <w:color w:val="5F5F5F"/>
          <w:lang w:val="en-IE"/>
        </w:rPr>
        <w:t>1</w:t>
      </w:r>
      <w:r w:rsidR="00332281">
        <w:rPr>
          <w:rFonts w:ascii="Calibri" w:hAnsi="Calibri" w:cs="Calibri"/>
          <w:color w:val="5F5F5F"/>
          <w:lang w:val="en-IE"/>
        </w:rPr>
        <w:t>7.2</w:t>
      </w:r>
      <w:r w:rsidRPr="00D4061C">
        <w:rPr>
          <w:rFonts w:ascii="Calibri" w:hAnsi="Calibri" w:cs="Calibri"/>
          <w:color w:val="5F5F5F"/>
          <w:lang w:val="en-IE"/>
        </w:rPr>
        <w:t xml:space="preserve"> million in relation to this expenditure. This included net write-offs in relation to current year expe</w:t>
      </w:r>
      <w:r w:rsidR="00F06A27">
        <w:rPr>
          <w:rFonts w:ascii="Calibri" w:hAnsi="Calibri" w:cs="Calibri"/>
          <w:color w:val="5F5F5F"/>
          <w:lang w:val="en-IE"/>
        </w:rPr>
        <w:t>nditure in French Guiana ($10</w:t>
      </w:r>
      <w:r w:rsidR="00332281">
        <w:rPr>
          <w:rFonts w:ascii="Calibri" w:hAnsi="Calibri" w:cs="Calibri"/>
          <w:color w:val="5F5F5F"/>
          <w:lang w:val="en-IE"/>
        </w:rPr>
        <w:t>0.5</w:t>
      </w:r>
      <w:r w:rsidR="00F06A27">
        <w:rPr>
          <w:rFonts w:ascii="Calibri" w:hAnsi="Calibri" w:cs="Calibri"/>
          <w:color w:val="5F5F5F"/>
          <w:lang w:val="en-IE"/>
        </w:rPr>
        <w:t xml:space="preserve"> million), Norway ($28</w:t>
      </w:r>
      <w:r w:rsidR="00332281">
        <w:rPr>
          <w:rFonts w:ascii="Calibri" w:hAnsi="Calibri" w:cs="Calibri"/>
          <w:color w:val="5F5F5F"/>
          <w:lang w:val="en-IE"/>
        </w:rPr>
        <w:t>.0</w:t>
      </w:r>
      <w:r w:rsidR="00F06A27">
        <w:rPr>
          <w:rFonts w:ascii="Calibri" w:hAnsi="Calibri" w:cs="Calibri"/>
          <w:color w:val="5F5F5F"/>
          <w:lang w:val="en-IE"/>
        </w:rPr>
        <w:t xml:space="preserve"> million), Gabon ($</w:t>
      </w:r>
      <w:r w:rsidR="00332281">
        <w:rPr>
          <w:rFonts w:ascii="Calibri" w:hAnsi="Calibri" w:cs="Calibri"/>
          <w:color w:val="5F5F5F"/>
          <w:lang w:val="en-IE"/>
        </w:rPr>
        <w:t>27.6</w:t>
      </w:r>
      <w:r w:rsidR="00F06A27">
        <w:rPr>
          <w:rFonts w:ascii="Calibri" w:hAnsi="Calibri" w:cs="Calibri"/>
          <w:color w:val="5F5F5F"/>
          <w:lang w:val="en-IE"/>
        </w:rPr>
        <w:t xml:space="preserve"> million), Ethiopia ($45</w:t>
      </w:r>
      <w:r w:rsidR="00332281">
        <w:rPr>
          <w:rFonts w:ascii="Calibri" w:hAnsi="Calibri" w:cs="Calibri"/>
          <w:color w:val="5F5F5F"/>
          <w:lang w:val="en-IE"/>
        </w:rPr>
        <w:t>.3</w:t>
      </w:r>
      <w:r w:rsidR="00F06A27">
        <w:rPr>
          <w:rFonts w:ascii="Calibri" w:hAnsi="Calibri" w:cs="Calibri"/>
          <w:color w:val="5F5F5F"/>
          <w:lang w:val="en-IE"/>
        </w:rPr>
        <w:t xml:space="preserve"> million) and Mozambique ($77</w:t>
      </w:r>
      <w:r w:rsidR="00332281">
        <w:rPr>
          <w:rFonts w:ascii="Calibri" w:hAnsi="Calibri" w:cs="Calibri"/>
          <w:color w:val="5F5F5F"/>
          <w:lang w:val="en-IE"/>
        </w:rPr>
        <w:t>.0</w:t>
      </w:r>
      <w:r w:rsidRPr="00D4061C">
        <w:rPr>
          <w:rFonts w:ascii="Calibri" w:hAnsi="Calibri" w:cs="Calibri"/>
          <w:color w:val="5F5F5F"/>
          <w:lang w:val="en-IE"/>
        </w:rPr>
        <w:t xml:space="preserve"> million)</w:t>
      </w:r>
      <w:r w:rsidR="00332281" w:rsidRPr="00332281">
        <w:rPr>
          <w:rFonts w:ascii="Calibri" w:hAnsi="Calibri" w:cs="Calibri"/>
          <w:color w:val="5F5F5F"/>
          <w:lang w:val="en-IE"/>
        </w:rPr>
        <w:t xml:space="preserve"> </w:t>
      </w:r>
      <w:r w:rsidR="00332281">
        <w:rPr>
          <w:rFonts w:ascii="Calibri" w:hAnsi="Calibri" w:cs="Calibri"/>
          <w:color w:val="5F5F5F"/>
          <w:lang w:val="en-IE"/>
        </w:rPr>
        <w:t>and new venture costs were $75</w:t>
      </w:r>
      <w:r w:rsidR="001F3658">
        <w:rPr>
          <w:rFonts w:ascii="Calibri" w:hAnsi="Calibri" w:cs="Calibri"/>
          <w:color w:val="5F5F5F"/>
          <w:lang w:val="en-IE"/>
        </w:rPr>
        <w:t>.0</w:t>
      </w:r>
      <w:r w:rsidR="00332281" w:rsidRPr="00D4061C">
        <w:rPr>
          <w:rFonts w:ascii="Calibri" w:hAnsi="Calibri" w:cs="Calibri"/>
          <w:color w:val="5F5F5F"/>
          <w:lang w:val="en-IE"/>
        </w:rPr>
        <w:t xml:space="preserve"> million.</w:t>
      </w:r>
      <w:r w:rsidRPr="00D4061C">
        <w:rPr>
          <w:rFonts w:ascii="Calibri" w:hAnsi="Calibri" w:cs="Calibri"/>
          <w:color w:val="5F5F5F"/>
          <w:lang w:val="en-IE"/>
        </w:rPr>
        <w:t xml:space="preserve"> In addition the Group has </w:t>
      </w:r>
      <w:r w:rsidR="00F06A27">
        <w:rPr>
          <w:rFonts w:ascii="Calibri" w:hAnsi="Calibri" w:cs="Calibri"/>
          <w:color w:val="5F5F5F"/>
          <w:lang w:val="en-IE"/>
        </w:rPr>
        <w:t>written off $2</w:t>
      </w:r>
      <w:r w:rsidR="007E10D2">
        <w:rPr>
          <w:rFonts w:ascii="Calibri" w:hAnsi="Calibri" w:cs="Calibri"/>
          <w:color w:val="5F5F5F"/>
          <w:lang w:val="en-IE"/>
        </w:rPr>
        <w:t>79</w:t>
      </w:r>
      <w:r w:rsidR="00332281">
        <w:rPr>
          <w:rFonts w:ascii="Calibri" w:hAnsi="Calibri" w:cs="Calibri"/>
          <w:color w:val="5F5F5F"/>
          <w:lang w:val="en-IE"/>
        </w:rPr>
        <w:t>.5</w:t>
      </w:r>
      <w:r w:rsidRPr="00D4061C">
        <w:rPr>
          <w:rFonts w:ascii="Calibri" w:hAnsi="Calibri" w:cs="Calibri"/>
          <w:color w:val="5F5F5F"/>
          <w:lang w:val="en-IE"/>
        </w:rPr>
        <w:t xml:space="preserve"> million in relation to prior year</w:t>
      </w:r>
      <w:r w:rsidR="009E3D53">
        <w:rPr>
          <w:rFonts w:ascii="Calibri" w:hAnsi="Calibri" w:cs="Calibri"/>
          <w:color w:val="5F5F5F"/>
          <w:lang w:val="en-IE"/>
        </w:rPr>
        <w:t>s</w:t>
      </w:r>
      <w:r w:rsidRPr="00D4061C">
        <w:rPr>
          <w:rFonts w:ascii="Calibri" w:hAnsi="Calibri" w:cs="Calibri"/>
          <w:color w:val="5F5F5F"/>
          <w:lang w:val="en-IE"/>
        </w:rPr>
        <w:t xml:space="preserve"> expenditure and fair value adjustments as a result of licence relinquishments and changes in expected </w:t>
      </w:r>
      <w:r w:rsidR="0054674E" w:rsidRPr="00D4061C">
        <w:rPr>
          <w:rFonts w:ascii="Calibri" w:hAnsi="Calibri" w:cs="Calibri"/>
          <w:color w:val="5F5F5F"/>
          <w:lang w:val="en-IE"/>
        </w:rPr>
        <w:t>near</w:t>
      </w:r>
      <w:r w:rsidR="0054674E">
        <w:rPr>
          <w:rFonts w:ascii="Calibri" w:hAnsi="Calibri" w:cs="Calibri"/>
          <w:color w:val="5F5F5F"/>
          <w:lang w:val="en-IE"/>
        </w:rPr>
        <w:t>-</w:t>
      </w:r>
      <w:r w:rsidR="0054674E" w:rsidRPr="00D4061C">
        <w:rPr>
          <w:rFonts w:ascii="Calibri" w:hAnsi="Calibri" w:cs="Calibri"/>
          <w:color w:val="5F5F5F"/>
          <w:lang w:val="en-IE"/>
        </w:rPr>
        <w:t>term</w:t>
      </w:r>
      <w:r w:rsidRPr="00D4061C">
        <w:rPr>
          <w:rFonts w:ascii="Calibri" w:hAnsi="Calibri" w:cs="Calibri"/>
          <w:color w:val="5F5F5F"/>
          <w:lang w:val="en-IE"/>
        </w:rPr>
        <w:t xml:space="preserve"> work programmes. This inc</w:t>
      </w:r>
      <w:r w:rsidR="00F06A27">
        <w:rPr>
          <w:rFonts w:ascii="Calibri" w:hAnsi="Calibri" w:cs="Calibri"/>
          <w:color w:val="5F5F5F"/>
          <w:lang w:val="en-IE"/>
        </w:rPr>
        <w:t>luded write-offs in Kenya ($79</w:t>
      </w:r>
      <w:r w:rsidR="00332281">
        <w:rPr>
          <w:rFonts w:ascii="Calibri" w:hAnsi="Calibri" w:cs="Calibri"/>
          <w:color w:val="5F5F5F"/>
          <w:lang w:val="en-IE"/>
        </w:rPr>
        <w:t>.0</w:t>
      </w:r>
      <w:r w:rsidRPr="00D4061C">
        <w:rPr>
          <w:rFonts w:ascii="Calibri" w:hAnsi="Calibri" w:cs="Calibri"/>
          <w:color w:val="5F5F5F"/>
          <w:lang w:val="en-IE"/>
        </w:rPr>
        <w:t xml:space="preserve"> million), Uganda </w:t>
      </w:r>
      <w:r w:rsidR="0054674E">
        <w:rPr>
          <w:rFonts w:ascii="Calibri" w:hAnsi="Calibri" w:cs="Calibri"/>
          <w:color w:val="5F5F5F"/>
          <w:lang w:val="en-IE"/>
        </w:rPr>
        <w:t>(</w:t>
      </w:r>
      <w:r w:rsidR="00F06A27">
        <w:rPr>
          <w:rFonts w:ascii="Calibri" w:hAnsi="Calibri" w:cs="Calibri"/>
          <w:color w:val="5F5F5F"/>
          <w:lang w:val="en-IE"/>
        </w:rPr>
        <w:t>$</w:t>
      </w:r>
      <w:r w:rsidR="007E10D2">
        <w:rPr>
          <w:rFonts w:ascii="Calibri" w:hAnsi="Calibri" w:cs="Calibri"/>
          <w:color w:val="5F5F5F"/>
          <w:lang w:val="en-IE"/>
        </w:rPr>
        <w:t>6</w:t>
      </w:r>
      <w:r w:rsidR="00332281">
        <w:rPr>
          <w:rFonts w:ascii="Calibri" w:hAnsi="Calibri" w:cs="Calibri"/>
          <w:color w:val="5F5F5F"/>
          <w:lang w:val="en-IE"/>
        </w:rPr>
        <w:t>6.9</w:t>
      </w:r>
      <w:r w:rsidRPr="00D4061C">
        <w:rPr>
          <w:rFonts w:ascii="Calibri" w:hAnsi="Calibri" w:cs="Calibri"/>
          <w:color w:val="5F5F5F"/>
          <w:lang w:val="en-IE"/>
        </w:rPr>
        <w:t xml:space="preserve"> million) </w:t>
      </w:r>
      <w:r w:rsidR="00F06A27">
        <w:rPr>
          <w:rFonts w:ascii="Calibri" w:hAnsi="Calibri" w:cs="Calibri"/>
          <w:color w:val="5F5F5F"/>
          <w:lang w:val="en-IE"/>
        </w:rPr>
        <w:t>and UK ($29</w:t>
      </w:r>
      <w:r w:rsidR="00332281">
        <w:rPr>
          <w:rFonts w:ascii="Calibri" w:hAnsi="Calibri" w:cs="Calibri"/>
          <w:color w:val="5F5F5F"/>
          <w:lang w:val="en-IE"/>
        </w:rPr>
        <w:t>.9</w:t>
      </w:r>
      <w:r w:rsidRPr="00D4061C">
        <w:rPr>
          <w:rFonts w:ascii="Calibri" w:hAnsi="Calibri" w:cs="Calibri"/>
          <w:color w:val="5F5F5F"/>
          <w:lang w:val="en-IE"/>
        </w:rPr>
        <w:t xml:space="preserve"> millio</w:t>
      </w:r>
      <w:r w:rsidR="00F06A27">
        <w:rPr>
          <w:rFonts w:ascii="Calibri" w:hAnsi="Calibri" w:cs="Calibri"/>
          <w:color w:val="5F5F5F"/>
          <w:lang w:val="en-IE"/>
        </w:rPr>
        <w:t xml:space="preserve">n). </w:t>
      </w:r>
    </w:p>
    <w:p w:rsidR="00871692" w:rsidRDefault="00871692" w:rsidP="00970806">
      <w:pPr>
        <w:spacing w:before="120" w:after="120"/>
        <w:rPr>
          <w:rFonts w:ascii="Calibri" w:hAnsi="Calibri" w:cs="Calibri"/>
          <w:color w:val="5F5F5F"/>
          <w:lang w:val="en-IE"/>
        </w:rPr>
      </w:pPr>
      <w:r w:rsidRPr="00D4061C">
        <w:rPr>
          <w:rFonts w:ascii="Calibri" w:hAnsi="Calibri" w:cs="Calibri"/>
          <w:color w:val="5F5F5F"/>
          <w:lang w:val="en-IE"/>
        </w:rPr>
        <w:t>In 2012 the Group spent $1.1 billion on exploration and appraisal activities and has written off $236.1 million in relation to this expenditure. This included net write-offs in relation to 2012 expenditure in</w:t>
      </w:r>
      <w:r>
        <w:rPr>
          <w:rFonts w:ascii="Calibri" w:hAnsi="Calibri" w:cs="Calibri"/>
          <w:color w:val="5F5F5F"/>
          <w:lang w:val="en-IE"/>
        </w:rPr>
        <w:t xml:space="preserve"> Ghana ($36.9 million), Guyana </w:t>
      </w:r>
      <w:r w:rsidRPr="00D4061C">
        <w:rPr>
          <w:rFonts w:ascii="Calibri" w:hAnsi="Calibri" w:cs="Calibri"/>
          <w:color w:val="5F5F5F"/>
          <w:lang w:val="en-IE"/>
        </w:rPr>
        <w:t>($46.4 million) and S</w:t>
      </w:r>
      <w:r w:rsidR="002B00BD">
        <w:rPr>
          <w:rFonts w:ascii="Calibri" w:hAnsi="Calibri" w:cs="Calibri"/>
          <w:color w:val="5F5F5F"/>
          <w:lang w:val="en-IE"/>
        </w:rPr>
        <w:t>i</w:t>
      </w:r>
      <w:r w:rsidR="00332281">
        <w:rPr>
          <w:rFonts w:ascii="Calibri" w:hAnsi="Calibri" w:cs="Calibri"/>
          <w:color w:val="5F5F5F"/>
          <w:lang w:val="en-IE"/>
        </w:rPr>
        <w:t>erra Leone ($37.9 million) and n</w:t>
      </w:r>
      <w:r w:rsidR="00332281" w:rsidRPr="00D4061C">
        <w:rPr>
          <w:rFonts w:ascii="Calibri" w:hAnsi="Calibri" w:cs="Calibri"/>
          <w:color w:val="5F5F5F"/>
          <w:lang w:val="en-IE"/>
        </w:rPr>
        <w:t>ew venture costs were $66.8 million.</w:t>
      </w:r>
      <w:r w:rsidRPr="00D4061C">
        <w:rPr>
          <w:rFonts w:ascii="Calibri" w:hAnsi="Calibri" w:cs="Calibri"/>
          <w:color w:val="5F5F5F"/>
          <w:lang w:val="en-IE"/>
        </w:rPr>
        <w:t xml:space="preserve"> In addition the Group has written off $365.3 million net of tax in relation to prior year</w:t>
      </w:r>
      <w:r w:rsidR="009E3D53">
        <w:rPr>
          <w:rFonts w:ascii="Calibri" w:hAnsi="Calibri" w:cs="Calibri"/>
          <w:color w:val="5F5F5F"/>
          <w:lang w:val="en-IE"/>
        </w:rPr>
        <w:t>s</w:t>
      </w:r>
      <w:r w:rsidRPr="00D4061C">
        <w:rPr>
          <w:rFonts w:ascii="Calibri" w:hAnsi="Calibri" w:cs="Calibri"/>
          <w:color w:val="5F5F5F"/>
          <w:lang w:val="en-IE"/>
        </w:rPr>
        <w:t xml:space="preserve"> expenditure and fair value adjustments as a result of licence relinquishments and changes in expected </w:t>
      </w:r>
      <w:r w:rsidR="00AE3D58" w:rsidRPr="00D4061C">
        <w:rPr>
          <w:rFonts w:ascii="Calibri" w:hAnsi="Calibri" w:cs="Calibri"/>
          <w:color w:val="5F5F5F"/>
          <w:lang w:val="en-IE"/>
        </w:rPr>
        <w:t>near</w:t>
      </w:r>
      <w:r w:rsidR="00AE3D58">
        <w:rPr>
          <w:rFonts w:ascii="Calibri" w:hAnsi="Calibri" w:cs="Calibri"/>
          <w:color w:val="5F5F5F"/>
          <w:lang w:val="en-IE"/>
        </w:rPr>
        <w:t>-</w:t>
      </w:r>
      <w:r w:rsidR="00AE3D58" w:rsidRPr="00D4061C">
        <w:rPr>
          <w:rFonts w:ascii="Calibri" w:hAnsi="Calibri" w:cs="Calibri"/>
          <w:color w:val="5F5F5F"/>
          <w:lang w:val="en-IE"/>
        </w:rPr>
        <w:t>term</w:t>
      </w:r>
      <w:r w:rsidRPr="00D4061C">
        <w:rPr>
          <w:rFonts w:ascii="Calibri" w:hAnsi="Calibri" w:cs="Calibri"/>
          <w:color w:val="5F5F5F"/>
          <w:lang w:val="en-IE"/>
        </w:rPr>
        <w:t xml:space="preserve"> work programmes. This included write-offs in Mauritania ($80.8 million), Namibia ($114.6 million) and Ghana ($37.0 million). </w:t>
      </w:r>
    </w:p>
    <w:p w:rsidR="00871692" w:rsidRDefault="00871692" w:rsidP="00871692">
      <w:pPr>
        <w:spacing w:line="240" w:lineRule="auto"/>
        <w:jc w:val="left"/>
        <w:rPr>
          <w:rFonts w:ascii="Calibri" w:hAnsi="Calibri" w:cs="Calibri"/>
          <w:color w:val="5F5F5F"/>
          <w:lang w:val="en-IE"/>
        </w:rPr>
      </w:pPr>
      <w:r>
        <w:rPr>
          <w:rFonts w:ascii="Calibri" w:hAnsi="Calibri" w:cs="Calibri"/>
          <w:color w:val="5F5F5F"/>
          <w:lang w:val="en-IE"/>
        </w:rPr>
        <w:br w:type="page"/>
      </w:r>
    </w:p>
    <w:p w:rsidR="00871692" w:rsidRPr="00970806" w:rsidRDefault="00871692" w:rsidP="00970806">
      <w:pPr>
        <w:numPr>
          <w:ilvl w:val="0"/>
          <w:numId w:val="6"/>
        </w:numPr>
        <w:spacing w:before="240" w:after="40"/>
        <w:ind w:left="0" w:firstLine="0"/>
        <w:rPr>
          <w:rFonts w:ascii="Calibri" w:hAnsi="Calibri" w:cs="Calibri"/>
          <w:b/>
          <w:color w:val="00305C"/>
          <w:sz w:val="22"/>
          <w:szCs w:val="22"/>
          <w:lang w:val="en-US"/>
        </w:rPr>
      </w:pPr>
      <w:r w:rsidRPr="00970806">
        <w:rPr>
          <w:rFonts w:ascii="Calibri" w:hAnsi="Calibri" w:cs="Calibri"/>
          <w:b/>
          <w:color w:val="00305C"/>
          <w:sz w:val="22"/>
          <w:szCs w:val="22"/>
          <w:lang w:val="en-US"/>
        </w:rPr>
        <w:t>Other assets</w:t>
      </w:r>
    </w:p>
    <w:tbl>
      <w:tblPr>
        <w:tblW w:w="0" w:type="auto"/>
        <w:tblCellMar>
          <w:left w:w="0" w:type="dxa"/>
          <w:right w:w="57" w:type="dxa"/>
        </w:tblCellMar>
        <w:tblLook w:val="00A0" w:firstRow="1" w:lastRow="0" w:firstColumn="1" w:lastColumn="0" w:noHBand="0" w:noVBand="0"/>
      </w:tblPr>
      <w:tblGrid>
        <w:gridCol w:w="6804"/>
        <w:gridCol w:w="1418"/>
        <w:gridCol w:w="1276"/>
      </w:tblGrid>
      <w:tr w:rsidR="00871692" w:rsidRPr="00235E84" w:rsidTr="00970806">
        <w:tc>
          <w:tcPr>
            <w:tcW w:w="6804" w:type="dxa"/>
            <w:tcBorders>
              <w:bottom w:val="single" w:sz="12" w:space="0" w:color="999999"/>
            </w:tcBorders>
            <w:vAlign w:val="bottom"/>
          </w:tcPr>
          <w:p w:rsidR="00871692" w:rsidRPr="00970806" w:rsidRDefault="00871692" w:rsidP="00970806">
            <w:pPr>
              <w:pStyle w:val="Tabletext0"/>
              <w:jc w:val="right"/>
              <w:rPr>
                <w:sz w:val="20"/>
                <w:szCs w:val="20"/>
              </w:rPr>
            </w:pPr>
          </w:p>
        </w:tc>
        <w:tc>
          <w:tcPr>
            <w:tcW w:w="1418" w:type="dxa"/>
            <w:tcBorders>
              <w:bottom w:val="single" w:sz="12" w:space="0" w:color="999999"/>
            </w:tcBorders>
            <w:vAlign w:val="bottom"/>
          </w:tcPr>
          <w:p w:rsidR="00871692" w:rsidRPr="00970806" w:rsidRDefault="00871692" w:rsidP="00970806">
            <w:pPr>
              <w:spacing w:line="180" w:lineRule="exact"/>
              <w:ind w:right="57"/>
              <w:jc w:val="right"/>
              <w:rPr>
                <w:rStyle w:val="Bold"/>
                <w:rFonts w:ascii="Calibri" w:hAnsi="Calibri" w:cs="Calibri"/>
                <w:b/>
                <w:color w:val="002B45"/>
                <w:sz w:val="20"/>
                <w:szCs w:val="20"/>
              </w:rPr>
            </w:pPr>
            <w:r w:rsidRPr="00970806">
              <w:rPr>
                <w:rStyle w:val="Bold"/>
                <w:rFonts w:ascii="Calibri" w:hAnsi="Calibri" w:cs="Calibri"/>
                <w:b/>
                <w:color w:val="002B45"/>
                <w:sz w:val="20"/>
                <w:szCs w:val="20"/>
              </w:rPr>
              <w:t>2013</w:t>
            </w:r>
            <w:r w:rsidRPr="00970806">
              <w:rPr>
                <w:rStyle w:val="Bold"/>
                <w:rFonts w:ascii="Calibri" w:hAnsi="Calibri" w:cs="Calibri"/>
                <w:b/>
                <w:color w:val="002B45"/>
                <w:sz w:val="20"/>
                <w:szCs w:val="20"/>
              </w:rPr>
              <w:br/>
              <w:t>$m</w:t>
            </w:r>
          </w:p>
        </w:tc>
        <w:tc>
          <w:tcPr>
            <w:tcW w:w="1276" w:type="dxa"/>
            <w:tcBorders>
              <w:bottom w:val="single" w:sz="12" w:space="0" w:color="999999"/>
            </w:tcBorders>
            <w:vAlign w:val="bottom"/>
          </w:tcPr>
          <w:p w:rsidR="00871692" w:rsidRPr="00970806" w:rsidRDefault="00871692" w:rsidP="00970806">
            <w:pPr>
              <w:spacing w:line="180" w:lineRule="exact"/>
              <w:ind w:right="57"/>
              <w:jc w:val="right"/>
              <w:rPr>
                <w:rStyle w:val="Bold"/>
                <w:rFonts w:ascii="Calibri" w:hAnsi="Calibri" w:cs="Calibri"/>
                <w:b/>
                <w:color w:val="002B45"/>
                <w:sz w:val="20"/>
                <w:szCs w:val="20"/>
              </w:rPr>
            </w:pPr>
            <w:r w:rsidRPr="00970806">
              <w:rPr>
                <w:rStyle w:val="Bold"/>
                <w:rFonts w:ascii="Calibri" w:hAnsi="Calibri" w:cs="Calibri"/>
                <w:b/>
                <w:color w:val="002B45"/>
                <w:sz w:val="20"/>
                <w:szCs w:val="20"/>
              </w:rPr>
              <w:t>2012</w:t>
            </w:r>
            <w:r w:rsidRPr="00970806">
              <w:rPr>
                <w:rStyle w:val="Bold"/>
                <w:rFonts w:ascii="Calibri" w:hAnsi="Calibri" w:cs="Calibri"/>
                <w:b/>
                <w:color w:val="002B45"/>
                <w:sz w:val="20"/>
                <w:szCs w:val="20"/>
              </w:rPr>
              <w:br/>
              <w:t>$m</w:t>
            </w:r>
          </w:p>
        </w:tc>
      </w:tr>
      <w:tr w:rsidR="00871692" w:rsidRPr="00D4061C" w:rsidTr="00A36FAF">
        <w:trPr>
          <w:trHeight w:val="255"/>
        </w:trPr>
        <w:tc>
          <w:tcPr>
            <w:tcW w:w="6804" w:type="dxa"/>
            <w:tcBorders>
              <w:top w:val="single" w:sz="12" w:space="0" w:color="999999"/>
            </w:tcBorders>
            <w:vAlign w:val="center"/>
          </w:tcPr>
          <w:p w:rsidR="00871692" w:rsidRPr="002C61E7" w:rsidRDefault="00871692" w:rsidP="00970806">
            <w:pPr>
              <w:jc w:val="left"/>
              <w:rPr>
                <w:rFonts w:ascii="Calibri" w:hAnsi="Calibri" w:cs="Calibri"/>
                <w:b/>
                <w:color w:val="002B45"/>
                <w:lang w:val="en-US"/>
              </w:rPr>
            </w:pPr>
            <w:r w:rsidRPr="002C61E7">
              <w:rPr>
                <w:rFonts w:ascii="Calibri" w:hAnsi="Calibri" w:cs="Calibri"/>
                <w:b/>
                <w:color w:val="002B45"/>
                <w:lang w:val="en-US"/>
              </w:rPr>
              <w:t>Non-current</w:t>
            </w:r>
          </w:p>
        </w:tc>
        <w:tc>
          <w:tcPr>
            <w:tcW w:w="1418" w:type="dxa"/>
            <w:tcBorders>
              <w:top w:val="single" w:sz="12" w:space="0" w:color="999999"/>
            </w:tcBorders>
            <w:shd w:val="clear" w:color="auto" w:fill="E6E6E6"/>
            <w:vAlign w:val="center"/>
          </w:tcPr>
          <w:p w:rsidR="00871692" w:rsidRPr="00D4061C" w:rsidRDefault="00871692" w:rsidP="00970806">
            <w:pPr>
              <w:ind w:right="57"/>
              <w:jc w:val="right"/>
              <w:rPr>
                <w:rFonts w:ascii="Calibri" w:hAnsi="Calibri" w:cs="Calibri"/>
                <w:color w:val="002B45"/>
                <w:lang w:val="en-US"/>
              </w:rPr>
            </w:pPr>
          </w:p>
        </w:tc>
        <w:tc>
          <w:tcPr>
            <w:tcW w:w="1276" w:type="dxa"/>
            <w:tcBorders>
              <w:top w:val="single" w:sz="12" w:space="0" w:color="999999"/>
            </w:tcBorders>
            <w:vAlign w:val="center"/>
          </w:tcPr>
          <w:p w:rsidR="00871692" w:rsidRPr="00D4061C" w:rsidRDefault="00871692" w:rsidP="00970806">
            <w:pPr>
              <w:ind w:right="57"/>
              <w:jc w:val="right"/>
              <w:rPr>
                <w:rFonts w:ascii="Calibri" w:hAnsi="Calibri" w:cs="Calibri"/>
                <w:color w:val="002B45"/>
                <w:lang w:val="en-US"/>
              </w:rPr>
            </w:pPr>
          </w:p>
        </w:tc>
      </w:tr>
      <w:tr w:rsidR="00871692" w:rsidRPr="00D4061C" w:rsidTr="00A36FAF">
        <w:trPr>
          <w:trHeight w:val="255"/>
        </w:trPr>
        <w:tc>
          <w:tcPr>
            <w:tcW w:w="6804" w:type="dxa"/>
            <w:vAlign w:val="center"/>
          </w:tcPr>
          <w:p w:rsidR="00871692" w:rsidRPr="00D4061C" w:rsidRDefault="00871692" w:rsidP="00970806">
            <w:pPr>
              <w:jc w:val="left"/>
              <w:rPr>
                <w:rFonts w:ascii="Calibri" w:hAnsi="Calibri" w:cs="Calibri"/>
                <w:color w:val="002B45"/>
                <w:lang w:val="en-US"/>
              </w:rPr>
            </w:pPr>
            <w:r w:rsidRPr="00D4061C">
              <w:rPr>
                <w:rFonts w:ascii="Calibri" w:hAnsi="Calibri" w:cs="Calibri"/>
                <w:color w:val="002B45"/>
                <w:lang w:val="en-US"/>
              </w:rPr>
              <w:t>Contingent consideration receivable</w:t>
            </w:r>
          </w:p>
        </w:tc>
        <w:tc>
          <w:tcPr>
            <w:tcW w:w="1418" w:type="dxa"/>
            <w:shd w:val="clear" w:color="auto" w:fill="E6E6E6"/>
            <w:vAlign w:val="center"/>
          </w:tcPr>
          <w:p w:rsidR="00871692" w:rsidRPr="002C61E7" w:rsidRDefault="00871692" w:rsidP="00970806">
            <w:pPr>
              <w:ind w:right="57"/>
              <w:jc w:val="right"/>
              <w:rPr>
                <w:rFonts w:ascii="Calibri" w:hAnsi="Calibri" w:cs="Calibri"/>
                <w:color w:val="002B45"/>
                <w:lang w:val="en-US"/>
              </w:rPr>
            </w:pPr>
            <w:r w:rsidRPr="002C61E7">
              <w:rPr>
                <w:rFonts w:ascii="Calibri" w:hAnsi="Calibri" w:cs="Calibri"/>
                <w:color w:val="002B45"/>
                <w:lang w:val="en-US"/>
              </w:rPr>
              <w:t xml:space="preserve">– </w:t>
            </w:r>
          </w:p>
        </w:tc>
        <w:tc>
          <w:tcPr>
            <w:tcW w:w="1276" w:type="dxa"/>
            <w:vAlign w:val="center"/>
          </w:tcPr>
          <w:p w:rsidR="00871692" w:rsidRPr="002C61E7" w:rsidRDefault="00871692" w:rsidP="00970806">
            <w:pPr>
              <w:ind w:right="57"/>
              <w:jc w:val="right"/>
              <w:rPr>
                <w:rFonts w:ascii="Calibri" w:hAnsi="Calibri" w:cs="Calibri"/>
                <w:color w:val="002B45"/>
                <w:lang w:val="en-US"/>
              </w:rPr>
            </w:pPr>
            <w:r w:rsidRPr="002C61E7">
              <w:rPr>
                <w:rFonts w:ascii="Calibri" w:hAnsi="Calibri" w:cs="Calibri"/>
                <w:color w:val="002B45"/>
                <w:lang w:val="en-US"/>
              </w:rPr>
              <w:t>348.3</w:t>
            </w:r>
          </w:p>
        </w:tc>
      </w:tr>
      <w:tr w:rsidR="00871692" w:rsidRPr="00D4061C" w:rsidTr="00A36FAF">
        <w:trPr>
          <w:trHeight w:val="255"/>
        </w:trPr>
        <w:tc>
          <w:tcPr>
            <w:tcW w:w="6804" w:type="dxa"/>
            <w:vAlign w:val="center"/>
          </w:tcPr>
          <w:p w:rsidR="00871692" w:rsidRPr="00D4061C" w:rsidRDefault="00871692" w:rsidP="00970806">
            <w:pPr>
              <w:jc w:val="left"/>
              <w:rPr>
                <w:rFonts w:ascii="Calibri" w:hAnsi="Calibri" w:cs="Calibri"/>
                <w:color w:val="002B45"/>
                <w:lang w:val="en-US"/>
              </w:rPr>
            </w:pPr>
            <w:r w:rsidRPr="00D4061C">
              <w:rPr>
                <w:rFonts w:ascii="Calibri" w:hAnsi="Calibri" w:cs="Calibri"/>
                <w:color w:val="002B45"/>
                <w:lang w:val="en-US"/>
              </w:rPr>
              <w:t>Recoverable security</w:t>
            </w:r>
            <w:r w:rsidR="00700B58">
              <w:rPr>
                <w:rFonts w:ascii="Calibri" w:hAnsi="Calibri" w:cs="Calibri"/>
                <w:color w:val="002B45"/>
                <w:lang w:val="en-US"/>
              </w:rPr>
              <w:t xml:space="preserve"> due from Heritage Oil and Gas L</w:t>
            </w:r>
            <w:r w:rsidRPr="00D4061C">
              <w:rPr>
                <w:rFonts w:ascii="Calibri" w:hAnsi="Calibri" w:cs="Calibri"/>
                <w:color w:val="002B45"/>
                <w:lang w:val="en-US"/>
              </w:rPr>
              <w:t>imited</w:t>
            </w:r>
          </w:p>
        </w:tc>
        <w:tc>
          <w:tcPr>
            <w:tcW w:w="1418" w:type="dxa"/>
            <w:shd w:val="clear" w:color="auto" w:fill="E6E6E6"/>
            <w:vAlign w:val="center"/>
          </w:tcPr>
          <w:p w:rsidR="00871692" w:rsidRPr="002C61E7" w:rsidRDefault="00871692" w:rsidP="00970806">
            <w:pPr>
              <w:ind w:right="57"/>
              <w:jc w:val="right"/>
              <w:rPr>
                <w:rFonts w:ascii="Calibri" w:hAnsi="Calibri" w:cs="Calibri"/>
                <w:color w:val="002B45"/>
                <w:lang w:val="en-US"/>
              </w:rPr>
            </w:pPr>
            <w:r w:rsidRPr="002C61E7">
              <w:rPr>
                <w:rFonts w:ascii="Calibri" w:hAnsi="Calibri" w:cs="Calibri"/>
                <w:color w:val="002B45"/>
                <w:lang w:val="en-US"/>
              </w:rPr>
              <w:t>–</w:t>
            </w:r>
          </w:p>
        </w:tc>
        <w:tc>
          <w:tcPr>
            <w:tcW w:w="1276" w:type="dxa"/>
            <w:vAlign w:val="center"/>
          </w:tcPr>
          <w:p w:rsidR="00871692" w:rsidRPr="002C61E7" w:rsidRDefault="00871692" w:rsidP="00970806">
            <w:pPr>
              <w:ind w:right="57"/>
              <w:jc w:val="right"/>
              <w:rPr>
                <w:rFonts w:ascii="Calibri" w:hAnsi="Calibri" w:cs="Calibri"/>
                <w:color w:val="002B45"/>
                <w:lang w:val="en-US"/>
              </w:rPr>
            </w:pPr>
            <w:r w:rsidRPr="002C61E7">
              <w:rPr>
                <w:rFonts w:ascii="Calibri" w:hAnsi="Calibri" w:cs="Calibri"/>
                <w:color w:val="002B45"/>
                <w:lang w:val="en-US"/>
              </w:rPr>
              <w:t>283.5</w:t>
            </w:r>
          </w:p>
        </w:tc>
      </w:tr>
      <w:tr w:rsidR="00871692" w:rsidRPr="00D4061C" w:rsidTr="00A36FAF">
        <w:trPr>
          <w:trHeight w:val="255"/>
        </w:trPr>
        <w:tc>
          <w:tcPr>
            <w:tcW w:w="6804" w:type="dxa"/>
            <w:vAlign w:val="center"/>
          </w:tcPr>
          <w:p w:rsidR="00871692" w:rsidRPr="00D4061C" w:rsidRDefault="00871692" w:rsidP="00970806">
            <w:pPr>
              <w:jc w:val="left"/>
              <w:rPr>
                <w:rFonts w:ascii="Calibri" w:hAnsi="Calibri" w:cs="Calibri"/>
                <w:color w:val="002B45"/>
                <w:lang w:val="en-US"/>
              </w:rPr>
            </w:pPr>
            <w:r w:rsidRPr="00D4061C">
              <w:rPr>
                <w:rFonts w:ascii="Calibri" w:hAnsi="Calibri" w:cs="Calibri"/>
                <w:color w:val="002B45"/>
                <w:lang w:val="en-US"/>
              </w:rPr>
              <w:t>Uganda VAT recoverable</w:t>
            </w:r>
          </w:p>
        </w:tc>
        <w:tc>
          <w:tcPr>
            <w:tcW w:w="1418" w:type="dxa"/>
            <w:shd w:val="clear" w:color="auto" w:fill="E6E6E6"/>
            <w:vAlign w:val="center"/>
          </w:tcPr>
          <w:p w:rsidR="00871692" w:rsidRPr="002C61E7" w:rsidRDefault="00871692" w:rsidP="00970806">
            <w:pPr>
              <w:ind w:right="57"/>
              <w:jc w:val="right"/>
              <w:rPr>
                <w:rFonts w:ascii="Calibri" w:hAnsi="Calibri" w:cs="Calibri"/>
                <w:color w:val="002B45"/>
                <w:lang w:val="en-US"/>
              </w:rPr>
            </w:pPr>
            <w:r w:rsidRPr="002C61E7">
              <w:rPr>
                <w:rFonts w:ascii="Calibri" w:hAnsi="Calibri" w:cs="Calibri"/>
                <w:color w:val="002B45"/>
                <w:lang w:val="en-US"/>
              </w:rPr>
              <w:t xml:space="preserve"> 50.6 </w:t>
            </w:r>
          </w:p>
        </w:tc>
        <w:tc>
          <w:tcPr>
            <w:tcW w:w="1276" w:type="dxa"/>
            <w:vAlign w:val="center"/>
          </w:tcPr>
          <w:p w:rsidR="00871692" w:rsidRPr="002C61E7" w:rsidRDefault="00871692" w:rsidP="00970806">
            <w:pPr>
              <w:ind w:right="57"/>
              <w:jc w:val="right"/>
              <w:rPr>
                <w:rFonts w:ascii="Calibri" w:hAnsi="Calibri" w:cs="Calibri"/>
                <w:color w:val="002B45"/>
                <w:lang w:val="en-US"/>
              </w:rPr>
            </w:pPr>
            <w:r w:rsidRPr="002C61E7">
              <w:rPr>
                <w:rFonts w:ascii="Calibri" w:hAnsi="Calibri" w:cs="Calibri"/>
                <w:color w:val="002B45"/>
                <w:lang w:val="en-US"/>
              </w:rPr>
              <w:t>55.5</w:t>
            </w:r>
          </w:p>
        </w:tc>
      </w:tr>
      <w:tr w:rsidR="00871692" w:rsidRPr="00D4061C" w:rsidTr="00A36FAF">
        <w:trPr>
          <w:trHeight w:val="255"/>
        </w:trPr>
        <w:tc>
          <w:tcPr>
            <w:tcW w:w="6804" w:type="dxa"/>
            <w:tcBorders>
              <w:bottom w:val="single" w:sz="8" w:space="0" w:color="999999"/>
            </w:tcBorders>
            <w:vAlign w:val="center"/>
          </w:tcPr>
          <w:p w:rsidR="00871692" w:rsidRPr="00D4061C" w:rsidRDefault="00871692" w:rsidP="00970806">
            <w:pPr>
              <w:jc w:val="left"/>
              <w:rPr>
                <w:rFonts w:ascii="Calibri" w:hAnsi="Calibri" w:cs="Calibri"/>
                <w:color w:val="002B45"/>
                <w:lang w:val="en-US"/>
              </w:rPr>
            </w:pPr>
            <w:r w:rsidRPr="00D4061C">
              <w:rPr>
                <w:rFonts w:ascii="Calibri" w:hAnsi="Calibri" w:cs="Calibri"/>
                <w:color w:val="002B45"/>
                <w:lang w:val="en-US"/>
              </w:rPr>
              <w:t>Other non-current assets</w:t>
            </w:r>
          </w:p>
        </w:tc>
        <w:tc>
          <w:tcPr>
            <w:tcW w:w="1418" w:type="dxa"/>
            <w:tcBorders>
              <w:bottom w:val="single" w:sz="8" w:space="0" w:color="999999"/>
            </w:tcBorders>
            <w:shd w:val="clear" w:color="auto" w:fill="E6E6E6"/>
            <w:vAlign w:val="center"/>
          </w:tcPr>
          <w:p w:rsidR="00871692" w:rsidRPr="002C61E7" w:rsidRDefault="00871692" w:rsidP="00970806">
            <w:pPr>
              <w:ind w:right="57"/>
              <w:jc w:val="right"/>
              <w:rPr>
                <w:rFonts w:ascii="Calibri" w:hAnsi="Calibri" w:cs="Calibri"/>
                <w:color w:val="002B45"/>
                <w:lang w:val="en-US"/>
              </w:rPr>
            </w:pPr>
            <w:r w:rsidRPr="002C61E7">
              <w:rPr>
                <w:rFonts w:ascii="Calibri" w:hAnsi="Calibri" w:cs="Calibri"/>
                <w:color w:val="002B45"/>
                <w:lang w:val="en-US"/>
              </w:rPr>
              <w:t xml:space="preserve"> 18.1 </w:t>
            </w:r>
          </w:p>
        </w:tc>
        <w:tc>
          <w:tcPr>
            <w:tcW w:w="1276" w:type="dxa"/>
            <w:tcBorders>
              <w:bottom w:val="single" w:sz="8" w:space="0" w:color="999999"/>
            </w:tcBorders>
            <w:vAlign w:val="center"/>
          </w:tcPr>
          <w:p w:rsidR="00871692" w:rsidRPr="002C61E7" w:rsidRDefault="00871692" w:rsidP="00970806">
            <w:pPr>
              <w:ind w:right="57"/>
              <w:jc w:val="right"/>
              <w:rPr>
                <w:rFonts w:ascii="Calibri" w:hAnsi="Calibri" w:cs="Calibri"/>
                <w:color w:val="002B45"/>
                <w:lang w:val="en-US"/>
              </w:rPr>
            </w:pPr>
            <w:r w:rsidRPr="002C61E7">
              <w:rPr>
                <w:rFonts w:ascii="Calibri" w:hAnsi="Calibri" w:cs="Calibri"/>
                <w:color w:val="002B45"/>
                <w:lang w:val="en-US"/>
              </w:rPr>
              <w:t>9.4</w:t>
            </w:r>
          </w:p>
        </w:tc>
      </w:tr>
      <w:tr w:rsidR="00871692" w:rsidRPr="00D4061C" w:rsidTr="00A36FAF">
        <w:trPr>
          <w:trHeight w:val="255"/>
        </w:trPr>
        <w:tc>
          <w:tcPr>
            <w:tcW w:w="6804" w:type="dxa"/>
            <w:tcBorders>
              <w:top w:val="single" w:sz="8" w:space="0" w:color="999999"/>
              <w:bottom w:val="single" w:sz="8" w:space="0" w:color="999999"/>
            </w:tcBorders>
            <w:vAlign w:val="center"/>
          </w:tcPr>
          <w:p w:rsidR="00871692" w:rsidRPr="00D4061C" w:rsidRDefault="00871692" w:rsidP="00970806">
            <w:pPr>
              <w:jc w:val="left"/>
              <w:rPr>
                <w:rFonts w:ascii="Calibri" w:hAnsi="Calibri" w:cs="Calibri"/>
                <w:color w:val="002B45"/>
                <w:lang w:val="en-US"/>
              </w:rPr>
            </w:pPr>
          </w:p>
        </w:tc>
        <w:tc>
          <w:tcPr>
            <w:tcW w:w="1418" w:type="dxa"/>
            <w:tcBorders>
              <w:top w:val="single" w:sz="8" w:space="0" w:color="999999"/>
              <w:bottom w:val="single" w:sz="8" w:space="0" w:color="999999"/>
            </w:tcBorders>
            <w:shd w:val="clear" w:color="auto" w:fill="E6E6E6"/>
            <w:vAlign w:val="center"/>
          </w:tcPr>
          <w:p w:rsidR="00871692" w:rsidRPr="002C61E7" w:rsidRDefault="00871692" w:rsidP="00970806">
            <w:pPr>
              <w:ind w:right="57"/>
              <w:jc w:val="right"/>
              <w:rPr>
                <w:rFonts w:ascii="Calibri" w:hAnsi="Calibri" w:cs="Calibri"/>
                <w:color w:val="002B45"/>
                <w:lang w:val="en-US"/>
              </w:rPr>
            </w:pPr>
            <w:r w:rsidRPr="002C61E7">
              <w:rPr>
                <w:rFonts w:ascii="Calibri" w:hAnsi="Calibri" w:cs="Calibri"/>
                <w:color w:val="002B45"/>
                <w:lang w:val="en-US"/>
              </w:rPr>
              <w:t xml:space="preserve"> 68.7 </w:t>
            </w:r>
          </w:p>
        </w:tc>
        <w:tc>
          <w:tcPr>
            <w:tcW w:w="1276" w:type="dxa"/>
            <w:tcBorders>
              <w:top w:val="single" w:sz="8" w:space="0" w:color="999999"/>
              <w:bottom w:val="single" w:sz="8" w:space="0" w:color="999999"/>
            </w:tcBorders>
            <w:vAlign w:val="center"/>
          </w:tcPr>
          <w:p w:rsidR="00871692" w:rsidRPr="002C61E7" w:rsidRDefault="00871692" w:rsidP="00970806">
            <w:pPr>
              <w:ind w:right="57"/>
              <w:jc w:val="right"/>
              <w:rPr>
                <w:rFonts w:ascii="Calibri" w:hAnsi="Calibri" w:cs="Calibri"/>
                <w:color w:val="002B45"/>
                <w:lang w:val="en-US"/>
              </w:rPr>
            </w:pPr>
            <w:r w:rsidRPr="002C61E7">
              <w:rPr>
                <w:rFonts w:ascii="Calibri" w:hAnsi="Calibri" w:cs="Calibri"/>
                <w:color w:val="002B45"/>
                <w:lang w:val="en-US"/>
              </w:rPr>
              <w:t xml:space="preserve"> 696.7 </w:t>
            </w:r>
          </w:p>
        </w:tc>
      </w:tr>
      <w:tr w:rsidR="00871692" w:rsidRPr="00D4061C" w:rsidTr="00A36FAF">
        <w:trPr>
          <w:trHeight w:val="255"/>
        </w:trPr>
        <w:tc>
          <w:tcPr>
            <w:tcW w:w="6804" w:type="dxa"/>
            <w:tcBorders>
              <w:top w:val="single" w:sz="8" w:space="0" w:color="999999"/>
            </w:tcBorders>
            <w:vAlign w:val="center"/>
          </w:tcPr>
          <w:p w:rsidR="00871692" w:rsidRPr="002C61E7" w:rsidRDefault="00871692" w:rsidP="00970806">
            <w:pPr>
              <w:jc w:val="left"/>
              <w:rPr>
                <w:rFonts w:ascii="Calibri" w:hAnsi="Calibri" w:cs="Calibri"/>
                <w:b/>
                <w:color w:val="002B45"/>
                <w:lang w:val="en-US"/>
              </w:rPr>
            </w:pPr>
            <w:r w:rsidRPr="002C61E7">
              <w:rPr>
                <w:rFonts w:ascii="Calibri" w:hAnsi="Calibri" w:cs="Calibri"/>
                <w:b/>
                <w:color w:val="002B45"/>
                <w:lang w:val="en-US"/>
              </w:rPr>
              <w:t>Current</w:t>
            </w:r>
          </w:p>
        </w:tc>
        <w:tc>
          <w:tcPr>
            <w:tcW w:w="1418" w:type="dxa"/>
            <w:tcBorders>
              <w:top w:val="single" w:sz="8" w:space="0" w:color="999999"/>
            </w:tcBorders>
            <w:shd w:val="clear" w:color="auto" w:fill="E6E6E6"/>
            <w:vAlign w:val="center"/>
          </w:tcPr>
          <w:p w:rsidR="00871692" w:rsidRPr="002C61E7" w:rsidRDefault="00871692" w:rsidP="00970806">
            <w:pPr>
              <w:ind w:right="57"/>
              <w:jc w:val="right"/>
              <w:rPr>
                <w:rFonts w:ascii="Calibri" w:hAnsi="Calibri" w:cs="Calibri"/>
                <w:color w:val="002B45"/>
                <w:lang w:val="en-US"/>
              </w:rPr>
            </w:pPr>
          </w:p>
        </w:tc>
        <w:tc>
          <w:tcPr>
            <w:tcW w:w="1276" w:type="dxa"/>
            <w:tcBorders>
              <w:top w:val="single" w:sz="8" w:space="0" w:color="999999"/>
            </w:tcBorders>
            <w:vAlign w:val="center"/>
          </w:tcPr>
          <w:p w:rsidR="00871692" w:rsidRPr="002C61E7" w:rsidRDefault="00871692" w:rsidP="00970806">
            <w:pPr>
              <w:ind w:right="57"/>
              <w:jc w:val="right"/>
              <w:rPr>
                <w:rFonts w:ascii="Calibri" w:hAnsi="Calibri" w:cs="Calibri"/>
                <w:color w:val="002B45"/>
                <w:lang w:val="en-US"/>
              </w:rPr>
            </w:pPr>
          </w:p>
        </w:tc>
      </w:tr>
      <w:tr w:rsidR="00871692" w:rsidRPr="00D4061C" w:rsidTr="00A36FAF">
        <w:trPr>
          <w:trHeight w:val="255"/>
        </w:trPr>
        <w:tc>
          <w:tcPr>
            <w:tcW w:w="6804" w:type="dxa"/>
            <w:vAlign w:val="center"/>
          </w:tcPr>
          <w:p w:rsidR="00871692" w:rsidRPr="00D4061C" w:rsidRDefault="00871692" w:rsidP="00970806">
            <w:pPr>
              <w:jc w:val="left"/>
              <w:rPr>
                <w:rFonts w:ascii="Calibri" w:hAnsi="Calibri" w:cs="Calibri"/>
                <w:color w:val="002B45"/>
                <w:lang w:val="en-US"/>
              </w:rPr>
            </w:pPr>
            <w:r w:rsidRPr="00D4061C">
              <w:rPr>
                <w:rFonts w:ascii="Calibri" w:hAnsi="Calibri" w:cs="Calibri"/>
                <w:color w:val="002B45"/>
                <w:lang w:val="en-US"/>
              </w:rPr>
              <w:t>Contingent consideration receivable</w:t>
            </w:r>
          </w:p>
        </w:tc>
        <w:tc>
          <w:tcPr>
            <w:tcW w:w="1418" w:type="dxa"/>
            <w:shd w:val="clear" w:color="auto" w:fill="E6E6E6"/>
            <w:vAlign w:val="center"/>
          </w:tcPr>
          <w:p w:rsidR="00871692" w:rsidRPr="002C61E7" w:rsidRDefault="00871692" w:rsidP="00970806">
            <w:pPr>
              <w:ind w:right="57"/>
              <w:jc w:val="right"/>
              <w:rPr>
                <w:rFonts w:ascii="Calibri" w:hAnsi="Calibri" w:cs="Calibri"/>
                <w:color w:val="002B45"/>
                <w:lang w:val="en-US"/>
              </w:rPr>
            </w:pPr>
            <w:r w:rsidRPr="002C61E7">
              <w:rPr>
                <w:rFonts w:ascii="Calibri" w:hAnsi="Calibri" w:cs="Calibri"/>
                <w:color w:val="002B45"/>
                <w:lang w:val="en-US"/>
              </w:rPr>
              <w:t xml:space="preserve"> 358.1 </w:t>
            </w:r>
          </w:p>
        </w:tc>
        <w:tc>
          <w:tcPr>
            <w:tcW w:w="1276" w:type="dxa"/>
            <w:vAlign w:val="center"/>
          </w:tcPr>
          <w:p w:rsidR="00871692" w:rsidRPr="002C61E7" w:rsidRDefault="00871692" w:rsidP="00970806">
            <w:pPr>
              <w:ind w:right="57"/>
              <w:jc w:val="right"/>
              <w:rPr>
                <w:rFonts w:ascii="Calibri" w:hAnsi="Calibri" w:cs="Calibri"/>
                <w:color w:val="002B45"/>
                <w:lang w:val="en-US"/>
              </w:rPr>
            </w:pPr>
            <w:r w:rsidRPr="002C61E7">
              <w:rPr>
                <w:rFonts w:ascii="Calibri" w:hAnsi="Calibri" w:cs="Calibri"/>
                <w:color w:val="002B45"/>
                <w:lang w:val="en-US"/>
              </w:rPr>
              <w:t xml:space="preserve">– </w:t>
            </w:r>
          </w:p>
        </w:tc>
      </w:tr>
      <w:tr w:rsidR="00871692" w:rsidRPr="00D4061C" w:rsidTr="00A36FAF">
        <w:trPr>
          <w:trHeight w:val="255"/>
        </w:trPr>
        <w:tc>
          <w:tcPr>
            <w:tcW w:w="6804" w:type="dxa"/>
            <w:vAlign w:val="center"/>
          </w:tcPr>
          <w:p w:rsidR="00871692" w:rsidRPr="00D4061C" w:rsidRDefault="00871692" w:rsidP="00970806">
            <w:pPr>
              <w:jc w:val="left"/>
              <w:rPr>
                <w:rFonts w:ascii="Calibri" w:hAnsi="Calibri" w:cs="Calibri"/>
                <w:color w:val="002B45"/>
                <w:lang w:val="en-US"/>
              </w:rPr>
            </w:pPr>
            <w:r w:rsidRPr="00D4061C">
              <w:rPr>
                <w:rFonts w:ascii="Calibri" w:hAnsi="Calibri" w:cs="Calibri"/>
                <w:color w:val="002B45"/>
                <w:lang w:val="en-US"/>
              </w:rPr>
              <w:t>Amounts due from joint venture partners</w:t>
            </w:r>
          </w:p>
        </w:tc>
        <w:tc>
          <w:tcPr>
            <w:tcW w:w="1418" w:type="dxa"/>
            <w:shd w:val="clear" w:color="auto" w:fill="E6E6E6"/>
            <w:vAlign w:val="center"/>
          </w:tcPr>
          <w:p w:rsidR="00871692" w:rsidRPr="002C61E7" w:rsidRDefault="00871692" w:rsidP="00970806">
            <w:pPr>
              <w:ind w:right="57"/>
              <w:jc w:val="right"/>
              <w:rPr>
                <w:rFonts w:ascii="Calibri" w:hAnsi="Calibri" w:cs="Calibri"/>
                <w:color w:val="002B45"/>
                <w:lang w:val="en-US"/>
              </w:rPr>
            </w:pPr>
            <w:r w:rsidRPr="002C61E7">
              <w:rPr>
                <w:rFonts w:ascii="Calibri" w:hAnsi="Calibri" w:cs="Calibri"/>
                <w:color w:val="002B45"/>
                <w:lang w:val="en-US"/>
              </w:rPr>
              <w:t xml:space="preserve"> 367.2 </w:t>
            </w:r>
          </w:p>
        </w:tc>
        <w:tc>
          <w:tcPr>
            <w:tcW w:w="1276" w:type="dxa"/>
            <w:vAlign w:val="center"/>
          </w:tcPr>
          <w:p w:rsidR="00871692" w:rsidRPr="002C61E7" w:rsidRDefault="00871692" w:rsidP="00970806">
            <w:pPr>
              <w:ind w:right="57"/>
              <w:jc w:val="right"/>
              <w:rPr>
                <w:rFonts w:ascii="Calibri" w:hAnsi="Calibri" w:cs="Calibri"/>
                <w:color w:val="002B45"/>
                <w:lang w:val="en-US"/>
              </w:rPr>
            </w:pPr>
            <w:r w:rsidRPr="002C61E7">
              <w:rPr>
                <w:rFonts w:ascii="Calibri" w:hAnsi="Calibri" w:cs="Calibri"/>
                <w:color w:val="002B45"/>
                <w:lang w:val="en-US"/>
              </w:rPr>
              <w:t>234.4</w:t>
            </w:r>
          </w:p>
        </w:tc>
      </w:tr>
      <w:tr w:rsidR="00871692" w:rsidRPr="00D4061C" w:rsidTr="00A36FAF">
        <w:trPr>
          <w:trHeight w:val="255"/>
        </w:trPr>
        <w:tc>
          <w:tcPr>
            <w:tcW w:w="6804" w:type="dxa"/>
            <w:vAlign w:val="center"/>
          </w:tcPr>
          <w:p w:rsidR="00871692" w:rsidRPr="00D4061C" w:rsidRDefault="00871692" w:rsidP="00970806">
            <w:pPr>
              <w:jc w:val="left"/>
              <w:rPr>
                <w:rFonts w:ascii="Calibri" w:hAnsi="Calibri" w:cs="Calibri"/>
                <w:color w:val="002B45"/>
                <w:lang w:val="en-US"/>
              </w:rPr>
            </w:pPr>
            <w:r w:rsidRPr="00D4061C">
              <w:rPr>
                <w:rFonts w:ascii="Calibri" w:hAnsi="Calibri" w:cs="Calibri"/>
                <w:color w:val="002B45"/>
                <w:lang w:val="en-US"/>
              </w:rPr>
              <w:t>Underlifts</w:t>
            </w:r>
          </w:p>
        </w:tc>
        <w:tc>
          <w:tcPr>
            <w:tcW w:w="1418" w:type="dxa"/>
            <w:shd w:val="clear" w:color="auto" w:fill="E6E6E6"/>
            <w:vAlign w:val="center"/>
          </w:tcPr>
          <w:p w:rsidR="00871692" w:rsidRPr="002C61E7" w:rsidRDefault="00871692" w:rsidP="00970806">
            <w:pPr>
              <w:ind w:right="57"/>
              <w:jc w:val="right"/>
              <w:rPr>
                <w:rFonts w:ascii="Calibri" w:hAnsi="Calibri" w:cs="Calibri"/>
                <w:color w:val="002B45"/>
                <w:lang w:val="en-US"/>
              </w:rPr>
            </w:pPr>
            <w:r w:rsidRPr="002C61E7">
              <w:rPr>
                <w:rFonts w:ascii="Calibri" w:hAnsi="Calibri" w:cs="Calibri"/>
                <w:color w:val="002B45"/>
                <w:lang w:val="en-US"/>
              </w:rPr>
              <w:t xml:space="preserve"> 30.8 </w:t>
            </w:r>
          </w:p>
        </w:tc>
        <w:tc>
          <w:tcPr>
            <w:tcW w:w="1276" w:type="dxa"/>
            <w:vAlign w:val="center"/>
          </w:tcPr>
          <w:p w:rsidR="00871692" w:rsidRPr="002C61E7" w:rsidRDefault="00871692" w:rsidP="00970806">
            <w:pPr>
              <w:ind w:right="57"/>
              <w:jc w:val="right"/>
              <w:rPr>
                <w:rFonts w:ascii="Calibri" w:hAnsi="Calibri" w:cs="Calibri"/>
                <w:color w:val="002B45"/>
                <w:lang w:val="en-US"/>
              </w:rPr>
            </w:pPr>
            <w:r w:rsidRPr="002C61E7">
              <w:rPr>
                <w:rFonts w:ascii="Calibri" w:hAnsi="Calibri" w:cs="Calibri"/>
                <w:color w:val="002B45"/>
                <w:lang w:val="en-US"/>
              </w:rPr>
              <w:t>16.7</w:t>
            </w:r>
          </w:p>
        </w:tc>
      </w:tr>
      <w:tr w:rsidR="00871692" w:rsidRPr="00D4061C" w:rsidTr="00A36FAF">
        <w:trPr>
          <w:trHeight w:val="255"/>
        </w:trPr>
        <w:tc>
          <w:tcPr>
            <w:tcW w:w="6804" w:type="dxa"/>
            <w:vAlign w:val="center"/>
          </w:tcPr>
          <w:p w:rsidR="00871692" w:rsidRPr="00D4061C" w:rsidRDefault="00871692" w:rsidP="00970806">
            <w:pPr>
              <w:jc w:val="left"/>
              <w:rPr>
                <w:rFonts w:ascii="Calibri" w:hAnsi="Calibri" w:cs="Calibri"/>
                <w:color w:val="002B45"/>
                <w:lang w:val="en-US"/>
              </w:rPr>
            </w:pPr>
            <w:r w:rsidRPr="00D4061C">
              <w:rPr>
                <w:rFonts w:ascii="Calibri" w:hAnsi="Calibri" w:cs="Calibri"/>
                <w:color w:val="002B45"/>
                <w:lang w:val="en-US"/>
              </w:rPr>
              <w:t>Prepayments</w:t>
            </w:r>
          </w:p>
        </w:tc>
        <w:tc>
          <w:tcPr>
            <w:tcW w:w="1418" w:type="dxa"/>
            <w:shd w:val="clear" w:color="auto" w:fill="E6E6E6"/>
            <w:vAlign w:val="center"/>
          </w:tcPr>
          <w:p w:rsidR="00871692" w:rsidRPr="002C61E7" w:rsidRDefault="00871692" w:rsidP="00970806">
            <w:pPr>
              <w:ind w:right="57"/>
              <w:jc w:val="right"/>
              <w:rPr>
                <w:rFonts w:ascii="Calibri" w:hAnsi="Calibri" w:cs="Calibri"/>
                <w:color w:val="002B45"/>
                <w:lang w:val="en-US"/>
              </w:rPr>
            </w:pPr>
            <w:r w:rsidRPr="002C61E7">
              <w:rPr>
                <w:rFonts w:ascii="Calibri" w:hAnsi="Calibri" w:cs="Calibri"/>
                <w:color w:val="002B45"/>
                <w:lang w:val="en-US"/>
              </w:rPr>
              <w:t xml:space="preserve"> 99.3 </w:t>
            </w:r>
          </w:p>
        </w:tc>
        <w:tc>
          <w:tcPr>
            <w:tcW w:w="1276" w:type="dxa"/>
            <w:vAlign w:val="center"/>
          </w:tcPr>
          <w:p w:rsidR="00871692" w:rsidRPr="002C61E7" w:rsidRDefault="00871692" w:rsidP="00970806">
            <w:pPr>
              <w:ind w:right="57"/>
              <w:jc w:val="right"/>
              <w:rPr>
                <w:rFonts w:ascii="Calibri" w:hAnsi="Calibri" w:cs="Calibri"/>
                <w:color w:val="002B45"/>
                <w:lang w:val="en-US"/>
              </w:rPr>
            </w:pPr>
            <w:r w:rsidRPr="002C61E7">
              <w:rPr>
                <w:rFonts w:ascii="Calibri" w:hAnsi="Calibri" w:cs="Calibri"/>
                <w:color w:val="002B45"/>
                <w:lang w:val="en-US"/>
              </w:rPr>
              <w:t xml:space="preserve"> 33.4 </w:t>
            </w:r>
          </w:p>
        </w:tc>
      </w:tr>
      <w:tr w:rsidR="00871692" w:rsidRPr="00D4061C" w:rsidTr="00A36FAF">
        <w:trPr>
          <w:trHeight w:val="255"/>
        </w:trPr>
        <w:tc>
          <w:tcPr>
            <w:tcW w:w="6804" w:type="dxa"/>
            <w:vAlign w:val="center"/>
          </w:tcPr>
          <w:p w:rsidR="00871692" w:rsidRPr="00D4061C" w:rsidRDefault="00871692" w:rsidP="00700B58">
            <w:pPr>
              <w:jc w:val="left"/>
              <w:rPr>
                <w:rFonts w:ascii="Calibri" w:hAnsi="Calibri" w:cs="Calibri"/>
                <w:color w:val="002B45"/>
                <w:lang w:val="en-US"/>
              </w:rPr>
            </w:pPr>
            <w:r w:rsidRPr="00D4061C">
              <w:rPr>
                <w:rFonts w:ascii="Calibri" w:hAnsi="Calibri" w:cs="Calibri"/>
                <w:color w:val="002B45"/>
                <w:lang w:val="en-US"/>
              </w:rPr>
              <w:t xml:space="preserve">VAT </w:t>
            </w:r>
            <w:r w:rsidR="00700B58">
              <w:rPr>
                <w:rFonts w:ascii="Calibri" w:hAnsi="Calibri" w:cs="Calibri"/>
                <w:color w:val="002B45"/>
                <w:lang w:val="en-US"/>
              </w:rPr>
              <w:t>r</w:t>
            </w:r>
            <w:r w:rsidRPr="00D4061C">
              <w:rPr>
                <w:rFonts w:ascii="Calibri" w:hAnsi="Calibri" w:cs="Calibri"/>
                <w:color w:val="002B45"/>
                <w:lang w:val="en-US"/>
              </w:rPr>
              <w:t>ecoverable</w:t>
            </w:r>
          </w:p>
        </w:tc>
        <w:tc>
          <w:tcPr>
            <w:tcW w:w="1418" w:type="dxa"/>
            <w:shd w:val="clear" w:color="auto" w:fill="E6E6E6"/>
            <w:vAlign w:val="center"/>
          </w:tcPr>
          <w:p w:rsidR="00871692" w:rsidRPr="002C61E7" w:rsidRDefault="00871692" w:rsidP="00970806">
            <w:pPr>
              <w:ind w:right="57"/>
              <w:jc w:val="right"/>
              <w:rPr>
                <w:rFonts w:ascii="Calibri" w:hAnsi="Calibri" w:cs="Calibri"/>
                <w:color w:val="002B45"/>
                <w:lang w:val="en-US"/>
              </w:rPr>
            </w:pPr>
            <w:r w:rsidRPr="002C61E7">
              <w:rPr>
                <w:rFonts w:ascii="Calibri" w:hAnsi="Calibri" w:cs="Calibri"/>
                <w:color w:val="002B45"/>
                <w:lang w:val="en-US"/>
              </w:rPr>
              <w:t xml:space="preserve"> 7.9 </w:t>
            </w:r>
          </w:p>
        </w:tc>
        <w:tc>
          <w:tcPr>
            <w:tcW w:w="1276" w:type="dxa"/>
            <w:vAlign w:val="center"/>
          </w:tcPr>
          <w:p w:rsidR="00871692" w:rsidRPr="002C61E7" w:rsidRDefault="00871692" w:rsidP="00970806">
            <w:pPr>
              <w:ind w:right="57"/>
              <w:jc w:val="right"/>
              <w:rPr>
                <w:rFonts w:ascii="Calibri" w:hAnsi="Calibri" w:cs="Calibri"/>
                <w:color w:val="002B45"/>
                <w:lang w:val="en-US"/>
              </w:rPr>
            </w:pPr>
            <w:r w:rsidRPr="002C61E7">
              <w:rPr>
                <w:rFonts w:ascii="Calibri" w:hAnsi="Calibri" w:cs="Calibri"/>
                <w:color w:val="002B45"/>
                <w:lang w:val="en-US"/>
              </w:rPr>
              <w:t>12.3</w:t>
            </w:r>
          </w:p>
        </w:tc>
      </w:tr>
      <w:tr w:rsidR="00871692" w:rsidRPr="00D4061C" w:rsidTr="00A36FAF">
        <w:trPr>
          <w:trHeight w:val="255"/>
        </w:trPr>
        <w:tc>
          <w:tcPr>
            <w:tcW w:w="6804" w:type="dxa"/>
            <w:tcBorders>
              <w:bottom w:val="single" w:sz="4" w:space="0" w:color="999999"/>
            </w:tcBorders>
            <w:vAlign w:val="center"/>
          </w:tcPr>
          <w:p w:rsidR="00871692" w:rsidRPr="00D4061C" w:rsidRDefault="00871692" w:rsidP="00970806">
            <w:pPr>
              <w:jc w:val="left"/>
              <w:rPr>
                <w:rFonts w:ascii="Calibri" w:hAnsi="Calibri" w:cs="Calibri"/>
                <w:color w:val="002B45"/>
                <w:lang w:val="en-US"/>
              </w:rPr>
            </w:pPr>
            <w:r w:rsidRPr="00D4061C">
              <w:rPr>
                <w:rFonts w:ascii="Calibri" w:hAnsi="Calibri" w:cs="Calibri"/>
                <w:color w:val="002B45"/>
                <w:lang w:val="en-US"/>
              </w:rPr>
              <w:t>Other current assets</w:t>
            </w:r>
          </w:p>
        </w:tc>
        <w:tc>
          <w:tcPr>
            <w:tcW w:w="1418" w:type="dxa"/>
            <w:tcBorders>
              <w:bottom w:val="single" w:sz="4" w:space="0" w:color="999999"/>
            </w:tcBorders>
            <w:shd w:val="clear" w:color="auto" w:fill="E6E6E6"/>
            <w:vAlign w:val="center"/>
          </w:tcPr>
          <w:p w:rsidR="00871692" w:rsidRPr="002C61E7" w:rsidRDefault="00871692" w:rsidP="00970806">
            <w:pPr>
              <w:ind w:right="57"/>
              <w:jc w:val="right"/>
              <w:rPr>
                <w:rFonts w:ascii="Calibri" w:hAnsi="Calibri" w:cs="Calibri"/>
                <w:color w:val="002B45"/>
                <w:lang w:val="en-US"/>
              </w:rPr>
            </w:pPr>
            <w:r w:rsidRPr="002C61E7">
              <w:rPr>
                <w:rFonts w:ascii="Calibri" w:hAnsi="Calibri" w:cs="Calibri"/>
                <w:color w:val="002B45"/>
                <w:lang w:val="en-US"/>
              </w:rPr>
              <w:t xml:space="preserve">81.1 </w:t>
            </w:r>
          </w:p>
        </w:tc>
        <w:tc>
          <w:tcPr>
            <w:tcW w:w="1276" w:type="dxa"/>
            <w:tcBorders>
              <w:bottom w:val="single" w:sz="4" w:space="0" w:color="999999"/>
            </w:tcBorders>
            <w:vAlign w:val="center"/>
          </w:tcPr>
          <w:p w:rsidR="00871692" w:rsidRPr="002C61E7" w:rsidRDefault="00871692" w:rsidP="00970806">
            <w:pPr>
              <w:ind w:right="57"/>
              <w:jc w:val="right"/>
              <w:rPr>
                <w:rFonts w:ascii="Calibri" w:hAnsi="Calibri" w:cs="Calibri"/>
                <w:color w:val="002B45"/>
                <w:lang w:val="en-US"/>
              </w:rPr>
            </w:pPr>
            <w:r w:rsidRPr="002C61E7">
              <w:rPr>
                <w:rFonts w:ascii="Calibri" w:hAnsi="Calibri" w:cs="Calibri"/>
                <w:color w:val="002B45"/>
                <w:lang w:val="en-US"/>
              </w:rPr>
              <w:t>119.8</w:t>
            </w:r>
          </w:p>
        </w:tc>
      </w:tr>
      <w:tr w:rsidR="00871692" w:rsidRPr="00D4061C" w:rsidTr="00A36FAF">
        <w:trPr>
          <w:trHeight w:val="255"/>
        </w:trPr>
        <w:tc>
          <w:tcPr>
            <w:tcW w:w="6804" w:type="dxa"/>
            <w:tcBorders>
              <w:top w:val="single" w:sz="4" w:space="0" w:color="999999"/>
              <w:bottom w:val="single" w:sz="12" w:space="0" w:color="999999"/>
            </w:tcBorders>
            <w:vAlign w:val="center"/>
          </w:tcPr>
          <w:p w:rsidR="00871692" w:rsidRPr="00D4061C" w:rsidRDefault="00871692" w:rsidP="00970806">
            <w:pPr>
              <w:jc w:val="left"/>
              <w:rPr>
                <w:rFonts w:ascii="Calibri" w:hAnsi="Calibri" w:cs="Calibri"/>
                <w:color w:val="002B45"/>
                <w:lang w:val="en-US"/>
              </w:rPr>
            </w:pPr>
          </w:p>
        </w:tc>
        <w:tc>
          <w:tcPr>
            <w:tcW w:w="1418" w:type="dxa"/>
            <w:tcBorders>
              <w:top w:val="single" w:sz="4" w:space="0" w:color="999999"/>
              <w:bottom w:val="single" w:sz="12" w:space="0" w:color="999999"/>
            </w:tcBorders>
            <w:shd w:val="clear" w:color="auto" w:fill="E6E6E6"/>
            <w:vAlign w:val="center"/>
          </w:tcPr>
          <w:p w:rsidR="00871692" w:rsidRPr="002C61E7" w:rsidRDefault="00871692" w:rsidP="00970806">
            <w:pPr>
              <w:ind w:right="57"/>
              <w:jc w:val="right"/>
              <w:rPr>
                <w:rFonts w:ascii="Calibri" w:hAnsi="Calibri" w:cs="Calibri"/>
                <w:color w:val="002B45"/>
                <w:lang w:val="en-US"/>
              </w:rPr>
            </w:pPr>
            <w:r w:rsidRPr="002C61E7">
              <w:rPr>
                <w:rFonts w:ascii="Calibri" w:hAnsi="Calibri" w:cs="Calibri"/>
                <w:color w:val="002B45"/>
                <w:lang w:val="en-US"/>
              </w:rPr>
              <w:t xml:space="preserve"> 944.4 </w:t>
            </w:r>
          </w:p>
        </w:tc>
        <w:tc>
          <w:tcPr>
            <w:tcW w:w="1276" w:type="dxa"/>
            <w:tcBorders>
              <w:top w:val="single" w:sz="4" w:space="0" w:color="999999"/>
              <w:bottom w:val="single" w:sz="12" w:space="0" w:color="999999"/>
            </w:tcBorders>
            <w:vAlign w:val="center"/>
          </w:tcPr>
          <w:p w:rsidR="00871692" w:rsidRPr="002C61E7" w:rsidRDefault="00871692" w:rsidP="00970806">
            <w:pPr>
              <w:ind w:right="57"/>
              <w:jc w:val="right"/>
              <w:rPr>
                <w:rFonts w:ascii="Calibri" w:hAnsi="Calibri" w:cs="Calibri"/>
                <w:color w:val="002B45"/>
                <w:lang w:val="en-US"/>
              </w:rPr>
            </w:pPr>
            <w:r w:rsidRPr="002C61E7">
              <w:rPr>
                <w:rFonts w:ascii="Calibri" w:hAnsi="Calibri" w:cs="Calibri"/>
                <w:color w:val="002B45"/>
                <w:lang w:val="en-US"/>
              </w:rPr>
              <w:t xml:space="preserve"> 416.6 </w:t>
            </w:r>
          </w:p>
        </w:tc>
      </w:tr>
    </w:tbl>
    <w:p w:rsidR="00871692" w:rsidRPr="002C61E7" w:rsidRDefault="00AE3D58" w:rsidP="00970806">
      <w:pPr>
        <w:spacing w:before="120" w:after="120"/>
        <w:rPr>
          <w:rFonts w:ascii="Calibri" w:hAnsi="Calibri" w:cs="Calibri"/>
          <w:color w:val="5F5F5F"/>
          <w:lang w:val="en-IE"/>
        </w:rPr>
      </w:pPr>
      <w:r w:rsidRPr="005214ED">
        <w:rPr>
          <w:rFonts w:ascii="Calibri" w:hAnsi="Calibri" w:cs="Calibri"/>
          <w:color w:val="5F5F5F"/>
          <w:lang w:val="en-IE"/>
        </w:rPr>
        <w:t>As at 31 December 2013, $358.1 million has been recorded as a current receivable (2012: $348.3 million, non-current) in respect of contingent consideration due on the 2012 Ugandan farm down.  The carrying value represents a receivable due of $370.2 million discounted to the estimated due date to reflect the credit risk of the counterparti</w:t>
      </w:r>
      <w:r>
        <w:rPr>
          <w:rFonts w:ascii="Calibri" w:hAnsi="Calibri" w:cs="Calibri"/>
          <w:color w:val="5F5F5F"/>
          <w:lang w:val="en-IE"/>
        </w:rPr>
        <w:t>es and the time value of money.</w:t>
      </w:r>
      <w:r w:rsidRPr="005214ED">
        <w:rPr>
          <w:rFonts w:ascii="Calibri" w:hAnsi="Calibri" w:cs="Calibri"/>
          <w:color w:val="5F5F5F"/>
          <w:lang w:val="en-IE"/>
        </w:rPr>
        <w:t xml:space="preserve"> The unwind of the discount has been acc</w:t>
      </w:r>
      <w:r>
        <w:rPr>
          <w:rFonts w:ascii="Calibri" w:hAnsi="Calibri" w:cs="Calibri"/>
          <w:color w:val="5F5F5F"/>
          <w:lang w:val="en-IE"/>
        </w:rPr>
        <w:t>ounted for as finance revenue.</w:t>
      </w:r>
    </w:p>
    <w:p w:rsidR="00871692" w:rsidRDefault="00871692" w:rsidP="00871692">
      <w:pPr>
        <w:spacing w:after="240"/>
        <w:rPr>
          <w:rFonts w:ascii="Calibri" w:hAnsi="Calibri" w:cs="Calibri"/>
          <w:color w:val="5F5F5F"/>
          <w:lang w:val="en-IE"/>
        </w:rPr>
      </w:pPr>
      <w:r w:rsidRPr="002C61E7">
        <w:rPr>
          <w:rFonts w:ascii="Calibri" w:hAnsi="Calibri" w:cs="Calibri"/>
          <w:color w:val="5F5F5F"/>
          <w:lang w:val="en-IE"/>
        </w:rPr>
        <w:t>In 2013 Tullow was successful in an action against Heritage Oil and Gas Ltd and received payment for $345.8 million in August 2013, which included receipt of the $313.0 million due and $32.8 million of interest, which has been recorded as finance revenue. The Group had previously provided for $30.0 million in respect to</w:t>
      </w:r>
      <w:r w:rsidR="00AE3D58">
        <w:rPr>
          <w:rFonts w:ascii="Calibri" w:hAnsi="Calibri" w:cs="Calibri"/>
          <w:color w:val="5F5F5F"/>
          <w:lang w:val="en-IE"/>
        </w:rPr>
        <w:t xml:space="preserve"> the</w:t>
      </w:r>
      <w:r w:rsidRPr="002C61E7">
        <w:rPr>
          <w:rFonts w:ascii="Calibri" w:hAnsi="Calibri" w:cs="Calibri"/>
          <w:color w:val="5F5F5F"/>
          <w:lang w:val="en-IE"/>
        </w:rPr>
        <w:t xml:space="preserve"> $313.0 million</w:t>
      </w:r>
      <w:r w:rsidR="002B00BD">
        <w:rPr>
          <w:rFonts w:ascii="Calibri" w:hAnsi="Calibri" w:cs="Calibri"/>
          <w:color w:val="5F5F5F"/>
          <w:lang w:val="en-IE"/>
        </w:rPr>
        <w:t>.</w:t>
      </w:r>
      <w:r w:rsidRPr="002C61E7">
        <w:rPr>
          <w:rFonts w:ascii="Calibri" w:hAnsi="Calibri" w:cs="Calibri"/>
          <w:color w:val="5F5F5F"/>
          <w:lang w:val="en-IE"/>
        </w:rPr>
        <w:t xml:space="preserve"> On 20 September 2013, the Court of Appeal granted Heritage permission to appeal the judgment with the appeal hearing expected to take place in May 2014.</w:t>
      </w:r>
    </w:p>
    <w:p w:rsidR="00871692" w:rsidRDefault="007E10D2" w:rsidP="00970806">
      <w:pPr>
        <w:numPr>
          <w:ilvl w:val="0"/>
          <w:numId w:val="6"/>
        </w:numPr>
        <w:spacing w:before="240" w:after="40"/>
        <w:ind w:left="0" w:firstLine="0"/>
        <w:rPr>
          <w:rFonts w:ascii="Calibri" w:hAnsi="Calibri" w:cs="Calibri"/>
          <w:b/>
          <w:color w:val="00305C"/>
          <w:sz w:val="22"/>
          <w:szCs w:val="22"/>
          <w:lang w:val="en-US"/>
        </w:rPr>
      </w:pPr>
      <w:r>
        <w:rPr>
          <w:rFonts w:ascii="Calibri" w:hAnsi="Calibri" w:cs="Calibri"/>
          <w:b/>
          <w:color w:val="00305C"/>
          <w:sz w:val="22"/>
          <w:szCs w:val="22"/>
          <w:lang w:val="en-US"/>
        </w:rPr>
        <w:t>Provisions</w:t>
      </w:r>
    </w:p>
    <w:tbl>
      <w:tblPr>
        <w:tblW w:w="0" w:type="auto"/>
        <w:tblCellMar>
          <w:left w:w="0" w:type="dxa"/>
          <w:right w:w="57" w:type="dxa"/>
        </w:tblCellMar>
        <w:tblLook w:val="00A0" w:firstRow="1" w:lastRow="0" w:firstColumn="1" w:lastColumn="0" w:noHBand="0" w:noVBand="0"/>
      </w:tblPr>
      <w:tblGrid>
        <w:gridCol w:w="3402"/>
        <w:gridCol w:w="1418"/>
        <w:gridCol w:w="850"/>
        <w:gridCol w:w="851"/>
        <w:gridCol w:w="1339"/>
        <w:gridCol w:w="968"/>
        <w:gridCol w:w="727"/>
      </w:tblGrid>
      <w:tr w:rsidR="0031323C" w:rsidRPr="00235E84" w:rsidTr="00772C45">
        <w:tc>
          <w:tcPr>
            <w:tcW w:w="3402" w:type="dxa"/>
            <w:tcBorders>
              <w:bottom w:val="single" w:sz="12" w:space="0" w:color="999999"/>
            </w:tcBorders>
            <w:vAlign w:val="bottom"/>
          </w:tcPr>
          <w:p w:rsidR="0031323C" w:rsidRPr="00970806" w:rsidRDefault="0031323C" w:rsidP="006A1274">
            <w:pPr>
              <w:pStyle w:val="Tabletext0"/>
              <w:jc w:val="right"/>
              <w:rPr>
                <w:sz w:val="20"/>
                <w:szCs w:val="20"/>
              </w:rPr>
            </w:pPr>
          </w:p>
        </w:tc>
        <w:tc>
          <w:tcPr>
            <w:tcW w:w="1418" w:type="dxa"/>
            <w:tcBorders>
              <w:bottom w:val="single" w:sz="12" w:space="0" w:color="999999"/>
            </w:tcBorders>
            <w:vAlign w:val="bottom"/>
          </w:tcPr>
          <w:p w:rsidR="0031323C" w:rsidRPr="00772C45" w:rsidRDefault="00772C45" w:rsidP="00772C45">
            <w:pPr>
              <w:spacing w:line="180" w:lineRule="exact"/>
              <w:ind w:right="57"/>
              <w:jc w:val="right"/>
              <w:rPr>
                <w:rStyle w:val="Bold"/>
                <w:rFonts w:ascii="Calibri" w:hAnsi="Calibri" w:cs="Calibri"/>
                <w:b/>
                <w:color w:val="002B45"/>
                <w:sz w:val="16"/>
                <w:szCs w:val="16"/>
              </w:rPr>
            </w:pPr>
            <w:r>
              <w:rPr>
                <w:rStyle w:val="Bold"/>
                <w:rFonts w:ascii="Calibri" w:hAnsi="Calibri" w:cs="Calibri"/>
                <w:b/>
                <w:color w:val="002B45"/>
                <w:sz w:val="16"/>
                <w:szCs w:val="16"/>
              </w:rPr>
              <w:t>Decommiss</w:t>
            </w:r>
            <w:r w:rsidR="0031323C" w:rsidRPr="00772C45">
              <w:rPr>
                <w:rStyle w:val="Bold"/>
                <w:rFonts w:ascii="Calibri" w:hAnsi="Calibri" w:cs="Calibri"/>
                <w:b/>
                <w:color w:val="002B45"/>
                <w:sz w:val="16"/>
                <w:szCs w:val="16"/>
              </w:rPr>
              <w:t>Ioning</w:t>
            </w:r>
          </w:p>
          <w:p w:rsidR="0031323C" w:rsidRPr="00772C45" w:rsidRDefault="0031323C" w:rsidP="00772C45">
            <w:pPr>
              <w:spacing w:line="180" w:lineRule="exact"/>
              <w:ind w:right="57"/>
              <w:jc w:val="right"/>
              <w:rPr>
                <w:rStyle w:val="Bold"/>
                <w:rFonts w:ascii="Calibri" w:hAnsi="Calibri" w:cs="Calibri"/>
                <w:b/>
                <w:color w:val="002B45"/>
                <w:sz w:val="16"/>
                <w:szCs w:val="16"/>
              </w:rPr>
            </w:pPr>
            <w:r w:rsidRPr="00772C45">
              <w:rPr>
                <w:rStyle w:val="Bold"/>
                <w:rFonts w:ascii="Calibri" w:hAnsi="Calibri" w:cs="Calibri"/>
                <w:b/>
                <w:color w:val="002B45"/>
                <w:sz w:val="16"/>
                <w:szCs w:val="16"/>
              </w:rPr>
              <w:t>2013</w:t>
            </w:r>
          </w:p>
          <w:p w:rsidR="0031323C" w:rsidRPr="00772C45" w:rsidRDefault="0031323C" w:rsidP="00772C45">
            <w:pPr>
              <w:spacing w:line="180" w:lineRule="exact"/>
              <w:ind w:right="57"/>
              <w:jc w:val="right"/>
              <w:rPr>
                <w:rStyle w:val="Bold"/>
                <w:rFonts w:ascii="Calibri" w:hAnsi="Calibri" w:cs="Calibri"/>
                <w:b/>
                <w:color w:val="002B45"/>
                <w:sz w:val="16"/>
                <w:szCs w:val="16"/>
              </w:rPr>
            </w:pPr>
            <w:r w:rsidRPr="00772C45">
              <w:rPr>
                <w:rStyle w:val="Bold"/>
                <w:rFonts w:ascii="Calibri" w:hAnsi="Calibri" w:cs="Calibri"/>
                <w:b/>
                <w:color w:val="002B45"/>
                <w:sz w:val="16"/>
                <w:szCs w:val="16"/>
              </w:rPr>
              <w:t>$m</w:t>
            </w:r>
          </w:p>
        </w:tc>
        <w:tc>
          <w:tcPr>
            <w:tcW w:w="850" w:type="dxa"/>
            <w:tcBorders>
              <w:bottom w:val="single" w:sz="12" w:space="0" w:color="999999"/>
            </w:tcBorders>
            <w:vAlign w:val="bottom"/>
          </w:tcPr>
          <w:p w:rsidR="0031323C" w:rsidRPr="00772C45" w:rsidRDefault="0031323C" w:rsidP="00772C45">
            <w:pPr>
              <w:spacing w:line="180" w:lineRule="exact"/>
              <w:ind w:right="57"/>
              <w:jc w:val="right"/>
              <w:rPr>
                <w:rStyle w:val="Bold"/>
                <w:rFonts w:ascii="Calibri" w:hAnsi="Calibri" w:cs="Calibri"/>
                <w:b/>
                <w:color w:val="002B45"/>
                <w:sz w:val="16"/>
                <w:szCs w:val="16"/>
              </w:rPr>
            </w:pPr>
            <w:r w:rsidRPr="00772C45">
              <w:rPr>
                <w:rStyle w:val="Bold"/>
                <w:rFonts w:ascii="Calibri" w:hAnsi="Calibri" w:cs="Calibri"/>
                <w:b/>
                <w:color w:val="002B45"/>
                <w:sz w:val="16"/>
                <w:szCs w:val="16"/>
              </w:rPr>
              <w:t>Other provisions</w:t>
            </w:r>
          </w:p>
          <w:p w:rsidR="0031323C" w:rsidRPr="00772C45" w:rsidRDefault="0031323C" w:rsidP="00772C45">
            <w:pPr>
              <w:spacing w:line="180" w:lineRule="exact"/>
              <w:ind w:right="57"/>
              <w:jc w:val="right"/>
              <w:rPr>
                <w:rStyle w:val="Bold"/>
                <w:rFonts w:ascii="Calibri" w:hAnsi="Calibri" w:cs="Calibri"/>
                <w:b/>
                <w:color w:val="002B45"/>
                <w:sz w:val="16"/>
                <w:szCs w:val="16"/>
              </w:rPr>
            </w:pPr>
            <w:r w:rsidRPr="00772C45">
              <w:rPr>
                <w:rStyle w:val="Bold"/>
                <w:rFonts w:ascii="Calibri" w:hAnsi="Calibri" w:cs="Calibri"/>
                <w:b/>
                <w:color w:val="002B45"/>
                <w:sz w:val="16"/>
                <w:szCs w:val="16"/>
              </w:rPr>
              <w:t>2013</w:t>
            </w:r>
          </w:p>
          <w:p w:rsidR="0031323C" w:rsidRPr="00772C45" w:rsidRDefault="0031323C" w:rsidP="00772C45">
            <w:pPr>
              <w:spacing w:line="180" w:lineRule="exact"/>
              <w:ind w:right="57"/>
              <w:jc w:val="right"/>
              <w:rPr>
                <w:rStyle w:val="Bold"/>
                <w:rFonts w:ascii="Calibri" w:hAnsi="Calibri" w:cs="Calibri"/>
                <w:b/>
                <w:color w:val="002B45"/>
                <w:sz w:val="16"/>
                <w:szCs w:val="16"/>
              </w:rPr>
            </w:pPr>
            <w:r w:rsidRPr="00772C45">
              <w:rPr>
                <w:rStyle w:val="Bold"/>
                <w:rFonts w:ascii="Calibri" w:hAnsi="Calibri" w:cs="Calibri"/>
                <w:b/>
                <w:color w:val="002B45"/>
                <w:sz w:val="16"/>
                <w:szCs w:val="16"/>
              </w:rPr>
              <w:t>$m</w:t>
            </w:r>
          </w:p>
        </w:tc>
        <w:tc>
          <w:tcPr>
            <w:tcW w:w="851" w:type="dxa"/>
            <w:tcBorders>
              <w:bottom w:val="single" w:sz="12" w:space="0" w:color="999999"/>
            </w:tcBorders>
            <w:vAlign w:val="bottom"/>
          </w:tcPr>
          <w:p w:rsidR="0031323C" w:rsidRPr="00772C45" w:rsidRDefault="0031323C" w:rsidP="00772C45">
            <w:pPr>
              <w:spacing w:line="180" w:lineRule="exact"/>
              <w:ind w:right="57"/>
              <w:jc w:val="right"/>
              <w:rPr>
                <w:rStyle w:val="Bold"/>
                <w:rFonts w:ascii="Calibri" w:hAnsi="Calibri" w:cs="Calibri"/>
                <w:b/>
                <w:color w:val="002B45"/>
                <w:sz w:val="16"/>
                <w:szCs w:val="16"/>
              </w:rPr>
            </w:pPr>
            <w:r w:rsidRPr="00772C45">
              <w:rPr>
                <w:rStyle w:val="Bold"/>
                <w:rFonts w:ascii="Calibri" w:hAnsi="Calibri" w:cs="Calibri"/>
                <w:b/>
                <w:color w:val="002B45"/>
                <w:sz w:val="16"/>
                <w:szCs w:val="16"/>
              </w:rPr>
              <w:t>Total</w:t>
            </w:r>
          </w:p>
          <w:p w:rsidR="0031323C" w:rsidRPr="00772C45" w:rsidRDefault="0031323C" w:rsidP="00772C45">
            <w:pPr>
              <w:spacing w:line="180" w:lineRule="exact"/>
              <w:ind w:right="57"/>
              <w:jc w:val="right"/>
              <w:rPr>
                <w:rStyle w:val="Bold"/>
                <w:rFonts w:ascii="Calibri" w:hAnsi="Calibri" w:cs="Calibri"/>
                <w:b/>
                <w:color w:val="002B45"/>
                <w:sz w:val="16"/>
                <w:szCs w:val="16"/>
              </w:rPr>
            </w:pPr>
            <w:r w:rsidRPr="00772C45">
              <w:rPr>
                <w:rStyle w:val="Bold"/>
                <w:rFonts w:ascii="Calibri" w:hAnsi="Calibri" w:cs="Calibri"/>
                <w:b/>
                <w:color w:val="002B45"/>
                <w:sz w:val="16"/>
                <w:szCs w:val="16"/>
              </w:rPr>
              <w:t>2013</w:t>
            </w:r>
            <w:r w:rsidRPr="00772C45">
              <w:rPr>
                <w:rStyle w:val="Bold"/>
                <w:rFonts w:ascii="Calibri" w:hAnsi="Calibri" w:cs="Calibri"/>
                <w:b/>
                <w:color w:val="002B45"/>
                <w:sz w:val="16"/>
                <w:szCs w:val="16"/>
              </w:rPr>
              <w:br/>
              <w:t>$m</w:t>
            </w:r>
          </w:p>
        </w:tc>
        <w:tc>
          <w:tcPr>
            <w:tcW w:w="1339" w:type="dxa"/>
            <w:tcBorders>
              <w:bottom w:val="single" w:sz="12" w:space="0" w:color="999999"/>
            </w:tcBorders>
            <w:vAlign w:val="bottom"/>
          </w:tcPr>
          <w:p w:rsidR="0031323C" w:rsidRPr="00772C45" w:rsidRDefault="00772C45" w:rsidP="00772C45">
            <w:pPr>
              <w:spacing w:line="180" w:lineRule="exact"/>
              <w:ind w:right="57"/>
              <w:jc w:val="right"/>
              <w:rPr>
                <w:rStyle w:val="Bold"/>
                <w:rFonts w:ascii="Calibri" w:hAnsi="Calibri" w:cs="Calibri"/>
                <w:b/>
                <w:color w:val="002B45"/>
                <w:sz w:val="16"/>
                <w:szCs w:val="16"/>
              </w:rPr>
            </w:pPr>
            <w:r>
              <w:rPr>
                <w:rStyle w:val="Bold"/>
                <w:rFonts w:ascii="Calibri" w:hAnsi="Calibri" w:cs="Calibri"/>
                <w:b/>
                <w:color w:val="002B45"/>
                <w:sz w:val="16"/>
                <w:szCs w:val="16"/>
              </w:rPr>
              <w:t>Decommiss</w:t>
            </w:r>
            <w:r w:rsidR="0031323C" w:rsidRPr="00772C45">
              <w:rPr>
                <w:rStyle w:val="Bold"/>
                <w:rFonts w:ascii="Calibri" w:hAnsi="Calibri" w:cs="Calibri"/>
                <w:b/>
                <w:color w:val="002B45"/>
                <w:sz w:val="16"/>
                <w:szCs w:val="16"/>
              </w:rPr>
              <w:t>Ioning</w:t>
            </w:r>
          </w:p>
          <w:p w:rsidR="0031323C" w:rsidRPr="00772C45" w:rsidRDefault="0031323C" w:rsidP="00772C45">
            <w:pPr>
              <w:spacing w:line="180" w:lineRule="exact"/>
              <w:ind w:right="57"/>
              <w:jc w:val="right"/>
              <w:rPr>
                <w:rStyle w:val="Bold"/>
                <w:rFonts w:ascii="Calibri" w:hAnsi="Calibri" w:cs="Calibri"/>
                <w:b/>
                <w:color w:val="002B45"/>
                <w:sz w:val="16"/>
                <w:szCs w:val="16"/>
              </w:rPr>
            </w:pPr>
            <w:r w:rsidRPr="00772C45">
              <w:rPr>
                <w:rStyle w:val="Bold"/>
                <w:rFonts w:ascii="Calibri" w:hAnsi="Calibri" w:cs="Calibri"/>
                <w:b/>
                <w:color w:val="002B45"/>
                <w:sz w:val="16"/>
                <w:szCs w:val="16"/>
              </w:rPr>
              <w:t>2012</w:t>
            </w:r>
          </w:p>
          <w:p w:rsidR="0031323C" w:rsidRPr="00772C45" w:rsidRDefault="0031323C" w:rsidP="00772C45">
            <w:pPr>
              <w:spacing w:line="180" w:lineRule="exact"/>
              <w:ind w:right="57"/>
              <w:jc w:val="right"/>
              <w:rPr>
                <w:rStyle w:val="Bold"/>
                <w:rFonts w:ascii="Calibri" w:hAnsi="Calibri" w:cs="Calibri"/>
                <w:b/>
                <w:color w:val="002B45"/>
                <w:sz w:val="16"/>
                <w:szCs w:val="16"/>
              </w:rPr>
            </w:pPr>
            <w:r w:rsidRPr="00772C45">
              <w:rPr>
                <w:rStyle w:val="Bold"/>
                <w:rFonts w:ascii="Calibri" w:hAnsi="Calibri" w:cs="Calibri"/>
                <w:b/>
                <w:color w:val="002B45"/>
                <w:sz w:val="16"/>
                <w:szCs w:val="16"/>
              </w:rPr>
              <w:t>$m</w:t>
            </w:r>
          </w:p>
        </w:tc>
        <w:tc>
          <w:tcPr>
            <w:tcW w:w="968" w:type="dxa"/>
            <w:tcBorders>
              <w:bottom w:val="single" w:sz="12" w:space="0" w:color="999999"/>
            </w:tcBorders>
            <w:vAlign w:val="bottom"/>
          </w:tcPr>
          <w:p w:rsidR="0031323C" w:rsidRPr="00772C45" w:rsidRDefault="0031323C" w:rsidP="00772C45">
            <w:pPr>
              <w:spacing w:line="180" w:lineRule="exact"/>
              <w:ind w:right="57"/>
              <w:jc w:val="right"/>
              <w:rPr>
                <w:rStyle w:val="Bold"/>
                <w:rFonts w:ascii="Calibri" w:hAnsi="Calibri" w:cs="Calibri"/>
                <w:b/>
                <w:color w:val="002B45"/>
                <w:sz w:val="16"/>
                <w:szCs w:val="16"/>
              </w:rPr>
            </w:pPr>
            <w:r w:rsidRPr="00772C45">
              <w:rPr>
                <w:rStyle w:val="Bold"/>
                <w:rFonts w:ascii="Calibri" w:hAnsi="Calibri" w:cs="Calibri"/>
                <w:b/>
                <w:color w:val="002B45"/>
                <w:sz w:val="16"/>
                <w:szCs w:val="16"/>
              </w:rPr>
              <w:t>Other provisions</w:t>
            </w:r>
          </w:p>
          <w:p w:rsidR="0031323C" w:rsidRPr="00772C45" w:rsidRDefault="0031323C" w:rsidP="00772C45">
            <w:pPr>
              <w:spacing w:line="180" w:lineRule="exact"/>
              <w:ind w:right="57"/>
              <w:jc w:val="right"/>
              <w:rPr>
                <w:rStyle w:val="Bold"/>
                <w:rFonts w:ascii="Calibri" w:hAnsi="Calibri" w:cs="Calibri"/>
                <w:b/>
                <w:color w:val="002B45"/>
                <w:sz w:val="16"/>
                <w:szCs w:val="16"/>
              </w:rPr>
            </w:pPr>
            <w:r w:rsidRPr="00772C45">
              <w:rPr>
                <w:rStyle w:val="Bold"/>
                <w:rFonts w:ascii="Calibri" w:hAnsi="Calibri" w:cs="Calibri"/>
                <w:b/>
                <w:color w:val="002B45"/>
                <w:sz w:val="16"/>
                <w:szCs w:val="16"/>
              </w:rPr>
              <w:t>2012</w:t>
            </w:r>
          </w:p>
          <w:p w:rsidR="0031323C" w:rsidRPr="00772C45" w:rsidRDefault="0031323C" w:rsidP="00772C45">
            <w:pPr>
              <w:spacing w:line="180" w:lineRule="exact"/>
              <w:ind w:right="57"/>
              <w:jc w:val="right"/>
              <w:rPr>
                <w:rStyle w:val="Bold"/>
                <w:rFonts w:ascii="Calibri" w:hAnsi="Calibri" w:cs="Calibri"/>
                <w:b/>
                <w:color w:val="002B45"/>
                <w:sz w:val="16"/>
                <w:szCs w:val="16"/>
              </w:rPr>
            </w:pPr>
            <w:r w:rsidRPr="00772C45">
              <w:rPr>
                <w:rStyle w:val="Bold"/>
                <w:rFonts w:ascii="Calibri" w:hAnsi="Calibri" w:cs="Calibri"/>
                <w:b/>
                <w:color w:val="002B45"/>
                <w:sz w:val="16"/>
                <w:szCs w:val="16"/>
              </w:rPr>
              <w:t>$m</w:t>
            </w:r>
          </w:p>
        </w:tc>
        <w:tc>
          <w:tcPr>
            <w:tcW w:w="727" w:type="dxa"/>
            <w:tcBorders>
              <w:bottom w:val="single" w:sz="12" w:space="0" w:color="999999"/>
            </w:tcBorders>
            <w:vAlign w:val="bottom"/>
          </w:tcPr>
          <w:p w:rsidR="0031323C" w:rsidRPr="00772C45" w:rsidRDefault="0031323C" w:rsidP="00772C45">
            <w:pPr>
              <w:spacing w:line="180" w:lineRule="exact"/>
              <w:ind w:right="57"/>
              <w:jc w:val="right"/>
              <w:rPr>
                <w:rStyle w:val="Bold"/>
                <w:rFonts w:ascii="Calibri" w:hAnsi="Calibri" w:cs="Calibri"/>
                <w:b/>
                <w:color w:val="002B45"/>
                <w:sz w:val="16"/>
                <w:szCs w:val="16"/>
              </w:rPr>
            </w:pPr>
            <w:r w:rsidRPr="00772C45">
              <w:rPr>
                <w:rStyle w:val="Bold"/>
                <w:rFonts w:ascii="Calibri" w:hAnsi="Calibri" w:cs="Calibri"/>
                <w:b/>
                <w:color w:val="002B45"/>
                <w:sz w:val="16"/>
                <w:szCs w:val="16"/>
              </w:rPr>
              <w:t>Total</w:t>
            </w:r>
          </w:p>
          <w:p w:rsidR="0031323C" w:rsidRPr="00772C45" w:rsidRDefault="0031323C" w:rsidP="00772C45">
            <w:pPr>
              <w:spacing w:line="180" w:lineRule="exact"/>
              <w:ind w:right="57"/>
              <w:jc w:val="right"/>
              <w:rPr>
                <w:rStyle w:val="Bold"/>
                <w:rFonts w:ascii="Calibri" w:hAnsi="Calibri" w:cs="Calibri"/>
                <w:b/>
                <w:color w:val="002B45"/>
                <w:sz w:val="16"/>
                <w:szCs w:val="16"/>
              </w:rPr>
            </w:pPr>
            <w:r w:rsidRPr="00772C45">
              <w:rPr>
                <w:rStyle w:val="Bold"/>
                <w:rFonts w:ascii="Calibri" w:hAnsi="Calibri" w:cs="Calibri"/>
                <w:b/>
                <w:color w:val="002B45"/>
                <w:sz w:val="16"/>
                <w:szCs w:val="16"/>
              </w:rPr>
              <w:t>2012</w:t>
            </w:r>
            <w:r w:rsidRPr="00772C45">
              <w:rPr>
                <w:rStyle w:val="Bold"/>
                <w:rFonts w:ascii="Calibri" w:hAnsi="Calibri" w:cs="Calibri"/>
                <w:b/>
                <w:color w:val="002B45"/>
                <w:sz w:val="16"/>
                <w:szCs w:val="16"/>
              </w:rPr>
              <w:br/>
              <w:t>$m</w:t>
            </w:r>
          </w:p>
        </w:tc>
      </w:tr>
      <w:tr w:rsidR="0031323C" w:rsidRPr="00D4061C" w:rsidTr="00772C45">
        <w:trPr>
          <w:trHeight w:val="283"/>
        </w:trPr>
        <w:tc>
          <w:tcPr>
            <w:tcW w:w="3402" w:type="dxa"/>
            <w:tcBorders>
              <w:top w:val="single" w:sz="12" w:space="0" w:color="999999"/>
            </w:tcBorders>
            <w:vAlign w:val="center"/>
          </w:tcPr>
          <w:p w:rsidR="0031323C" w:rsidRPr="006A1274" w:rsidRDefault="0031323C" w:rsidP="006A1274">
            <w:pPr>
              <w:jc w:val="left"/>
              <w:rPr>
                <w:rFonts w:ascii="Calibri" w:hAnsi="Calibri" w:cs="Calibri"/>
                <w:color w:val="002B45"/>
                <w:lang w:val="en-US"/>
              </w:rPr>
            </w:pPr>
            <w:r w:rsidRPr="006A1274">
              <w:rPr>
                <w:rFonts w:ascii="Calibri" w:hAnsi="Calibri" w:cs="Calibri"/>
                <w:color w:val="002B45"/>
                <w:lang w:val="en-US"/>
              </w:rPr>
              <w:t>At 1 January</w:t>
            </w:r>
          </w:p>
        </w:tc>
        <w:tc>
          <w:tcPr>
            <w:tcW w:w="1418" w:type="dxa"/>
            <w:tcBorders>
              <w:top w:val="single" w:sz="12" w:space="0" w:color="999999"/>
            </w:tcBorders>
            <w:shd w:val="clear" w:color="auto" w:fill="E6E6E6"/>
          </w:tcPr>
          <w:p w:rsidR="0031323C" w:rsidRPr="00D4061C" w:rsidRDefault="0031323C" w:rsidP="006A1274">
            <w:pPr>
              <w:ind w:right="57"/>
              <w:jc w:val="right"/>
              <w:rPr>
                <w:rFonts w:ascii="Calibri" w:hAnsi="Calibri" w:cs="Calibri"/>
                <w:color w:val="002B45"/>
                <w:lang w:val="en-US"/>
              </w:rPr>
            </w:pPr>
            <w:r>
              <w:rPr>
                <w:rFonts w:ascii="Calibri" w:hAnsi="Calibri" w:cs="Calibri"/>
                <w:color w:val="002B45"/>
                <w:lang w:val="en-US"/>
              </w:rPr>
              <w:t>531.6</w:t>
            </w:r>
          </w:p>
        </w:tc>
        <w:tc>
          <w:tcPr>
            <w:tcW w:w="850" w:type="dxa"/>
            <w:tcBorders>
              <w:top w:val="single" w:sz="12" w:space="0" w:color="999999"/>
            </w:tcBorders>
            <w:shd w:val="clear" w:color="auto" w:fill="E6E6E6"/>
          </w:tcPr>
          <w:p w:rsidR="0031323C" w:rsidRPr="00D4061C" w:rsidRDefault="00332281" w:rsidP="006A1274">
            <w:pPr>
              <w:ind w:right="57"/>
              <w:jc w:val="right"/>
              <w:rPr>
                <w:rFonts w:ascii="Calibri" w:hAnsi="Calibri" w:cs="Calibri"/>
                <w:color w:val="002B45"/>
                <w:lang w:val="en-US"/>
              </w:rPr>
            </w:pPr>
            <w:r w:rsidRPr="002C61E7">
              <w:rPr>
                <w:rFonts w:ascii="Calibri" w:hAnsi="Calibri" w:cs="Calibri"/>
                <w:color w:val="002B45"/>
                <w:lang w:val="en-US"/>
              </w:rPr>
              <w:t>–</w:t>
            </w:r>
          </w:p>
        </w:tc>
        <w:tc>
          <w:tcPr>
            <w:tcW w:w="851" w:type="dxa"/>
            <w:tcBorders>
              <w:top w:val="single" w:sz="12" w:space="0" w:color="999999"/>
            </w:tcBorders>
            <w:shd w:val="clear" w:color="auto" w:fill="E6E6E6"/>
            <w:vAlign w:val="center"/>
          </w:tcPr>
          <w:p w:rsidR="0031323C" w:rsidRPr="00D4061C" w:rsidRDefault="0031323C" w:rsidP="006A1274">
            <w:pPr>
              <w:ind w:right="57"/>
              <w:jc w:val="right"/>
              <w:rPr>
                <w:rFonts w:ascii="Calibri" w:hAnsi="Calibri" w:cs="Calibri"/>
                <w:color w:val="002B45"/>
                <w:lang w:val="en-US"/>
              </w:rPr>
            </w:pPr>
            <w:r>
              <w:rPr>
                <w:rFonts w:ascii="Calibri" w:hAnsi="Calibri" w:cs="Calibri"/>
                <w:color w:val="002B45"/>
                <w:lang w:val="en-US"/>
              </w:rPr>
              <w:t>531.6</w:t>
            </w:r>
          </w:p>
        </w:tc>
        <w:tc>
          <w:tcPr>
            <w:tcW w:w="1339" w:type="dxa"/>
            <w:tcBorders>
              <w:top w:val="single" w:sz="12" w:space="0" w:color="999999"/>
            </w:tcBorders>
          </w:tcPr>
          <w:p w:rsidR="0031323C" w:rsidRPr="00D4061C" w:rsidRDefault="0031323C" w:rsidP="006A1274">
            <w:pPr>
              <w:ind w:right="57"/>
              <w:jc w:val="right"/>
              <w:rPr>
                <w:rFonts w:ascii="Calibri" w:hAnsi="Calibri" w:cs="Calibri"/>
                <w:color w:val="002B45"/>
                <w:lang w:val="en-US"/>
              </w:rPr>
            </w:pPr>
            <w:r>
              <w:rPr>
                <w:rFonts w:ascii="Calibri" w:hAnsi="Calibri" w:cs="Calibri"/>
                <w:color w:val="002B45"/>
                <w:lang w:val="en-US"/>
              </w:rPr>
              <w:t>440.8</w:t>
            </w:r>
          </w:p>
        </w:tc>
        <w:tc>
          <w:tcPr>
            <w:tcW w:w="968" w:type="dxa"/>
            <w:tcBorders>
              <w:top w:val="single" w:sz="12" w:space="0" w:color="999999"/>
            </w:tcBorders>
          </w:tcPr>
          <w:p w:rsidR="0031323C" w:rsidRPr="00D4061C" w:rsidRDefault="00332281" w:rsidP="006A1274">
            <w:pPr>
              <w:ind w:right="57"/>
              <w:jc w:val="right"/>
              <w:rPr>
                <w:rFonts w:ascii="Calibri" w:hAnsi="Calibri" w:cs="Calibri"/>
                <w:color w:val="002B45"/>
                <w:lang w:val="en-US"/>
              </w:rPr>
            </w:pPr>
            <w:r w:rsidRPr="002C61E7">
              <w:rPr>
                <w:rFonts w:ascii="Calibri" w:hAnsi="Calibri" w:cs="Calibri"/>
                <w:color w:val="002B45"/>
                <w:lang w:val="en-US"/>
              </w:rPr>
              <w:t>–</w:t>
            </w:r>
          </w:p>
        </w:tc>
        <w:tc>
          <w:tcPr>
            <w:tcW w:w="727" w:type="dxa"/>
            <w:tcBorders>
              <w:top w:val="single" w:sz="12" w:space="0" w:color="999999"/>
            </w:tcBorders>
            <w:vAlign w:val="center"/>
          </w:tcPr>
          <w:p w:rsidR="0031323C" w:rsidRPr="00D4061C" w:rsidRDefault="0031323C" w:rsidP="006A1274">
            <w:pPr>
              <w:ind w:right="57"/>
              <w:jc w:val="right"/>
              <w:rPr>
                <w:rFonts w:ascii="Calibri" w:hAnsi="Calibri" w:cs="Calibri"/>
                <w:color w:val="002B45"/>
                <w:lang w:val="en-US"/>
              </w:rPr>
            </w:pPr>
            <w:r>
              <w:rPr>
                <w:rFonts w:ascii="Calibri" w:hAnsi="Calibri" w:cs="Calibri"/>
                <w:color w:val="002B45"/>
                <w:lang w:val="en-US"/>
              </w:rPr>
              <w:t>440.8</w:t>
            </w:r>
          </w:p>
        </w:tc>
      </w:tr>
      <w:tr w:rsidR="0031323C" w:rsidRPr="00D4061C" w:rsidTr="00772C45">
        <w:trPr>
          <w:trHeight w:val="283"/>
        </w:trPr>
        <w:tc>
          <w:tcPr>
            <w:tcW w:w="3402" w:type="dxa"/>
            <w:vAlign w:val="center"/>
          </w:tcPr>
          <w:p w:rsidR="0031323C" w:rsidRPr="00D4061C" w:rsidRDefault="0031323C" w:rsidP="006A1274">
            <w:pPr>
              <w:jc w:val="left"/>
              <w:rPr>
                <w:rFonts w:ascii="Calibri" w:hAnsi="Calibri" w:cs="Calibri"/>
                <w:color w:val="002B45"/>
                <w:lang w:val="en-US"/>
              </w:rPr>
            </w:pPr>
            <w:r>
              <w:rPr>
                <w:rFonts w:ascii="Calibri" w:hAnsi="Calibri" w:cs="Calibri"/>
                <w:color w:val="002B45"/>
                <w:lang w:val="en-US"/>
              </w:rPr>
              <w:t>New provisions and changes in estimates</w:t>
            </w:r>
          </w:p>
        </w:tc>
        <w:tc>
          <w:tcPr>
            <w:tcW w:w="1418" w:type="dxa"/>
            <w:shd w:val="clear" w:color="auto" w:fill="E6E6E6"/>
          </w:tcPr>
          <w:p w:rsidR="0031323C" w:rsidRPr="002C61E7" w:rsidRDefault="0031323C" w:rsidP="006A1274">
            <w:pPr>
              <w:ind w:right="57"/>
              <w:jc w:val="right"/>
              <w:rPr>
                <w:rFonts w:ascii="Calibri" w:hAnsi="Calibri" w:cs="Calibri"/>
                <w:color w:val="002B45"/>
                <w:lang w:val="en-US"/>
              </w:rPr>
            </w:pPr>
            <w:r>
              <w:rPr>
                <w:rFonts w:ascii="Calibri" w:hAnsi="Calibri" w:cs="Calibri"/>
                <w:color w:val="002B45"/>
                <w:lang w:val="en-US"/>
              </w:rPr>
              <w:t>274.0</w:t>
            </w:r>
          </w:p>
        </w:tc>
        <w:tc>
          <w:tcPr>
            <w:tcW w:w="850" w:type="dxa"/>
            <w:shd w:val="clear" w:color="auto" w:fill="E6E6E6"/>
          </w:tcPr>
          <w:p w:rsidR="0031323C" w:rsidRPr="002C61E7" w:rsidRDefault="0031323C" w:rsidP="006A1274">
            <w:pPr>
              <w:ind w:right="57"/>
              <w:jc w:val="right"/>
              <w:rPr>
                <w:rFonts w:ascii="Calibri" w:hAnsi="Calibri" w:cs="Calibri"/>
                <w:color w:val="002B45"/>
                <w:lang w:val="en-US"/>
              </w:rPr>
            </w:pPr>
            <w:r>
              <w:rPr>
                <w:rFonts w:ascii="Calibri" w:hAnsi="Calibri" w:cs="Calibri"/>
                <w:color w:val="002B45"/>
                <w:lang w:val="en-US"/>
              </w:rPr>
              <w:t>136.3</w:t>
            </w:r>
          </w:p>
        </w:tc>
        <w:tc>
          <w:tcPr>
            <w:tcW w:w="851" w:type="dxa"/>
            <w:shd w:val="clear" w:color="auto" w:fill="E6E6E6"/>
            <w:vAlign w:val="center"/>
          </w:tcPr>
          <w:p w:rsidR="0031323C" w:rsidRPr="002C61E7" w:rsidRDefault="0031323C" w:rsidP="006A1274">
            <w:pPr>
              <w:ind w:right="57"/>
              <w:jc w:val="right"/>
              <w:rPr>
                <w:rFonts w:ascii="Calibri" w:hAnsi="Calibri" w:cs="Calibri"/>
                <w:color w:val="002B45"/>
                <w:lang w:val="en-US"/>
              </w:rPr>
            </w:pPr>
            <w:r>
              <w:rPr>
                <w:rFonts w:ascii="Calibri" w:hAnsi="Calibri" w:cs="Calibri"/>
                <w:color w:val="002B45"/>
                <w:lang w:val="en-US"/>
              </w:rPr>
              <w:t>410.3</w:t>
            </w:r>
          </w:p>
        </w:tc>
        <w:tc>
          <w:tcPr>
            <w:tcW w:w="1339" w:type="dxa"/>
          </w:tcPr>
          <w:p w:rsidR="0031323C" w:rsidRPr="002C61E7" w:rsidRDefault="0031323C" w:rsidP="006A1274">
            <w:pPr>
              <w:ind w:right="57"/>
              <w:jc w:val="right"/>
              <w:rPr>
                <w:rFonts w:ascii="Calibri" w:hAnsi="Calibri" w:cs="Calibri"/>
                <w:color w:val="002B45"/>
                <w:lang w:val="en-US"/>
              </w:rPr>
            </w:pPr>
            <w:r>
              <w:rPr>
                <w:rFonts w:ascii="Calibri" w:hAnsi="Calibri" w:cs="Calibri"/>
                <w:color w:val="002B45"/>
                <w:lang w:val="en-US"/>
              </w:rPr>
              <w:t>60.4</w:t>
            </w:r>
          </w:p>
        </w:tc>
        <w:tc>
          <w:tcPr>
            <w:tcW w:w="968" w:type="dxa"/>
          </w:tcPr>
          <w:p w:rsidR="0031323C" w:rsidRPr="002C61E7" w:rsidRDefault="00332281" w:rsidP="006A1274">
            <w:pPr>
              <w:ind w:right="57"/>
              <w:jc w:val="right"/>
              <w:rPr>
                <w:rFonts w:ascii="Calibri" w:hAnsi="Calibri" w:cs="Calibri"/>
                <w:color w:val="002B45"/>
                <w:lang w:val="en-US"/>
              </w:rPr>
            </w:pPr>
            <w:r w:rsidRPr="002C61E7">
              <w:rPr>
                <w:rFonts w:ascii="Calibri" w:hAnsi="Calibri" w:cs="Calibri"/>
                <w:color w:val="002B45"/>
                <w:lang w:val="en-US"/>
              </w:rPr>
              <w:t>–</w:t>
            </w:r>
          </w:p>
        </w:tc>
        <w:tc>
          <w:tcPr>
            <w:tcW w:w="727" w:type="dxa"/>
            <w:vAlign w:val="center"/>
          </w:tcPr>
          <w:p w:rsidR="0031323C" w:rsidRPr="002C61E7" w:rsidRDefault="0031323C" w:rsidP="006A1274">
            <w:pPr>
              <w:ind w:right="57"/>
              <w:jc w:val="right"/>
              <w:rPr>
                <w:rFonts w:ascii="Calibri" w:hAnsi="Calibri" w:cs="Calibri"/>
                <w:color w:val="002B45"/>
                <w:lang w:val="en-US"/>
              </w:rPr>
            </w:pPr>
            <w:r>
              <w:rPr>
                <w:rFonts w:ascii="Calibri" w:hAnsi="Calibri" w:cs="Calibri"/>
                <w:color w:val="002B45"/>
                <w:lang w:val="en-US"/>
              </w:rPr>
              <w:t>60.4</w:t>
            </w:r>
          </w:p>
        </w:tc>
      </w:tr>
      <w:tr w:rsidR="0031323C" w:rsidRPr="00D4061C" w:rsidTr="00772C45">
        <w:trPr>
          <w:trHeight w:val="283"/>
        </w:trPr>
        <w:tc>
          <w:tcPr>
            <w:tcW w:w="3402" w:type="dxa"/>
            <w:vAlign w:val="center"/>
          </w:tcPr>
          <w:p w:rsidR="0031323C" w:rsidRPr="00D4061C" w:rsidRDefault="0031323C" w:rsidP="006A1274">
            <w:pPr>
              <w:jc w:val="left"/>
              <w:rPr>
                <w:rFonts w:ascii="Calibri" w:hAnsi="Calibri" w:cs="Calibri"/>
                <w:color w:val="002B45"/>
                <w:lang w:val="en-US"/>
              </w:rPr>
            </w:pPr>
            <w:r>
              <w:rPr>
                <w:rFonts w:ascii="Calibri" w:hAnsi="Calibri" w:cs="Calibri"/>
                <w:color w:val="002B45"/>
                <w:lang w:val="en-US"/>
              </w:rPr>
              <w:t>Acquisition of subsidiary</w:t>
            </w:r>
          </w:p>
        </w:tc>
        <w:tc>
          <w:tcPr>
            <w:tcW w:w="1418" w:type="dxa"/>
            <w:shd w:val="clear" w:color="auto" w:fill="E6E6E6"/>
          </w:tcPr>
          <w:p w:rsidR="0031323C" w:rsidRPr="002C61E7" w:rsidRDefault="0031323C" w:rsidP="006A1274">
            <w:pPr>
              <w:ind w:right="57"/>
              <w:jc w:val="right"/>
              <w:rPr>
                <w:rFonts w:ascii="Calibri" w:hAnsi="Calibri" w:cs="Calibri"/>
                <w:color w:val="002B45"/>
                <w:lang w:val="en-US"/>
              </w:rPr>
            </w:pPr>
            <w:r>
              <w:rPr>
                <w:rFonts w:ascii="Calibri" w:hAnsi="Calibri" w:cs="Calibri"/>
                <w:color w:val="002B45"/>
                <w:lang w:val="en-US"/>
              </w:rPr>
              <w:t>18.6</w:t>
            </w:r>
          </w:p>
        </w:tc>
        <w:tc>
          <w:tcPr>
            <w:tcW w:w="850" w:type="dxa"/>
            <w:shd w:val="clear" w:color="auto" w:fill="E6E6E6"/>
          </w:tcPr>
          <w:p w:rsidR="0031323C" w:rsidRPr="002C61E7" w:rsidRDefault="0031323C" w:rsidP="006A1274">
            <w:pPr>
              <w:ind w:right="57"/>
              <w:jc w:val="right"/>
              <w:rPr>
                <w:rFonts w:ascii="Calibri" w:hAnsi="Calibri" w:cs="Calibri"/>
                <w:color w:val="002B45"/>
                <w:lang w:val="en-US"/>
              </w:rPr>
            </w:pPr>
            <w:r>
              <w:rPr>
                <w:rFonts w:ascii="Calibri" w:hAnsi="Calibri" w:cs="Calibri"/>
                <w:color w:val="002B45"/>
                <w:lang w:val="en-US"/>
              </w:rPr>
              <w:t>10.0</w:t>
            </w:r>
          </w:p>
        </w:tc>
        <w:tc>
          <w:tcPr>
            <w:tcW w:w="851" w:type="dxa"/>
            <w:shd w:val="clear" w:color="auto" w:fill="E6E6E6"/>
            <w:vAlign w:val="center"/>
          </w:tcPr>
          <w:p w:rsidR="0031323C" w:rsidRPr="002C61E7" w:rsidRDefault="0031323C" w:rsidP="006A1274">
            <w:pPr>
              <w:ind w:right="57"/>
              <w:jc w:val="right"/>
              <w:rPr>
                <w:rFonts w:ascii="Calibri" w:hAnsi="Calibri" w:cs="Calibri"/>
                <w:color w:val="002B45"/>
                <w:lang w:val="en-US"/>
              </w:rPr>
            </w:pPr>
            <w:r>
              <w:rPr>
                <w:rFonts w:ascii="Calibri" w:hAnsi="Calibri" w:cs="Calibri"/>
                <w:color w:val="002B45"/>
                <w:lang w:val="en-US"/>
              </w:rPr>
              <w:t>28.6</w:t>
            </w:r>
          </w:p>
        </w:tc>
        <w:tc>
          <w:tcPr>
            <w:tcW w:w="1339" w:type="dxa"/>
          </w:tcPr>
          <w:p w:rsidR="0031323C" w:rsidRPr="002C61E7" w:rsidRDefault="00332281" w:rsidP="006A1274">
            <w:pPr>
              <w:ind w:right="57"/>
              <w:jc w:val="right"/>
              <w:rPr>
                <w:rFonts w:ascii="Calibri" w:hAnsi="Calibri" w:cs="Calibri"/>
                <w:color w:val="002B45"/>
                <w:lang w:val="en-US"/>
              </w:rPr>
            </w:pPr>
            <w:r w:rsidRPr="002C61E7">
              <w:rPr>
                <w:rFonts w:ascii="Calibri" w:hAnsi="Calibri" w:cs="Calibri"/>
                <w:color w:val="002B45"/>
                <w:lang w:val="en-US"/>
              </w:rPr>
              <w:t>–</w:t>
            </w:r>
          </w:p>
        </w:tc>
        <w:tc>
          <w:tcPr>
            <w:tcW w:w="968" w:type="dxa"/>
          </w:tcPr>
          <w:p w:rsidR="0031323C" w:rsidRPr="002C61E7" w:rsidRDefault="00332281" w:rsidP="006A1274">
            <w:pPr>
              <w:ind w:right="57"/>
              <w:jc w:val="right"/>
              <w:rPr>
                <w:rFonts w:ascii="Calibri" w:hAnsi="Calibri" w:cs="Calibri"/>
                <w:color w:val="002B45"/>
                <w:lang w:val="en-US"/>
              </w:rPr>
            </w:pPr>
            <w:r w:rsidRPr="002C61E7">
              <w:rPr>
                <w:rFonts w:ascii="Calibri" w:hAnsi="Calibri" w:cs="Calibri"/>
                <w:color w:val="002B45"/>
                <w:lang w:val="en-US"/>
              </w:rPr>
              <w:t>–</w:t>
            </w:r>
          </w:p>
        </w:tc>
        <w:tc>
          <w:tcPr>
            <w:tcW w:w="727" w:type="dxa"/>
            <w:vAlign w:val="center"/>
          </w:tcPr>
          <w:p w:rsidR="0031323C" w:rsidRPr="002C61E7" w:rsidRDefault="00332281" w:rsidP="006A1274">
            <w:pPr>
              <w:ind w:right="57"/>
              <w:jc w:val="right"/>
              <w:rPr>
                <w:rFonts w:ascii="Calibri" w:hAnsi="Calibri" w:cs="Calibri"/>
                <w:color w:val="002B45"/>
                <w:lang w:val="en-US"/>
              </w:rPr>
            </w:pPr>
            <w:r w:rsidRPr="002C61E7">
              <w:rPr>
                <w:rFonts w:ascii="Calibri" w:hAnsi="Calibri" w:cs="Calibri"/>
                <w:color w:val="002B45"/>
                <w:lang w:val="en-US"/>
              </w:rPr>
              <w:t>–</w:t>
            </w:r>
          </w:p>
        </w:tc>
      </w:tr>
      <w:tr w:rsidR="0031323C" w:rsidRPr="00D4061C" w:rsidTr="00772C45">
        <w:trPr>
          <w:trHeight w:val="283"/>
        </w:trPr>
        <w:tc>
          <w:tcPr>
            <w:tcW w:w="3402" w:type="dxa"/>
            <w:vAlign w:val="center"/>
          </w:tcPr>
          <w:p w:rsidR="0031323C" w:rsidRDefault="0031323C" w:rsidP="006A1274">
            <w:pPr>
              <w:jc w:val="left"/>
              <w:rPr>
                <w:rFonts w:ascii="Calibri" w:hAnsi="Calibri" w:cs="Calibri"/>
                <w:color w:val="002B45"/>
                <w:lang w:val="en-US"/>
              </w:rPr>
            </w:pPr>
            <w:r>
              <w:rPr>
                <w:rFonts w:ascii="Calibri" w:hAnsi="Calibri" w:cs="Calibri"/>
                <w:color w:val="002B45"/>
                <w:lang w:val="en-US"/>
              </w:rPr>
              <w:t>Decommissioning payments</w:t>
            </w:r>
          </w:p>
        </w:tc>
        <w:tc>
          <w:tcPr>
            <w:tcW w:w="1418" w:type="dxa"/>
            <w:shd w:val="clear" w:color="auto" w:fill="E6E6E6"/>
          </w:tcPr>
          <w:p w:rsidR="0031323C" w:rsidRPr="002C61E7" w:rsidRDefault="0031323C" w:rsidP="006A1274">
            <w:pPr>
              <w:ind w:right="57"/>
              <w:jc w:val="right"/>
              <w:rPr>
                <w:rFonts w:ascii="Calibri" w:hAnsi="Calibri" w:cs="Calibri"/>
                <w:color w:val="002B45"/>
                <w:lang w:val="en-US"/>
              </w:rPr>
            </w:pPr>
            <w:r>
              <w:rPr>
                <w:rFonts w:ascii="Calibri" w:hAnsi="Calibri" w:cs="Calibri"/>
                <w:color w:val="002B45"/>
                <w:lang w:val="en-US"/>
              </w:rPr>
              <w:t>(6.7)</w:t>
            </w:r>
          </w:p>
        </w:tc>
        <w:tc>
          <w:tcPr>
            <w:tcW w:w="850" w:type="dxa"/>
            <w:shd w:val="clear" w:color="auto" w:fill="E6E6E6"/>
          </w:tcPr>
          <w:p w:rsidR="0031323C" w:rsidRPr="002C61E7" w:rsidRDefault="00332281" w:rsidP="006A1274">
            <w:pPr>
              <w:ind w:right="57"/>
              <w:jc w:val="right"/>
              <w:rPr>
                <w:rFonts w:ascii="Calibri" w:hAnsi="Calibri" w:cs="Calibri"/>
                <w:color w:val="002B45"/>
                <w:lang w:val="en-US"/>
              </w:rPr>
            </w:pPr>
            <w:r w:rsidRPr="002C61E7">
              <w:rPr>
                <w:rFonts w:ascii="Calibri" w:hAnsi="Calibri" w:cs="Calibri"/>
                <w:color w:val="002B45"/>
                <w:lang w:val="en-US"/>
              </w:rPr>
              <w:t>–</w:t>
            </w:r>
          </w:p>
        </w:tc>
        <w:tc>
          <w:tcPr>
            <w:tcW w:w="851" w:type="dxa"/>
            <w:shd w:val="clear" w:color="auto" w:fill="E6E6E6"/>
            <w:vAlign w:val="center"/>
          </w:tcPr>
          <w:p w:rsidR="0031323C" w:rsidRPr="002C61E7" w:rsidRDefault="0031323C" w:rsidP="006A1274">
            <w:pPr>
              <w:ind w:right="57"/>
              <w:jc w:val="right"/>
              <w:rPr>
                <w:rFonts w:ascii="Calibri" w:hAnsi="Calibri" w:cs="Calibri"/>
                <w:color w:val="002B45"/>
                <w:lang w:val="en-US"/>
              </w:rPr>
            </w:pPr>
            <w:r>
              <w:rPr>
                <w:rFonts w:ascii="Calibri" w:hAnsi="Calibri" w:cs="Calibri"/>
                <w:color w:val="002B45"/>
                <w:lang w:val="en-US"/>
              </w:rPr>
              <w:t>(6.7)</w:t>
            </w:r>
          </w:p>
        </w:tc>
        <w:tc>
          <w:tcPr>
            <w:tcW w:w="1339" w:type="dxa"/>
          </w:tcPr>
          <w:p w:rsidR="0031323C" w:rsidRPr="002C61E7" w:rsidRDefault="0031323C" w:rsidP="006A1274">
            <w:pPr>
              <w:ind w:right="57"/>
              <w:jc w:val="right"/>
              <w:rPr>
                <w:rFonts w:ascii="Calibri" w:hAnsi="Calibri" w:cs="Calibri"/>
                <w:color w:val="002B45"/>
                <w:lang w:val="en-US"/>
              </w:rPr>
            </w:pPr>
            <w:r>
              <w:rPr>
                <w:rFonts w:ascii="Calibri" w:hAnsi="Calibri" w:cs="Calibri"/>
                <w:color w:val="002B45"/>
                <w:lang w:val="en-US"/>
              </w:rPr>
              <w:t>1.1</w:t>
            </w:r>
          </w:p>
        </w:tc>
        <w:tc>
          <w:tcPr>
            <w:tcW w:w="968" w:type="dxa"/>
          </w:tcPr>
          <w:p w:rsidR="0031323C" w:rsidRPr="002C61E7" w:rsidRDefault="00332281" w:rsidP="006A1274">
            <w:pPr>
              <w:ind w:right="57"/>
              <w:jc w:val="right"/>
              <w:rPr>
                <w:rFonts w:ascii="Calibri" w:hAnsi="Calibri" w:cs="Calibri"/>
                <w:color w:val="002B45"/>
                <w:lang w:val="en-US"/>
              </w:rPr>
            </w:pPr>
            <w:r w:rsidRPr="002C61E7">
              <w:rPr>
                <w:rFonts w:ascii="Calibri" w:hAnsi="Calibri" w:cs="Calibri"/>
                <w:color w:val="002B45"/>
                <w:lang w:val="en-US"/>
              </w:rPr>
              <w:t>–</w:t>
            </w:r>
          </w:p>
        </w:tc>
        <w:tc>
          <w:tcPr>
            <w:tcW w:w="727" w:type="dxa"/>
            <w:vAlign w:val="center"/>
          </w:tcPr>
          <w:p w:rsidR="0031323C" w:rsidRDefault="0031323C" w:rsidP="006A1274">
            <w:pPr>
              <w:ind w:right="57"/>
              <w:jc w:val="right"/>
              <w:rPr>
                <w:rFonts w:ascii="Calibri" w:hAnsi="Calibri" w:cs="Calibri"/>
                <w:color w:val="002B45"/>
                <w:lang w:val="en-US"/>
              </w:rPr>
            </w:pPr>
            <w:r>
              <w:rPr>
                <w:rFonts w:ascii="Calibri" w:hAnsi="Calibri" w:cs="Calibri"/>
                <w:color w:val="002B45"/>
                <w:lang w:val="en-US"/>
              </w:rPr>
              <w:t>1.1</w:t>
            </w:r>
          </w:p>
        </w:tc>
      </w:tr>
      <w:tr w:rsidR="0031323C" w:rsidRPr="00D4061C" w:rsidTr="00772C45">
        <w:trPr>
          <w:trHeight w:val="283"/>
        </w:trPr>
        <w:tc>
          <w:tcPr>
            <w:tcW w:w="3402" w:type="dxa"/>
            <w:vAlign w:val="center"/>
          </w:tcPr>
          <w:p w:rsidR="0031323C" w:rsidRDefault="0031323C" w:rsidP="006A1274">
            <w:pPr>
              <w:jc w:val="left"/>
              <w:rPr>
                <w:rFonts w:ascii="Calibri" w:hAnsi="Calibri" w:cs="Calibri"/>
                <w:color w:val="002B45"/>
                <w:lang w:val="en-US"/>
              </w:rPr>
            </w:pPr>
            <w:r>
              <w:rPr>
                <w:rFonts w:ascii="Calibri" w:hAnsi="Calibri" w:cs="Calibri"/>
                <w:color w:val="002B45"/>
                <w:lang w:val="en-US"/>
              </w:rPr>
              <w:t>Unwinding of discount</w:t>
            </w:r>
          </w:p>
        </w:tc>
        <w:tc>
          <w:tcPr>
            <w:tcW w:w="1418" w:type="dxa"/>
            <w:shd w:val="clear" w:color="auto" w:fill="E6E6E6"/>
          </w:tcPr>
          <w:p w:rsidR="0031323C" w:rsidRPr="002C61E7" w:rsidRDefault="0031323C" w:rsidP="006A1274">
            <w:pPr>
              <w:ind w:right="57"/>
              <w:jc w:val="right"/>
              <w:rPr>
                <w:rFonts w:ascii="Calibri" w:hAnsi="Calibri" w:cs="Calibri"/>
                <w:color w:val="002B45"/>
                <w:lang w:val="en-US"/>
              </w:rPr>
            </w:pPr>
            <w:r>
              <w:rPr>
                <w:rFonts w:ascii="Calibri" w:hAnsi="Calibri" w:cs="Calibri"/>
                <w:color w:val="002B45"/>
                <w:lang w:val="en-US"/>
              </w:rPr>
              <w:t>16.7</w:t>
            </w:r>
          </w:p>
        </w:tc>
        <w:tc>
          <w:tcPr>
            <w:tcW w:w="850" w:type="dxa"/>
            <w:shd w:val="clear" w:color="auto" w:fill="E6E6E6"/>
          </w:tcPr>
          <w:p w:rsidR="0031323C" w:rsidRPr="002C61E7" w:rsidRDefault="0031323C" w:rsidP="006A1274">
            <w:pPr>
              <w:ind w:right="57"/>
              <w:jc w:val="right"/>
              <w:rPr>
                <w:rFonts w:ascii="Calibri" w:hAnsi="Calibri" w:cs="Calibri"/>
                <w:color w:val="002B45"/>
                <w:lang w:val="en-US"/>
              </w:rPr>
            </w:pPr>
            <w:r>
              <w:rPr>
                <w:rFonts w:ascii="Calibri" w:hAnsi="Calibri" w:cs="Calibri"/>
                <w:color w:val="002B45"/>
                <w:lang w:val="en-US"/>
              </w:rPr>
              <w:t>0.8</w:t>
            </w:r>
          </w:p>
        </w:tc>
        <w:tc>
          <w:tcPr>
            <w:tcW w:w="851" w:type="dxa"/>
            <w:shd w:val="clear" w:color="auto" w:fill="E6E6E6"/>
            <w:vAlign w:val="center"/>
          </w:tcPr>
          <w:p w:rsidR="0031323C" w:rsidRPr="002C61E7" w:rsidRDefault="0031323C" w:rsidP="006A1274">
            <w:pPr>
              <w:ind w:right="57"/>
              <w:jc w:val="right"/>
              <w:rPr>
                <w:rFonts w:ascii="Calibri" w:hAnsi="Calibri" w:cs="Calibri"/>
                <w:color w:val="002B45"/>
                <w:lang w:val="en-US"/>
              </w:rPr>
            </w:pPr>
            <w:r>
              <w:rPr>
                <w:rFonts w:ascii="Calibri" w:hAnsi="Calibri" w:cs="Calibri"/>
                <w:color w:val="002B45"/>
                <w:lang w:val="en-US"/>
              </w:rPr>
              <w:t>17.5</w:t>
            </w:r>
          </w:p>
        </w:tc>
        <w:tc>
          <w:tcPr>
            <w:tcW w:w="1339" w:type="dxa"/>
          </w:tcPr>
          <w:p w:rsidR="0031323C" w:rsidRPr="002C61E7" w:rsidRDefault="0031323C" w:rsidP="006A1274">
            <w:pPr>
              <w:ind w:right="57"/>
              <w:jc w:val="right"/>
              <w:rPr>
                <w:rFonts w:ascii="Calibri" w:hAnsi="Calibri" w:cs="Calibri"/>
                <w:color w:val="002B45"/>
                <w:lang w:val="en-US"/>
              </w:rPr>
            </w:pPr>
            <w:r>
              <w:rPr>
                <w:rFonts w:ascii="Calibri" w:hAnsi="Calibri" w:cs="Calibri"/>
                <w:color w:val="002B45"/>
                <w:lang w:val="en-US"/>
              </w:rPr>
              <w:t>20.3</w:t>
            </w:r>
          </w:p>
        </w:tc>
        <w:tc>
          <w:tcPr>
            <w:tcW w:w="968" w:type="dxa"/>
          </w:tcPr>
          <w:p w:rsidR="0031323C" w:rsidRPr="002C61E7" w:rsidRDefault="00332281" w:rsidP="006A1274">
            <w:pPr>
              <w:ind w:right="57"/>
              <w:jc w:val="right"/>
              <w:rPr>
                <w:rFonts w:ascii="Calibri" w:hAnsi="Calibri" w:cs="Calibri"/>
                <w:color w:val="002B45"/>
                <w:lang w:val="en-US"/>
              </w:rPr>
            </w:pPr>
            <w:r w:rsidRPr="002C61E7">
              <w:rPr>
                <w:rFonts w:ascii="Calibri" w:hAnsi="Calibri" w:cs="Calibri"/>
                <w:color w:val="002B45"/>
                <w:lang w:val="en-US"/>
              </w:rPr>
              <w:t>–</w:t>
            </w:r>
          </w:p>
        </w:tc>
        <w:tc>
          <w:tcPr>
            <w:tcW w:w="727" w:type="dxa"/>
            <w:vAlign w:val="center"/>
          </w:tcPr>
          <w:p w:rsidR="0031323C" w:rsidRDefault="0031323C" w:rsidP="006A1274">
            <w:pPr>
              <w:ind w:right="57"/>
              <w:jc w:val="right"/>
              <w:rPr>
                <w:rFonts w:ascii="Calibri" w:hAnsi="Calibri" w:cs="Calibri"/>
                <w:color w:val="002B45"/>
                <w:lang w:val="en-US"/>
              </w:rPr>
            </w:pPr>
            <w:r>
              <w:rPr>
                <w:rFonts w:ascii="Calibri" w:hAnsi="Calibri" w:cs="Calibri"/>
                <w:color w:val="002B45"/>
                <w:lang w:val="en-US"/>
              </w:rPr>
              <w:t>20.3</w:t>
            </w:r>
          </w:p>
        </w:tc>
      </w:tr>
      <w:tr w:rsidR="0031323C" w:rsidRPr="00D4061C" w:rsidTr="00772C45">
        <w:trPr>
          <w:trHeight w:val="283"/>
        </w:trPr>
        <w:tc>
          <w:tcPr>
            <w:tcW w:w="3402" w:type="dxa"/>
            <w:vAlign w:val="center"/>
          </w:tcPr>
          <w:p w:rsidR="0031323C" w:rsidRDefault="0031323C" w:rsidP="006A1274">
            <w:pPr>
              <w:jc w:val="left"/>
              <w:rPr>
                <w:rFonts w:ascii="Calibri" w:hAnsi="Calibri" w:cs="Calibri"/>
                <w:color w:val="002B45"/>
                <w:lang w:val="en-US"/>
              </w:rPr>
            </w:pPr>
            <w:r>
              <w:rPr>
                <w:rFonts w:ascii="Calibri" w:hAnsi="Calibri" w:cs="Calibri"/>
                <w:color w:val="002B45"/>
                <w:lang w:val="en-US"/>
              </w:rPr>
              <w:t>Transfer to assets held for sale</w:t>
            </w:r>
          </w:p>
        </w:tc>
        <w:tc>
          <w:tcPr>
            <w:tcW w:w="1418" w:type="dxa"/>
            <w:shd w:val="clear" w:color="auto" w:fill="E6E6E6"/>
          </w:tcPr>
          <w:p w:rsidR="0031323C" w:rsidRPr="002C61E7" w:rsidRDefault="00332281" w:rsidP="006A1274">
            <w:pPr>
              <w:ind w:right="57"/>
              <w:jc w:val="right"/>
              <w:rPr>
                <w:rFonts w:ascii="Calibri" w:hAnsi="Calibri" w:cs="Calibri"/>
                <w:color w:val="002B45"/>
                <w:lang w:val="en-US"/>
              </w:rPr>
            </w:pPr>
            <w:r w:rsidRPr="002C61E7">
              <w:rPr>
                <w:rFonts w:ascii="Calibri" w:hAnsi="Calibri" w:cs="Calibri"/>
                <w:color w:val="002B45"/>
                <w:lang w:val="en-US"/>
              </w:rPr>
              <w:t>–</w:t>
            </w:r>
          </w:p>
        </w:tc>
        <w:tc>
          <w:tcPr>
            <w:tcW w:w="850" w:type="dxa"/>
            <w:shd w:val="clear" w:color="auto" w:fill="E6E6E6"/>
          </w:tcPr>
          <w:p w:rsidR="0031323C" w:rsidRPr="002C61E7" w:rsidRDefault="00332281" w:rsidP="006A1274">
            <w:pPr>
              <w:ind w:right="57"/>
              <w:jc w:val="right"/>
              <w:rPr>
                <w:rFonts w:ascii="Calibri" w:hAnsi="Calibri" w:cs="Calibri"/>
                <w:color w:val="002B45"/>
                <w:lang w:val="en-US"/>
              </w:rPr>
            </w:pPr>
            <w:r w:rsidRPr="002C61E7">
              <w:rPr>
                <w:rFonts w:ascii="Calibri" w:hAnsi="Calibri" w:cs="Calibri"/>
                <w:color w:val="002B45"/>
                <w:lang w:val="en-US"/>
              </w:rPr>
              <w:t>–</w:t>
            </w:r>
          </w:p>
        </w:tc>
        <w:tc>
          <w:tcPr>
            <w:tcW w:w="851" w:type="dxa"/>
            <w:shd w:val="clear" w:color="auto" w:fill="E6E6E6"/>
            <w:vAlign w:val="center"/>
          </w:tcPr>
          <w:p w:rsidR="0031323C" w:rsidRPr="002C61E7" w:rsidRDefault="00332281" w:rsidP="006A1274">
            <w:pPr>
              <w:ind w:right="57"/>
              <w:jc w:val="right"/>
              <w:rPr>
                <w:rFonts w:ascii="Calibri" w:hAnsi="Calibri" w:cs="Calibri"/>
                <w:color w:val="002B45"/>
                <w:lang w:val="en-US"/>
              </w:rPr>
            </w:pPr>
            <w:r w:rsidRPr="002C61E7">
              <w:rPr>
                <w:rFonts w:ascii="Calibri" w:hAnsi="Calibri" w:cs="Calibri"/>
                <w:color w:val="002B45"/>
                <w:lang w:val="en-US"/>
              </w:rPr>
              <w:t>–</w:t>
            </w:r>
          </w:p>
        </w:tc>
        <w:tc>
          <w:tcPr>
            <w:tcW w:w="1339" w:type="dxa"/>
          </w:tcPr>
          <w:p w:rsidR="0031323C" w:rsidRPr="002C61E7" w:rsidRDefault="0031323C" w:rsidP="006A1274">
            <w:pPr>
              <w:ind w:right="57"/>
              <w:jc w:val="right"/>
              <w:rPr>
                <w:rFonts w:ascii="Calibri" w:hAnsi="Calibri" w:cs="Calibri"/>
                <w:color w:val="002B45"/>
                <w:lang w:val="en-US"/>
              </w:rPr>
            </w:pPr>
            <w:r>
              <w:rPr>
                <w:rFonts w:ascii="Calibri" w:hAnsi="Calibri" w:cs="Calibri"/>
                <w:color w:val="002B45"/>
                <w:lang w:val="en-US"/>
              </w:rPr>
              <w:t>(1.6)</w:t>
            </w:r>
          </w:p>
        </w:tc>
        <w:tc>
          <w:tcPr>
            <w:tcW w:w="968" w:type="dxa"/>
          </w:tcPr>
          <w:p w:rsidR="0031323C" w:rsidRPr="002C61E7" w:rsidRDefault="00332281" w:rsidP="006A1274">
            <w:pPr>
              <w:ind w:right="57"/>
              <w:jc w:val="right"/>
              <w:rPr>
                <w:rFonts w:ascii="Calibri" w:hAnsi="Calibri" w:cs="Calibri"/>
                <w:color w:val="002B45"/>
                <w:lang w:val="en-US"/>
              </w:rPr>
            </w:pPr>
            <w:r w:rsidRPr="002C61E7">
              <w:rPr>
                <w:rFonts w:ascii="Calibri" w:hAnsi="Calibri" w:cs="Calibri"/>
                <w:color w:val="002B45"/>
                <w:lang w:val="en-US"/>
              </w:rPr>
              <w:t>–</w:t>
            </w:r>
          </w:p>
        </w:tc>
        <w:tc>
          <w:tcPr>
            <w:tcW w:w="727" w:type="dxa"/>
            <w:vAlign w:val="center"/>
          </w:tcPr>
          <w:p w:rsidR="0031323C" w:rsidRDefault="0031323C" w:rsidP="006A1274">
            <w:pPr>
              <w:ind w:right="57"/>
              <w:jc w:val="right"/>
              <w:rPr>
                <w:rFonts w:ascii="Calibri" w:hAnsi="Calibri" w:cs="Calibri"/>
                <w:color w:val="002B45"/>
                <w:lang w:val="en-US"/>
              </w:rPr>
            </w:pPr>
            <w:r>
              <w:rPr>
                <w:rFonts w:ascii="Calibri" w:hAnsi="Calibri" w:cs="Calibri"/>
                <w:color w:val="002B45"/>
                <w:lang w:val="en-US"/>
              </w:rPr>
              <w:t>(1.6)</w:t>
            </w:r>
          </w:p>
        </w:tc>
      </w:tr>
      <w:tr w:rsidR="0031323C" w:rsidRPr="00D4061C" w:rsidTr="00772C45">
        <w:trPr>
          <w:trHeight w:val="283"/>
        </w:trPr>
        <w:tc>
          <w:tcPr>
            <w:tcW w:w="3402" w:type="dxa"/>
            <w:vAlign w:val="center"/>
          </w:tcPr>
          <w:p w:rsidR="0031323C" w:rsidRPr="00D4061C" w:rsidRDefault="0031323C" w:rsidP="006A1274">
            <w:pPr>
              <w:jc w:val="left"/>
              <w:rPr>
                <w:rFonts w:ascii="Calibri" w:hAnsi="Calibri" w:cs="Calibri"/>
                <w:color w:val="002B45"/>
                <w:lang w:val="en-US"/>
              </w:rPr>
            </w:pPr>
            <w:r>
              <w:rPr>
                <w:rFonts w:ascii="Calibri" w:hAnsi="Calibri" w:cs="Calibri"/>
                <w:color w:val="002B45"/>
                <w:lang w:val="en-US"/>
              </w:rPr>
              <w:t>Unwinding of discount</w:t>
            </w:r>
          </w:p>
        </w:tc>
        <w:tc>
          <w:tcPr>
            <w:tcW w:w="1418" w:type="dxa"/>
            <w:shd w:val="clear" w:color="auto" w:fill="E6E6E6"/>
          </w:tcPr>
          <w:p w:rsidR="0031323C" w:rsidRPr="002C61E7" w:rsidRDefault="0031323C" w:rsidP="006A1274">
            <w:pPr>
              <w:ind w:right="57"/>
              <w:jc w:val="right"/>
              <w:rPr>
                <w:rFonts w:ascii="Calibri" w:hAnsi="Calibri" w:cs="Calibri"/>
                <w:color w:val="002B45"/>
                <w:lang w:val="en-US"/>
              </w:rPr>
            </w:pPr>
            <w:r>
              <w:rPr>
                <w:rFonts w:ascii="Calibri" w:hAnsi="Calibri" w:cs="Calibri"/>
                <w:color w:val="002B45"/>
                <w:lang w:val="en-US"/>
              </w:rPr>
              <w:t>7.3</w:t>
            </w:r>
          </w:p>
        </w:tc>
        <w:tc>
          <w:tcPr>
            <w:tcW w:w="850" w:type="dxa"/>
            <w:shd w:val="clear" w:color="auto" w:fill="E6E6E6"/>
          </w:tcPr>
          <w:p w:rsidR="0031323C" w:rsidRPr="002C61E7" w:rsidRDefault="0031323C" w:rsidP="006A1274">
            <w:pPr>
              <w:ind w:right="57"/>
              <w:jc w:val="right"/>
              <w:rPr>
                <w:rFonts w:ascii="Calibri" w:hAnsi="Calibri" w:cs="Calibri"/>
                <w:color w:val="002B45"/>
                <w:lang w:val="en-US"/>
              </w:rPr>
            </w:pPr>
            <w:r>
              <w:rPr>
                <w:rFonts w:ascii="Calibri" w:hAnsi="Calibri" w:cs="Calibri"/>
                <w:color w:val="002B45"/>
                <w:lang w:val="en-US"/>
              </w:rPr>
              <w:t>0.6</w:t>
            </w:r>
          </w:p>
        </w:tc>
        <w:tc>
          <w:tcPr>
            <w:tcW w:w="851" w:type="dxa"/>
            <w:shd w:val="clear" w:color="auto" w:fill="E6E6E6"/>
            <w:vAlign w:val="center"/>
          </w:tcPr>
          <w:p w:rsidR="0031323C" w:rsidRPr="002C61E7" w:rsidRDefault="0031323C" w:rsidP="006A1274">
            <w:pPr>
              <w:ind w:right="57"/>
              <w:jc w:val="right"/>
              <w:rPr>
                <w:rFonts w:ascii="Calibri" w:hAnsi="Calibri" w:cs="Calibri"/>
                <w:color w:val="002B45"/>
                <w:lang w:val="en-US"/>
              </w:rPr>
            </w:pPr>
            <w:r>
              <w:rPr>
                <w:rFonts w:ascii="Calibri" w:hAnsi="Calibri" w:cs="Calibri"/>
                <w:color w:val="002B45"/>
                <w:lang w:val="en-US"/>
              </w:rPr>
              <w:t>7.9</w:t>
            </w:r>
          </w:p>
        </w:tc>
        <w:tc>
          <w:tcPr>
            <w:tcW w:w="1339" w:type="dxa"/>
          </w:tcPr>
          <w:p w:rsidR="0031323C" w:rsidRPr="002C61E7" w:rsidRDefault="0031323C" w:rsidP="006A1274">
            <w:pPr>
              <w:ind w:right="57"/>
              <w:jc w:val="right"/>
              <w:rPr>
                <w:rFonts w:ascii="Calibri" w:hAnsi="Calibri" w:cs="Calibri"/>
                <w:color w:val="002B45"/>
                <w:lang w:val="en-US"/>
              </w:rPr>
            </w:pPr>
            <w:r>
              <w:rPr>
                <w:rFonts w:ascii="Calibri" w:hAnsi="Calibri" w:cs="Calibri"/>
                <w:color w:val="002B45"/>
                <w:lang w:val="en-US"/>
              </w:rPr>
              <w:t>10.6</w:t>
            </w:r>
          </w:p>
        </w:tc>
        <w:tc>
          <w:tcPr>
            <w:tcW w:w="968" w:type="dxa"/>
          </w:tcPr>
          <w:p w:rsidR="0031323C" w:rsidRPr="002C61E7" w:rsidRDefault="00332281" w:rsidP="006A1274">
            <w:pPr>
              <w:ind w:right="57"/>
              <w:jc w:val="right"/>
              <w:rPr>
                <w:rFonts w:ascii="Calibri" w:hAnsi="Calibri" w:cs="Calibri"/>
                <w:color w:val="002B45"/>
                <w:lang w:val="en-US"/>
              </w:rPr>
            </w:pPr>
            <w:r w:rsidRPr="002C61E7">
              <w:rPr>
                <w:rFonts w:ascii="Calibri" w:hAnsi="Calibri" w:cs="Calibri"/>
                <w:color w:val="002B45"/>
                <w:lang w:val="en-US"/>
              </w:rPr>
              <w:t>–</w:t>
            </w:r>
          </w:p>
        </w:tc>
        <w:tc>
          <w:tcPr>
            <w:tcW w:w="727" w:type="dxa"/>
            <w:vAlign w:val="center"/>
          </w:tcPr>
          <w:p w:rsidR="0031323C" w:rsidRPr="002C61E7" w:rsidRDefault="0031323C" w:rsidP="006A1274">
            <w:pPr>
              <w:ind w:right="57"/>
              <w:jc w:val="right"/>
              <w:rPr>
                <w:rFonts w:ascii="Calibri" w:hAnsi="Calibri" w:cs="Calibri"/>
                <w:color w:val="002B45"/>
                <w:lang w:val="en-US"/>
              </w:rPr>
            </w:pPr>
            <w:r>
              <w:rPr>
                <w:rFonts w:ascii="Calibri" w:hAnsi="Calibri" w:cs="Calibri"/>
                <w:color w:val="002B45"/>
                <w:lang w:val="en-US"/>
              </w:rPr>
              <w:t>10.6</w:t>
            </w:r>
          </w:p>
        </w:tc>
      </w:tr>
      <w:tr w:rsidR="0031323C" w:rsidRPr="00D4061C" w:rsidTr="00772C45">
        <w:trPr>
          <w:trHeight w:val="283"/>
        </w:trPr>
        <w:tc>
          <w:tcPr>
            <w:tcW w:w="3402" w:type="dxa"/>
            <w:tcBorders>
              <w:top w:val="single" w:sz="4" w:space="0" w:color="999999"/>
              <w:bottom w:val="single" w:sz="12" w:space="0" w:color="999999"/>
            </w:tcBorders>
            <w:vAlign w:val="center"/>
          </w:tcPr>
          <w:p w:rsidR="0031323C" w:rsidRPr="00D4061C" w:rsidRDefault="0031323C" w:rsidP="006A1274">
            <w:pPr>
              <w:jc w:val="left"/>
              <w:rPr>
                <w:rFonts w:ascii="Calibri" w:hAnsi="Calibri" w:cs="Calibri"/>
                <w:color w:val="002B45"/>
                <w:lang w:val="en-US"/>
              </w:rPr>
            </w:pPr>
            <w:r>
              <w:rPr>
                <w:rFonts w:ascii="Calibri" w:hAnsi="Calibri" w:cs="Calibri"/>
                <w:color w:val="002B45"/>
                <w:lang w:val="en-US"/>
              </w:rPr>
              <w:t>At 31 December</w:t>
            </w:r>
          </w:p>
        </w:tc>
        <w:tc>
          <w:tcPr>
            <w:tcW w:w="1418" w:type="dxa"/>
            <w:tcBorders>
              <w:top w:val="single" w:sz="4" w:space="0" w:color="999999"/>
              <w:bottom w:val="single" w:sz="12" w:space="0" w:color="999999"/>
            </w:tcBorders>
            <w:shd w:val="clear" w:color="auto" w:fill="E6E6E6"/>
          </w:tcPr>
          <w:p w:rsidR="0031323C" w:rsidRPr="002C61E7" w:rsidRDefault="0031323C" w:rsidP="006A1274">
            <w:pPr>
              <w:ind w:right="57"/>
              <w:jc w:val="right"/>
              <w:rPr>
                <w:rFonts w:ascii="Calibri" w:hAnsi="Calibri" w:cs="Calibri"/>
                <w:color w:val="002B45"/>
                <w:lang w:val="en-US"/>
              </w:rPr>
            </w:pPr>
            <w:r>
              <w:rPr>
                <w:rFonts w:ascii="Calibri" w:hAnsi="Calibri" w:cs="Calibri"/>
                <w:color w:val="002B45"/>
                <w:lang w:val="en-US"/>
              </w:rPr>
              <w:t>841.5</w:t>
            </w:r>
          </w:p>
        </w:tc>
        <w:tc>
          <w:tcPr>
            <w:tcW w:w="850" w:type="dxa"/>
            <w:tcBorders>
              <w:top w:val="single" w:sz="4" w:space="0" w:color="999999"/>
              <w:bottom w:val="single" w:sz="12" w:space="0" w:color="999999"/>
            </w:tcBorders>
            <w:shd w:val="clear" w:color="auto" w:fill="E6E6E6"/>
          </w:tcPr>
          <w:p w:rsidR="0031323C" w:rsidRPr="002C61E7" w:rsidRDefault="0031323C" w:rsidP="006A1274">
            <w:pPr>
              <w:ind w:right="57"/>
              <w:jc w:val="right"/>
              <w:rPr>
                <w:rFonts w:ascii="Calibri" w:hAnsi="Calibri" w:cs="Calibri"/>
                <w:color w:val="002B45"/>
                <w:lang w:val="en-US"/>
              </w:rPr>
            </w:pPr>
            <w:r>
              <w:rPr>
                <w:rFonts w:ascii="Calibri" w:hAnsi="Calibri" w:cs="Calibri"/>
                <w:color w:val="002B45"/>
                <w:lang w:val="en-US"/>
              </w:rPr>
              <w:t>147.7</w:t>
            </w:r>
          </w:p>
        </w:tc>
        <w:tc>
          <w:tcPr>
            <w:tcW w:w="851" w:type="dxa"/>
            <w:tcBorders>
              <w:top w:val="single" w:sz="4" w:space="0" w:color="999999"/>
              <w:bottom w:val="single" w:sz="12" w:space="0" w:color="999999"/>
            </w:tcBorders>
            <w:shd w:val="clear" w:color="auto" w:fill="E6E6E6"/>
            <w:vAlign w:val="center"/>
          </w:tcPr>
          <w:p w:rsidR="0031323C" w:rsidRPr="002C61E7" w:rsidRDefault="0031323C" w:rsidP="006A1274">
            <w:pPr>
              <w:ind w:right="57"/>
              <w:jc w:val="right"/>
              <w:rPr>
                <w:rFonts w:ascii="Calibri" w:hAnsi="Calibri" w:cs="Calibri"/>
                <w:color w:val="002B45"/>
                <w:lang w:val="en-US"/>
              </w:rPr>
            </w:pPr>
            <w:r>
              <w:rPr>
                <w:rFonts w:ascii="Calibri" w:hAnsi="Calibri" w:cs="Calibri"/>
                <w:color w:val="002B45"/>
                <w:lang w:val="en-US"/>
              </w:rPr>
              <w:t>989.2</w:t>
            </w:r>
          </w:p>
        </w:tc>
        <w:tc>
          <w:tcPr>
            <w:tcW w:w="1339" w:type="dxa"/>
            <w:tcBorders>
              <w:top w:val="single" w:sz="4" w:space="0" w:color="999999"/>
              <w:bottom w:val="single" w:sz="12" w:space="0" w:color="999999"/>
            </w:tcBorders>
          </w:tcPr>
          <w:p w:rsidR="0031323C" w:rsidRPr="002C61E7" w:rsidRDefault="0031323C" w:rsidP="006A1274">
            <w:pPr>
              <w:ind w:right="57"/>
              <w:jc w:val="right"/>
              <w:rPr>
                <w:rFonts w:ascii="Calibri" w:hAnsi="Calibri" w:cs="Calibri"/>
                <w:color w:val="002B45"/>
                <w:lang w:val="en-US"/>
              </w:rPr>
            </w:pPr>
            <w:r>
              <w:rPr>
                <w:rFonts w:ascii="Calibri" w:hAnsi="Calibri" w:cs="Calibri"/>
                <w:color w:val="002B45"/>
                <w:lang w:val="en-US"/>
              </w:rPr>
              <w:t>531.6</w:t>
            </w:r>
          </w:p>
        </w:tc>
        <w:tc>
          <w:tcPr>
            <w:tcW w:w="968" w:type="dxa"/>
            <w:tcBorders>
              <w:top w:val="single" w:sz="4" w:space="0" w:color="999999"/>
              <w:bottom w:val="single" w:sz="12" w:space="0" w:color="999999"/>
            </w:tcBorders>
          </w:tcPr>
          <w:p w:rsidR="0031323C" w:rsidRPr="002C61E7" w:rsidRDefault="00332281" w:rsidP="006A1274">
            <w:pPr>
              <w:ind w:right="57"/>
              <w:jc w:val="right"/>
              <w:rPr>
                <w:rFonts w:ascii="Calibri" w:hAnsi="Calibri" w:cs="Calibri"/>
                <w:color w:val="002B45"/>
                <w:lang w:val="en-US"/>
              </w:rPr>
            </w:pPr>
            <w:r w:rsidRPr="002C61E7">
              <w:rPr>
                <w:rFonts w:ascii="Calibri" w:hAnsi="Calibri" w:cs="Calibri"/>
                <w:color w:val="002B45"/>
                <w:lang w:val="en-US"/>
              </w:rPr>
              <w:t>–</w:t>
            </w:r>
          </w:p>
        </w:tc>
        <w:tc>
          <w:tcPr>
            <w:tcW w:w="727" w:type="dxa"/>
            <w:tcBorders>
              <w:top w:val="single" w:sz="4" w:space="0" w:color="999999"/>
              <w:bottom w:val="single" w:sz="12" w:space="0" w:color="999999"/>
            </w:tcBorders>
            <w:vAlign w:val="center"/>
          </w:tcPr>
          <w:p w:rsidR="0031323C" w:rsidRPr="002C61E7" w:rsidRDefault="0031323C" w:rsidP="006A1274">
            <w:pPr>
              <w:ind w:right="57"/>
              <w:jc w:val="right"/>
              <w:rPr>
                <w:rFonts w:ascii="Calibri" w:hAnsi="Calibri" w:cs="Calibri"/>
                <w:color w:val="002B45"/>
                <w:lang w:val="en-US"/>
              </w:rPr>
            </w:pPr>
            <w:r>
              <w:rPr>
                <w:rFonts w:ascii="Calibri" w:hAnsi="Calibri" w:cs="Calibri"/>
                <w:color w:val="002B45"/>
                <w:lang w:val="en-US"/>
              </w:rPr>
              <w:t>531.6</w:t>
            </w:r>
          </w:p>
        </w:tc>
      </w:tr>
    </w:tbl>
    <w:p w:rsidR="006A1274" w:rsidRDefault="006A1274" w:rsidP="00A36FAF">
      <w:pPr>
        <w:pStyle w:val="BodytextAfterTables"/>
        <w:spacing w:before="240" w:line="240" w:lineRule="exact"/>
        <w:jc w:val="both"/>
        <w:rPr>
          <w:rFonts w:ascii="Calibri" w:hAnsi="Calibri" w:cs="Calibri"/>
          <w:color w:val="5F5F5F"/>
          <w:lang w:val="en-IE"/>
        </w:rPr>
      </w:pPr>
      <w:r w:rsidRPr="006A1274">
        <w:rPr>
          <w:rFonts w:ascii="Calibri" w:hAnsi="Calibri" w:cs="Calibri"/>
          <w:color w:val="5F5F5F"/>
          <w:sz w:val="19"/>
          <w:lang w:val="en-IE" w:eastAsia="en-US"/>
        </w:rPr>
        <w:t>The decommissioning provision represents the present value of decommissioning costs relating to the European and African oil and gas interests, which are expected to be incurred up to 2035. A review of all decommissioning estimates was undertaken by an independent specialist at the start of 2013 which has been assessed and updated internally for the purposes of the 2013 financial statements.</w:t>
      </w:r>
      <w:r w:rsidR="0031323C">
        <w:rPr>
          <w:rFonts w:ascii="Calibri" w:hAnsi="Calibri" w:cs="Calibri"/>
          <w:color w:val="5F5F5F"/>
          <w:sz w:val="19"/>
          <w:lang w:val="en-IE" w:eastAsia="en-US"/>
        </w:rPr>
        <w:t xml:space="preserve"> </w:t>
      </w:r>
      <w:r w:rsidRPr="0031323C">
        <w:rPr>
          <w:rFonts w:ascii="Calibri" w:hAnsi="Calibri" w:cs="Calibri"/>
          <w:color w:val="5F5F5F"/>
          <w:sz w:val="19"/>
          <w:lang w:val="en-IE" w:eastAsia="en-US"/>
        </w:rPr>
        <w:t>Assumptions, based on the current economic environment, have been made which management believe are a reasonable basis upon which to estimate the future liability. These estimates are reviewed regularly to take into account any material changes to the assumptions. However, actual decommissioning costs will ultimately depend upon future market prices for the necessary decommissioning works required which will reflect market conditions at the relevant time. Furthermore, the timing of decommissioning is likely to depend on when the fields cease to produce at economically viable rates. This in turn will depend upon future oil and gas prices, which are inherently uncertain.</w:t>
      </w:r>
    </w:p>
    <w:p w:rsidR="006A1274" w:rsidRDefault="006A1274" w:rsidP="004C2357">
      <w:pPr>
        <w:rPr>
          <w:rFonts w:ascii="Calibri" w:hAnsi="Calibri" w:cs="Calibri"/>
          <w:color w:val="5F5F5F"/>
          <w:lang w:val="en-IE"/>
        </w:rPr>
      </w:pPr>
      <w:r w:rsidRPr="006A1274">
        <w:rPr>
          <w:rFonts w:ascii="Calibri" w:hAnsi="Calibri" w:cs="Calibri"/>
          <w:color w:val="5F5F5F"/>
          <w:lang w:val="en-IE"/>
        </w:rPr>
        <w:t xml:space="preserve">Other provisions include a liability acquired through the acquisition of Spring (note </w:t>
      </w:r>
      <w:r w:rsidR="0031323C">
        <w:rPr>
          <w:rFonts w:ascii="Calibri" w:hAnsi="Calibri" w:cs="Calibri"/>
          <w:color w:val="5F5F5F"/>
          <w:lang w:val="en-IE"/>
        </w:rPr>
        <w:t>8</w:t>
      </w:r>
      <w:r w:rsidRPr="006A1274">
        <w:rPr>
          <w:rFonts w:ascii="Calibri" w:hAnsi="Calibri" w:cs="Calibri"/>
          <w:color w:val="5F5F5F"/>
          <w:lang w:val="en-IE"/>
        </w:rPr>
        <w:t xml:space="preserve">) which is contingent in terms of timing and amount on the development of the PL407 licence in Norway.  Other provisions also include the contingent consideration in respect </w:t>
      </w:r>
      <w:r w:rsidR="000D15C1">
        <w:rPr>
          <w:rFonts w:ascii="Calibri" w:hAnsi="Calibri" w:cs="Calibri"/>
          <w:color w:val="5F5F5F"/>
          <w:lang w:val="en-IE"/>
        </w:rPr>
        <w:t>of</w:t>
      </w:r>
      <w:r w:rsidRPr="006A1274">
        <w:rPr>
          <w:rFonts w:ascii="Calibri" w:hAnsi="Calibri" w:cs="Calibri"/>
          <w:color w:val="5F5F5F"/>
          <w:lang w:val="en-IE"/>
        </w:rPr>
        <w:t xml:space="preserve"> the Spring acquisition (note </w:t>
      </w:r>
      <w:r w:rsidR="0031323C">
        <w:rPr>
          <w:rFonts w:ascii="Calibri" w:hAnsi="Calibri" w:cs="Calibri"/>
          <w:color w:val="5F5F5F"/>
          <w:lang w:val="en-IE"/>
        </w:rPr>
        <w:t>8</w:t>
      </w:r>
      <w:r w:rsidR="000D15C1">
        <w:rPr>
          <w:rFonts w:ascii="Calibri" w:hAnsi="Calibri" w:cs="Calibri"/>
          <w:color w:val="5F5F5F"/>
          <w:lang w:val="en-IE"/>
        </w:rPr>
        <w:t>).</w:t>
      </w:r>
      <w:r w:rsidRPr="006A1274">
        <w:rPr>
          <w:rFonts w:ascii="Calibri" w:hAnsi="Calibri" w:cs="Calibri"/>
          <w:color w:val="5F5F5F"/>
          <w:lang w:val="en-IE"/>
        </w:rPr>
        <w:t xml:space="preserve"> </w:t>
      </w:r>
      <w:r w:rsidR="000D15C1">
        <w:rPr>
          <w:rFonts w:ascii="Calibri" w:hAnsi="Calibri" w:cs="Calibri"/>
          <w:color w:val="5F5F5F"/>
          <w:lang w:val="en-IE"/>
        </w:rPr>
        <w:t>T</w:t>
      </w:r>
      <w:r w:rsidRPr="006A1274">
        <w:rPr>
          <w:rFonts w:ascii="Calibri" w:hAnsi="Calibri" w:cs="Calibri"/>
          <w:color w:val="5F5F5F"/>
          <w:lang w:val="en-IE"/>
        </w:rPr>
        <w:t xml:space="preserve">he amount recorded on acquisition was $104.5 million </w:t>
      </w:r>
      <w:r w:rsidR="000D15C1">
        <w:rPr>
          <w:rFonts w:ascii="Calibri" w:hAnsi="Calibri" w:cs="Calibri"/>
          <w:color w:val="5F5F5F"/>
          <w:lang w:val="en-IE"/>
        </w:rPr>
        <w:t xml:space="preserve">and </w:t>
      </w:r>
      <w:r w:rsidRPr="006A1274">
        <w:rPr>
          <w:rFonts w:ascii="Calibri" w:hAnsi="Calibri" w:cs="Calibri"/>
          <w:color w:val="5F5F5F"/>
          <w:lang w:val="en-IE"/>
        </w:rPr>
        <w:t xml:space="preserve">subsequent information provided through drilling results </w:t>
      </w:r>
      <w:r w:rsidR="000D15C1">
        <w:rPr>
          <w:rFonts w:ascii="Calibri" w:hAnsi="Calibri" w:cs="Calibri"/>
          <w:color w:val="5F5F5F"/>
          <w:lang w:val="en-IE"/>
        </w:rPr>
        <w:t xml:space="preserve">during 2013 </w:t>
      </w:r>
      <w:r w:rsidRPr="006A1274">
        <w:rPr>
          <w:rFonts w:ascii="Calibri" w:hAnsi="Calibri" w:cs="Calibri"/>
          <w:color w:val="5F5F5F"/>
          <w:lang w:val="en-IE"/>
        </w:rPr>
        <w:t>has resulted in a net uplift of the provision to $131.2 million</w:t>
      </w:r>
      <w:r w:rsidR="000D15C1">
        <w:rPr>
          <w:rFonts w:ascii="Calibri" w:hAnsi="Calibri" w:cs="Calibri"/>
          <w:color w:val="5F5F5F"/>
          <w:lang w:val="en-IE"/>
        </w:rPr>
        <w:t>, which</w:t>
      </w:r>
      <w:r w:rsidR="000D15C1" w:rsidRPr="000D15C1">
        <w:rPr>
          <w:rFonts w:ascii="Calibri" w:hAnsi="Calibri" w:cs="Calibri"/>
          <w:color w:val="5F5F5F"/>
          <w:lang w:val="en-IE"/>
        </w:rPr>
        <w:t xml:space="preserve"> </w:t>
      </w:r>
      <w:r w:rsidR="000D15C1" w:rsidRPr="006A1274">
        <w:rPr>
          <w:rFonts w:ascii="Calibri" w:hAnsi="Calibri" w:cs="Calibri"/>
          <w:color w:val="5F5F5F"/>
          <w:lang w:val="en-IE"/>
        </w:rPr>
        <w:t>includ</w:t>
      </w:r>
      <w:r w:rsidR="000D15C1">
        <w:rPr>
          <w:rFonts w:ascii="Calibri" w:hAnsi="Calibri" w:cs="Calibri"/>
          <w:color w:val="5F5F5F"/>
          <w:lang w:val="en-IE"/>
        </w:rPr>
        <w:t>es</w:t>
      </w:r>
      <w:r w:rsidR="000D15C1" w:rsidRPr="006A1274">
        <w:rPr>
          <w:rFonts w:ascii="Calibri" w:hAnsi="Calibri" w:cs="Calibri"/>
          <w:color w:val="5F5F5F"/>
          <w:lang w:val="en-IE"/>
        </w:rPr>
        <w:t xml:space="preserve"> a </w:t>
      </w:r>
      <w:r w:rsidR="000D15C1">
        <w:rPr>
          <w:rFonts w:ascii="Calibri" w:hAnsi="Calibri" w:cs="Calibri"/>
          <w:color w:val="5F5F5F"/>
          <w:lang w:val="en-IE"/>
        </w:rPr>
        <w:t xml:space="preserve">specific </w:t>
      </w:r>
      <w:r w:rsidR="000D15C1" w:rsidRPr="006A1274">
        <w:rPr>
          <w:rFonts w:ascii="Calibri" w:hAnsi="Calibri" w:cs="Calibri"/>
          <w:color w:val="5F5F5F"/>
          <w:lang w:val="en-IE"/>
        </w:rPr>
        <w:t>write-off of $41.2 million</w:t>
      </w:r>
      <w:r w:rsidR="00F7433F">
        <w:rPr>
          <w:rFonts w:ascii="Calibri" w:hAnsi="Calibri" w:cs="Calibri"/>
          <w:color w:val="5F5F5F"/>
          <w:lang w:val="en-IE"/>
        </w:rPr>
        <w:t xml:space="preserve"> in relation to the Mantra well result in Norway</w:t>
      </w:r>
      <w:r w:rsidR="000D15C1" w:rsidRPr="006A1274">
        <w:rPr>
          <w:rFonts w:ascii="Calibri" w:hAnsi="Calibri" w:cs="Calibri"/>
          <w:color w:val="5F5F5F"/>
          <w:lang w:val="en-IE"/>
        </w:rPr>
        <w:t xml:space="preserve"> (note 1</w:t>
      </w:r>
      <w:r w:rsidR="000D15C1">
        <w:rPr>
          <w:rFonts w:ascii="Calibri" w:hAnsi="Calibri" w:cs="Calibri"/>
          <w:color w:val="5F5F5F"/>
          <w:lang w:val="en-IE"/>
        </w:rPr>
        <w:t>0)</w:t>
      </w:r>
      <w:r w:rsidRPr="006A1274">
        <w:rPr>
          <w:rFonts w:ascii="Calibri" w:hAnsi="Calibri" w:cs="Calibri"/>
          <w:color w:val="5F5F5F"/>
          <w:lang w:val="en-IE"/>
        </w:rPr>
        <w:t>.</w:t>
      </w:r>
    </w:p>
    <w:p w:rsidR="00A36FAF" w:rsidRPr="006A1274" w:rsidRDefault="00A36FAF" w:rsidP="004C2357">
      <w:pPr>
        <w:rPr>
          <w:rFonts w:ascii="Calibri" w:hAnsi="Calibri" w:cs="Calibri"/>
          <w:color w:val="5F5F5F"/>
          <w:lang w:val="en-IE"/>
        </w:rPr>
      </w:pPr>
    </w:p>
    <w:p w:rsidR="007E10D2" w:rsidRPr="007E10D2" w:rsidRDefault="007E10D2" w:rsidP="007E10D2">
      <w:pPr>
        <w:numPr>
          <w:ilvl w:val="0"/>
          <w:numId w:val="6"/>
        </w:numPr>
        <w:spacing w:before="240" w:after="40"/>
        <w:ind w:left="0" w:firstLine="0"/>
        <w:rPr>
          <w:rFonts w:ascii="Calibri" w:hAnsi="Calibri" w:cs="Calibri"/>
          <w:b/>
          <w:color w:val="00305C"/>
          <w:sz w:val="22"/>
          <w:szCs w:val="22"/>
          <w:lang w:val="en-US"/>
        </w:rPr>
      </w:pPr>
      <w:r w:rsidRPr="00970806">
        <w:rPr>
          <w:rFonts w:ascii="Calibri" w:hAnsi="Calibri" w:cs="Calibri"/>
          <w:b/>
          <w:color w:val="00305C"/>
          <w:sz w:val="22"/>
          <w:szCs w:val="22"/>
          <w:lang w:val="en-US"/>
        </w:rPr>
        <w:t>Called up equity share capital</w:t>
      </w:r>
    </w:p>
    <w:p w:rsidR="00871692" w:rsidRPr="009318F0" w:rsidRDefault="00871692" w:rsidP="00970806">
      <w:pPr>
        <w:spacing w:after="120"/>
        <w:rPr>
          <w:rFonts w:ascii="Calibri" w:hAnsi="Calibri" w:cs="Calibri"/>
          <w:color w:val="5F5F5F"/>
          <w:lang w:val="en-IE"/>
        </w:rPr>
      </w:pPr>
      <w:r w:rsidRPr="009318F0">
        <w:rPr>
          <w:rFonts w:ascii="Calibri" w:hAnsi="Calibri" w:cs="Calibri"/>
          <w:color w:val="5F5F5F"/>
          <w:lang w:val="en-IE"/>
        </w:rPr>
        <w:t>In</w:t>
      </w:r>
      <w:r>
        <w:rPr>
          <w:rFonts w:ascii="Calibri" w:hAnsi="Calibri" w:cs="Calibri"/>
          <w:color w:val="5F5F5F"/>
          <w:lang w:val="en-IE"/>
        </w:rPr>
        <w:t xml:space="preserve"> the year ended 31 December 2013</w:t>
      </w:r>
      <w:r w:rsidRPr="009318F0">
        <w:rPr>
          <w:rFonts w:ascii="Calibri" w:hAnsi="Calibri" w:cs="Calibri"/>
          <w:color w:val="5F5F5F"/>
          <w:lang w:val="en-IE"/>
        </w:rPr>
        <w:t xml:space="preserve">, the Group issued </w:t>
      </w:r>
      <w:r>
        <w:rPr>
          <w:rFonts w:ascii="Calibri" w:hAnsi="Calibri" w:cs="Calibri"/>
          <w:color w:val="5F5F5F"/>
          <w:lang w:val="en-IE"/>
        </w:rPr>
        <w:t>2,208,614</w:t>
      </w:r>
      <w:r w:rsidRPr="009318F0">
        <w:rPr>
          <w:rFonts w:ascii="Calibri" w:hAnsi="Calibri" w:cs="Calibri"/>
          <w:color w:val="5F5F5F"/>
          <w:lang w:val="en-IE"/>
        </w:rPr>
        <w:t xml:space="preserve"> (20</w:t>
      </w:r>
      <w:r>
        <w:rPr>
          <w:rFonts w:ascii="Calibri" w:hAnsi="Calibri" w:cs="Calibri"/>
          <w:color w:val="5F5F5F"/>
          <w:lang w:val="en-IE"/>
        </w:rPr>
        <w:t>12</w:t>
      </w:r>
      <w:r w:rsidRPr="009318F0">
        <w:rPr>
          <w:rFonts w:ascii="Calibri" w:hAnsi="Calibri" w:cs="Calibri"/>
          <w:color w:val="5F5F5F"/>
          <w:lang w:val="en-IE"/>
        </w:rPr>
        <w:t xml:space="preserve">: </w:t>
      </w:r>
      <w:r>
        <w:rPr>
          <w:rFonts w:ascii="Calibri" w:hAnsi="Calibri" w:cs="Calibri"/>
          <w:color w:val="5F5F5F"/>
          <w:lang w:val="en-IE"/>
        </w:rPr>
        <w:t>2,848,078</w:t>
      </w:r>
      <w:r w:rsidRPr="009318F0">
        <w:rPr>
          <w:rFonts w:ascii="Calibri" w:hAnsi="Calibri" w:cs="Calibri"/>
          <w:color w:val="5F5F5F"/>
          <w:lang w:val="en-IE"/>
        </w:rPr>
        <w:t xml:space="preserve">) new shares which included issuing </w:t>
      </w:r>
      <w:r>
        <w:rPr>
          <w:rFonts w:ascii="Calibri" w:hAnsi="Calibri" w:cs="Calibri"/>
          <w:color w:val="5F5F5F"/>
          <w:lang w:val="en-IE"/>
        </w:rPr>
        <w:t xml:space="preserve">2,208,614 </w:t>
      </w:r>
      <w:r w:rsidRPr="009318F0">
        <w:rPr>
          <w:rFonts w:ascii="Calibri" w:hAnsi="Calibri" w:cs="Calibri"/>
          <w:color w:val="5F5F5F"/>
          <w:lang w:val="en-IE"/>
        </w:rPr>
        <w:t>(20</w:t>
      </w:r>
      <w:r>
        <w:rPr>
          <w:rFonts w:ascii="Calibri" w:hAnsi="Calibri" w:cs="Calibri"/>
          <w:color w:val="5F5F5F"/>
          <w:lang w:val="en-IE"/>
        </w:rPr>
        <w:t>12</w:t>
      </w:r>
      <w:r w:rsidRPr="009318F0">
        <w:rPr>
          <w:rFonts w:ascii="Calibri" w:hAnsi="Calibri" w:cs="Calibri"/>
          <w:color w:val="5F5F5F"/>
          <w:lang w:val="en-IE"/>
        </w:rPr>
        <w:t xml:space="preserve">: </w:t>
      </w:r>
      <w:r>
        <w:rPr>
          <w:rFonts w:ascii="Calibri" w:hAnsi="Calibri" w:cs="Calibri"/>
          <w:color w:val="5F5F5F"/>
          <w:lang w:val="en-IE"/>
        </w:rPr>
        <w:t>2,623,123</w:t>
      </w:r>
      <w:r w:rsidRPr="009318F0">
        <w:rPr>
          <w:rFonts w:ascii="Calibri" w:hAnsi="Calibri" w:cs="Calibri"/>
          <w:color w:val="5F5F5F"/>
          <w:lang w:val="en-IE"/>
        </w:rPr>
        <w:t>) new shares in re</w:t>
      </w:r>
      <w:r>
        <w:rPr>
          <w:rFonts w:ascii="Calibri" w:hAnsi="Calibri" w:cs="Calibri"/>
          <w:color w:val="5F5F5F"/>
          <w:lang w:val="en-IE"/>
        </w:rPr>
        <w:t>spect of employee share options</w:t>
      </w:r>
      <w:r w:rsidRPr="009318F0">
        <w:rPr>
          <w:rFonts w:ascii="Calibri" w:hAnsi="Calibri" w:cs="Calibri"/>
          <w:color w:val="5F5F5F"/>
          <w:lang w:val="en-IE"/>
        </w:rPr>
        <w:t xml:space="preserve">. </w:t>
      </w:r>
    </w:p>
    <w:p w:rsidR="00871692" w:rsidRDefault="00871692" w:rsidP="00871692">
      <w:pPr>
        <w:spacing w:after="240"/>
        <w:rPr>
          <w:rFonts w:ascii="Calibri" w:hAnsi="Calibri" w:cs="Calibri"/>
          <w:color w:val="5F5F5F"/>
          <w:lang w:val="en-IE"/>
        </w:rPr>
      </w:pPr>
      <w:r w:rsidRPr="009318F0">
        <w:rPr>
          <w:rFonts w:ascii="Calibri" w:hAnsi="Calibri" w:cs="Calibri"/>
          <w:color w:val="5F5F5F"/>
          <w:lang w:val="en-IE"/>
        </w:rPr>
        <w:t>As at 31 December 201</w:t>
      </w:r>
      <w:r w:rsidR="007E10D2">
        <w:rPr>
          <w:rFonts w:ascii="Calibri" w:hAnsi="Calibri" w:cs="Calibri"/>
          <w:color w:val="5F5F5F"/>
          <w:lang w:val="en-IE"/>
        </w:rPr>
        <w:t>3</w:t>
      </w:r>
      <w:r w:rsidRPr="009318F0">
        <w:rPr>
          <w:rFonts w:ascii="Calibri" w:hAnsi="Calibri" w:cs="Calibri"/>
          <w:color w:val="5F5F5F"/>
          <w:lang w:val="en-IE"/>
        </w:rPr>
        <w:t xml:space="preserve"> the Group had in issue </w:t>
      </w:r>
      <w:r>
        <w:rPr>
          <w:rFonts w:ascii="Calibri" w:hAnsi="Calibri" w:cs="Calibri"/>
          <w:color w:val="5F5F5F"/>
          <w:lang w:val="en-IE"/>
        </w:rPr>
        <w:t>909,971,941</w:t>
      </w:r>
      <w:r w:rsidRPr="009318F0">
        <w:rPr>
          <w:rFonts w:ascii="Calibri" w:hAnsi="Calibri" w:cs="Calibri"/>
          <w:color w:val="5F5F5F"/>
          <w:lang w:val="en-IE"/>
        </w:rPr>
        <w:t xml:space="preserve"> allotted and fully paid ordinary shares of Stg10 pence each (</w:t>
      </w:r>
      <w:r>
        <w:rPr>
          <w:rFonts w:ascii="Calibri" w:hAnsi="Calibri" w:cs="Calibri"/>
          <w:color w:val="5F5F5F"/>
          <w:lang w:val="en-IE"/>
        </w:rPr>
        <w:t>2012</w:t>
      </w:r>
      <w:r w:rsidRPr="009318F0">
        <w:rPr>
          <w:rFonts w:ascii="Calibri" w:hAnsi="Calibri" w:cs="Calibri"/>
          <w:color w:val="5F5F5F"/>
          <w:lang w:val="en-IE"/>
        </w:rPr>
        <w:t xml:space="preserve">: </w:t>
      </w:r>
      <w:r>
        <w:rPr>
          <w:rFonts w:ascii="Calibri" w:hAnsi="Calibri" w:cs="Calibri"/>
          <w:color w:val="5F5F5F"/>
          <w:lang w:val="en-IE"/>
        </w:rPr>
        <w:t>907,763,327)</w:t>
      </w:r>
      <w:r w:rsidR="00AE3D58">
        <w:rPr>
          <w:rFonts w:ascii="Calibri" w:hAnsi="Calibri" w:cs="Calibri"/>
          <w:color w:val="5F5F5F"/>
          <w:lang w:val="en-IE"/>
        </w:rPr>
        <w:t>.</w:t>
      </w:r>
    </w:p>
    <w:p w:rsidR="00871692" w:rsidRPr="00141A54" w:rsidRDefault="00871692" w:rsidP="00141A54">
      <w:pPr>
        <w:numPr>
          <w:ilvl w:val="0"/>
          <w:numId w:val="6"/>
        </w:numPr>
        <w:spacing w:before="240" w:after="40"/>
        <w:ind w:left="0" w:firstLine="0"/>
        <w:rPr>
          <w:rFonts w:ascii="Calibri" w:hAnsi="Calibri" w:cs="Calibri"/>
          <w:b/>
          <w:color w:val="00305C"/>
          <w:sz w:val="22"/>
          <w:szCs w:val="22"/>
          <w:lang w:val="en-US"/>
        </w:rPr>
      </w:pPr>
      <w:r w:rsidRPr="00141A54">
        <w:rPr>
          <w:rFonts w:ascii="Calibri" w:hAnsi="Calibri" w:cs="Calibri"/>
          <w:b/>
          <w:color w:val="00305C"/>
          <w:sz w:val="22"/>
          <w:szCs w:val="22"/>
          <w:lang w:val="en-US"/>
        </w:rPr>
        <w:t>Commercial Reserves and Contingent Resources summary (unaudited) working interest basis</w:t>
      </w:r>
    </w:p>
    <w:p w:rsidR="00871692" w:rsidRPr="00113846" w:rsidRDefault="00871692" w:rsidP="00871692">
      <w:pPr>
        <w:rPr>
          <w:rFonts w:ascii="Calibri" w:hAnsi="Calibri" w:cs="Calibri"/>
          <w:color w:val="5F5F5F"/>
          <w:lang w:val="en-IE"/>
        </w:rPr>
      </w:pPr>
    </w:p>
    <w:tbl>
      <w:tblPr>
        <w:tblW w:w="9606" w:type="dxa"/>
        <w:tblInd w:w="108" w:type="dxa"/>
        <w:tblLook w:val="04A0" w:firstRow="1" w:lastRow="0" w:firstColumn="1" w:lastColumn="0" w:noHBand="0" w:noVBand="1"/>
      </w:tblPr>
      <w:tblGrid>
        <w:gridCol w:w="2110"/>
        <w:gridCol w:w="802"/>
        <w:gridCol w:w="848"/>
        <w:gridCol w:w="816"/>
        <w:gridCol w:w="844"/>
        <w:gridCol w:w="816"/>
        <w:gridCol w:w="735"/>
        <w:gridCol w:w="893"/>
        <w:gridCol w:w="893"/>
        <w:gridCol w:w="849"/>
      </w:tblGrid>
      <w:tr w:rsidR="00871692" w:rsidRPr="00113846" w:rsidTr="00772C45">
        <w:trPr>
          <w:trHeight w:val="255"/>
        </w:trPr>
        <w:tc>
          <w:tcPr>
            <w:tcW w:w="2110" w:type="dxa"/>
            <w:shd w:val="clear" w:color="auto" w:fill="auto"/>
            <w:noWrap/>
            <w:vAlign w:val="bottom"/>
            <w:hideMark/>
          </w:tcPr>
          <w:p w:rsidR="00871692" w:rsidRPr="00113846" w:rsidRDefault="00871692" w:rsidP="009B4FC7">
            <w:pPr>
              <w:spacing w:line="240" w:lineRule="auto"/>
              <w:jc w:val="left"/>
              <w:rPr>
                <w:rFonts w:ascii="Arial" w:hAnsi="Arial" w:cs="Arial"/>
                <w:sz w:val="20"/>
                <w:szCs w:val="20"/>
                <w:lang w:eastAsia="en-GB"/>
              </w:rPr>
            </w:pPr>
            <w:r w:rsidRPr="00113846">
              <w:rPr>
                <w:rFonts w:ascii="Arial" w:hAnsi="Arial" w:cs="Arial"/>
                <w:sz w:val="20"/>
                <w:szCs w:val="20"/>
                <w:lang w:eastAsia="en-GB"/>
              </w:rPr>
              <w:t> </w:t>
            </w:r>
          </w:p>
        </w:tc>
        <w:tc>
          <w:tcPr>
            <w:tcW w:w="1650" w:type="dxa"/>
            <w:gridSpan w:val="2"/>
            <w:tcBorders>
              <w:bottom w:val="single" w:sz="8" w:space="0" w:color="BFBFBF" w:themeColor="background1" w:themeShade="BF"/>
              <w:right w:val="single" w:sz="4" w:space="0" w:color="D9D9D9" w:themeColor="background1" w:themeShade="D9"/>
            </w:tcBorders>
            <w:shd w:val="clear" w:color="auto" w:fill="auto"/>
            <w:noWrap/>
            <w:vAlign w:val="bottom"/>
            <w:hideMark/>
          </w:tcPr>
          <w:p w:rsidR="00871692" w:rsidRPr="000C3FB5" w:rsidRDefault="00F06A27" w:rsidP="009B4FC7">
            <w:pPr>
              <w:spacing w:line="180" w:lineRule="exact"/>
              <w:jc w:val="center"/>
              <w:rPr>
                <w:rStyle w:val="Bold"/>
                <w:rFonts w:ascii="Calibri" w:hAnsi="Calibri" w:cs="Calibri"/>
                <w:b/>
                <w:color w:val="00305C"/>
                <w:sz w:val="15"/>
                <w:szCs w:val="15"/>
              </w:rPr>
            </w:pPr>
            <w:r w:rsidRPr="000C3FB5">
              <w:rPr>
                <w:rStyle w:val="Bold"/>
                <w:rFonts w:ascii="Calibri" w:hAnsi="Calibri" w:cs="Calibri"/>
                <w:b/>
                <w:color w:val="00305C"/>
                <w:sz w:val="15"/>
                <w:szCs w:val="15"/>
              </w:rPr>
              <w:t xml:space="preserve">West and </w:t>
            </w:r>
            <w:r w:rsidR="00074ED0" w:rsidRPr="000C3FB5">
              <w:rPr>
                <w:rStyle w:val="Bold"/>
                <w:rFonts w:ascii="Calibri" w:hAnsi="Calibri" w:cs="Calibri"/>
                <w:b/>
                <w:color w:val="00305C"/>
                <w:sz w:val="15"/>
                <w:szCs w:val="15"/>
              </w:rPr>
              <w:br/>
            </w:r>
            <w:r w:rsidRPr="000C3FB5">
              <w:rPr>
                <w:rStyle w:val="Bold"/>
                <w:rFonts w:ascii="Calibri" w:hAnsi="Calibri" w:cs="Calibri"/>
                <w:b/>
                <w:color w:val="00305C"/>
                <w:sz w:val="15"/>
                <w:szCs w:val="15"/>
              </w:rPr>
              <w:t>North Africa</w:t>
            </w:r>
          </w:p>
        </w:tc>
        <w:tc>
          <w:tcPr>
            <w:tcW w:w="1660" w:type="dxa"/>
            <w:gridSpan w:val="2"/>
            <w:tcBorders>
              <w:left w:val="single" w:sz="4" w:space="0" w:color="D9D9D9" w:themeColor="background1" w:themeShade="D9"/>
              <w:bottom w:val="single" w:sz="8" w:space="0" w:color="BFBFBF" w:themeColor="background1" w:themeShade="BF"/>
              <w:right w:val="single" w:sz="4" w:space="0" w:color="D9D9D9" w:themeColor="background1" w:themeShade="D9"/>
            </w:tcBorders>
            <w:shd w:val="clear" w:color="auto" w:fill="auto"/>
            <w:noWrap/>
            <w:vAlign w:val="bottom"/>
            <w:hideMark/>
          </w:tcPr>
          <w:p w:rsidR="00871692" w:rsidRPr="000C3FB5" w:rsidRDefault="00F06A27" w:rsidP="002B00BD">
            <w:pPr>
              <w:spacing w:line="180" w:lineRule="exact"/>
              <w:jc w:val="center"/>
              <w:rPr>
                <w:rStyle w:val="Bold"/>
                <w:rFonts w:ascii="Calibri" w:hAnsi="Calibri" w:cs="Calibri"/>
                <w:b/>
                <w:color w:val="00305C"/>
                <w:sz w:val="15"/>
                <w:szCs w:val="15"/>
              </w:rPr>
            </w:pPr>
            <w:r w:rsidRPr="000C3FB5">
              <w:rPr>
                <w:rStyle w:val="Bold"/>
                <w:rFonts w:ascii="Calibri" w:hAnsi="Calibri" w:cs="Calibri"/>
                <w:b/>
                <w:color w:val="00305C"/>
                <w:sz w:val="15"/>
                <w:szCs w:val="15"/>
              </w:rPr>
              <w:t xml:space="preserve">South </w:t>
            </w:r>
            <w:r w:rsidR="002B00BD">
              <w:rPr>
                <w:rStyle w:val="Bold"/>
                <w:rFonts w:ascii="Calibri" w:hAnsi="Calibri" w:cs="Calibri"/>
                <w:b/>
                <w:color w:val="00305C"/>
                <w:sz w:val="15"/>
                <w:szCs w:val="15"/>
              </w:rPr>
              <w:t>and</w:t>
            </w:r>
            <w:r w:rsidRPr="000C3FB5">
              <w:rPr>
                <w:rStyle w:val="Bold"/>
                <w:rFonts w:ascii="Calibri" w:hAnsi="Calibri" w:cs="Calibri"/>
                <w:b/>
                <w:color w:val="00305C"/>
                <w:sz w:val="15"/>
                <w:szCs w:val="15"/>
              </w:rPr>
              <w:t xml:space="preserve"> </w:t>
            </w:r>
            <w:r w:rsidR="00074ED0" w:rsidRPr="000C3FB5">
              <w:rPr>
                <w:rStyle w:val="Bold"/>
                <w:rFonts w:ascii="Calibri" w:hAnsi="Calibri" w:cs="Calibri"/>
                <w:b/>
                <w:color w:val="00305C"/>
                <w:sz w:val="15"/>
                <w:szCs w:val="15"/>
              </w:rPr>
              <w:br/>
            </w:r>
            <w:r w:rsidRPr="000C3FB5">
              <w:rPr>
                <w:rStyle w:val="Bold"/>
                <w:rFonts w:ascii="Calibri" w:hAnsi="Calibri" w:cs="Calibri"/>
                <w:b/>
                <w:color w:val="00305C"/>
                <w:sz w:val="15"/>
                <w:szCs w:val="15"/>
              </w:rPr>
              <w:t>East Africa</w:t>
            </w:r>
          </w:p>
        </w:tc>
        <w:tc>
          <w:tcPr>
            <w:tcW w:w="1551" w:type="dxa"/>
            <w:gridSpan w:val="2"/>
            <w:tcBorders>
              <w:left w:val="single" w:sz="4" w:space="0" w:color="D9D9D9" w:themeColor="background1" w:themeShade="D9"/>
              <w:bottom w:val="single" w:sz="8" w:space="0" w:color="BFBFBF" w:themeColor="background1" w:themeShade="BF"/>
              <w:right w:val="single" w:sz="4" w:space="0" w:color="D9D9D9" w:themeColor="background1" w:themeShade="D9"/>
            </w:tcBorders>
            <w:shd w:val="clear" w:color="auto" w:fill="auto"/>
            <w:noWrap/>
            <w:vAlign w:val="bottom"/>
            <w:hideMark/>
          </w:tcPr>
          <w:p w:rsidR="00871692" w:rsidRPr="000C3FB5" w:rsidRDefault="00F06A27" w:rsidP="002B00BD">
            <w:pPr>
              <w:spacing w:line="180" w:lineRule="exact"/>
              <w:jc w:val="center"/>
              <w:rPr>
                <w:rStyle w:val="Bold"/>
                <w:rFonts w:ascii="Calibri" w:hAnsi="Calibri" w:cs="Calibri"/>
                <w:b/>
                <w:color w:val="00305C"/>
                <w:sz w:val="15"/>
                <w:szCs w:val="15"/>
              </w:rPr>
            </w:pPr>
            <w:r w:rsidRPr="000C3FB5">
              <w:rPr>
                <w:rStyle w:val="Bold"/>
                <w:rFonts w:ascii="Calibri" w:hAnsi="Calibri" w:cs="Calibri"/>
                <w:b/>
                <w:color w:val="00305C"/>
                <w:sz w:val="15"/>
                <w:szCs w:val="15"/>
              </w:rPr>
              <w:t xml:space="preserve">Europe, South America </w:t>
            </w:r>
            <w:r w:rsidR="002B00BD">
              <w:rPr>
                <w:rStyle w:val="Bold"/>
                <w:rFonts w:ascii="Calibri" w:hAnsi="Calibri" w:cs="Calibri"/>
                <w:b/>
                <w:color w:val="00305C"/>
                <w:sz w:val="15"/>
                <w:szCs w:val="15"/>
              </w:rPr>
              <w:t>and</w:t>
            </w:r>
            <w:r w:rsidRPr="000C3FB5">
              <w:rPr>
                <w:rStyle w:val="Bold"/>
                <w:rFonts w:ascii="Calibri" w:hAnsi="Calibri" w:cs="Calibri"/>
                <w:b/>
                <w:color w:val="00305C"/>
                <w:sz w:val="15"/>
                <w:szCs w:val="15"/>
              </w:rPr>
              <w:t xml:space="preserve"> Asia</w:t>
            </w:r>
          </w:p>
        </w:tc>
        <w:tc>
          <w:tcPr>
            <w:tcW w:w="2635" w:type="dxa"/>
            <w:gridSpan w:val="3"/>
            <w:tcBorders>
              <w:left w:val="single" w:sz="4" w:space="0" w:color="D9D9D9" w:themeColor="background1" w:themeShade="D9"/>
              <w:bottom w:val="single" w:sz="8" w:space="0" w:color="BFBFBF" w:themeColor="background1" w:themeShade="BF"/>
            </w:tcBorders>
            <w:shd w:val="clear" w:color="auto" w:fill="auto"/>
            <w:noWrap/>
            <w:vAlign w:val="bottom"/>
            <w:hideMark/>
          </w:tcPr>
          <w:p w:rsidR="00871692" w:rsidRPr="000C3FB5" w:rsidRDefault="00871692" w:rsidP="009B4FC7">
            <w:pPr>
              <w:spacing w:line="180" w:lineRule="exact"/>
              <w:jc w:val="center"/>
              <w:rPr>
                <w:rStyle w:val="Bold"/>
                <w:rFonts w:ascii="Calibri" w:hAnsi="Calibri" w:cs="Calibri"/>
                <w:b/>
                <w:color w:val="00305C"/>
                <w:sz w:val="15"/>
                <w:szCs w:val="15"/>
              </w:rPr>
            </w:pPr>
            <w:r w:rsidRPr="000C3FB5">
              <w:rPr>
                <w:rStyle w:val="Bold"/>
                <w:rFonts w:ascii="Calibri" w:hAnsi="Calibri" w:cs="Calibri"/>
                <w:b/>
                <w:color w:val="00305C"/>
                <w:sz w:val="15"/>
                <w:szCs w:val="15"/>
              </w:rPr>
              <w:t>TOTAL</w:t>
            </w:r>
          </w:p>
        </w:tc>
      </w:tr>
      <w:tr w:rsidR="0005571B" w:rsidRPr="00113846" w:rsidTr="00772C45">
        <w:trPr>
          <w:trHeight w:val="227"/>
        </w:trPr>
        <w:tc>
          <w:tcPr>
            <w:tcW w:w="2110" w:type="dxa"/>
            <w:tcBorders>
              <w:bottom w:val="single" w:sz="8" w:space="0" w:color="C0C0C0"/>
            </w:tcBorders>
            <w:shd w:val="clear" w:color="auto" w:fill="auto"/>
            <w:noWrap/>
            <w:vAlign w:val="bottom"/>
            <w:hideMark/>
          </w:tcPr>
          <w:p w:rsidR="0005571B" w:rsidRPr="00113846" w:rsidRDefault="0005571B" w:rsidP="0005571B">
            <w:pPr>
              <w:pStyle w:val="Tabletext0"/>
              <w:ind w:right="85"/>
              <w:jc w:val="center"/>
              <w:rPr>
                <w:rFonts w:ascii="Calibri" w:hAnsi="Calibri" w:cs="Calibri"/>
                <w:color w:val="002B45"/>
              </w:rPr>
            </w:pPr>
            <w:r w:rsidRPr="00113846">
              <w:rPr>
                <w:rFonts w:ascii="Calibri" w:hAnsi="Calibri" w:cs="Calibri"/>
                <w:color w:val="002B45"/>
              </w:rPr>
              <w:t>  </w:t>
            </w:r>
          </w:p>
        </w:tc>
        <w:tc>
          <w:tcPr>
            <w:tcW w:w="802" w:type="dxa"/>
            <w:tcBorders>
              <w:top w:val="single" w:sz="8" w:space="0" w:color="BFBFBF" w:themeColor="background1" w:themeShade="BF"/>
              <w:bottom w:val="single" w:sz="8" w:space="0" w:color="C0C0C0"/>
            </w:tcBorders>
            <w:shd w:val="clear" w:color="auto" w:fill="auto"/>
            <w:noWrap/>
            <w:vAlign w:val="bottom"/>
            <w:hideMark/>
          </w:tcPr>
          <w:p w:rsidR="0005571B" w:rsidRPr="000C3FB5" w:rsidRDefault="0005571B" w:rsidP="0005571B">
            <w:pPr>
              <w:spacing w:line="180" w:lineRule="exact"/>
              <w:ind w:right="-9"/>
              <w:jc w:val="right"/>
              <w:rPr>
                <w:rStyle w:val="Bold"/>
                <w:rFonts w:ascii="Calibri" w:hAnsi="Calibri" w:cs="Calibri"/>
                <w:color w:val="00305C"/>
                <w:sz w:val="15"/>
                <w:szCs w:val="15"/>
              </w:rPr>
            </w:pPr>
            <w:r w:rsidRPr="000C3FB5">
              <w:rPr>
                <w:rStyle w:val="Bold"/>
                <w:rFonts w:ascii="Calibri" w:hAnsi="Calibri" w:cs="Calibri"/>
                <w:color w:val="00305C"/>
                <w:sz w:val="15"/>
                <w:szCs w:val="15"/>
              </w:rPr>
              <w:t>Oil</w:t>
            </w:r>
          </w:p>
          <w:p w:rsidR="0005571B" w:rsidRPr="000C3FB5" w:rsidRDefault="0005571B" w:rsidP="0005571B">
            <w:pPr>
              <w:spacing w:line="180" w:lineRule="exact"/>
              <w:ind w:right="-9"/>
              <w:jc w:val="right"/>
              <w:rPr>
                <w:rStyle w:val="Bold"/>
                <w:rFonts w:ascii="Calibri" w:hAnsi="Calibri" w:cs="Calibri"/>
                <w:color w:val="00305C"/>
                <w:sz w:val="15"/>
                <w:szCs w:val="15"/>
              </w:rPr>
            </w:pPr>
            <w:r w:rsidRPr="000C3FB5">
              <w:rPr>
                <w:rStyle w:val="Bold"/>
                <w:rFonts w:ascii="Calibri" w:hAnsi="Calibri" w:cs="Calibri"/>
                <w:color w:val="00305C"/>
                <w:sz w:val="15"/>
                <w:szCs w:val="15"/>
              </w:rPr>
              <w:t>mmbbl</w:t>
            </w:r>
          </w:p>
        </w:tc>
        <w:tc>
          <w:tcPr>
            <w:tcW w:w="848" w:type="dxa"/>
            <w:tcBorders>
              <w:top w:val="single" w:sz="8" w:space="0" w:color="BFBFBF" w:themeColor="background1" w:themeShade="BF"/>
              <w:bottom w:val="single" w:sz="8" w:space="0" w:color="C0C0C0"/>
              <w:right w:val="single" w:sz="4" w:space="0" w:color="D9D9D9" w:themeColor="background1" w:themeShade="D9"/>
            </w:tcBorders>
            <w:shd w:val="clear" w:color="auto" w:fill="auto"/>
            <w:noWrap/>
            <w:vAlign w:val="bottom"/>
            <w:hideMark/>
          </w:tcPr>
          <w:p w:rsidR="0005571B" w:rsidRPr="000C3FB5" w:rsidRDefault="0005571B" w:rsidP="0005571B">
            <w:pPr>
              <w:spacing w:line="180" w:lineRule="exact"/>
              <w:ind w:right="-9"/>
              <w:jc w:val="right"/>
              <w:rPr>
                <w:rStyle w:val="Bold"/>
                <w:rFonts w:ascii="Calibri" w:hAnsi="Calibri" w:cs="Calibri"/>
                <w:color w:val="00305C"/>
                <w:sz w:val="15"/>
                <w:szCs w:val="15"/>
              </w:rPr>
            </w:pPr>
            <w:r w:rsidRPr="000C3FB5">
              <w:rPr>
                <w:rStyle w:val="Bold"/>
                <w:rFonts w:ascii="Calibri" w:hAnsi="Calibri" w:cs="Calibri"/>
                <w:color w:val="00305C"/>
                <w:sz w:val="15"/>
                <w:szCs w:val="15"/>
              </w:rPr>
              <w:t>Gas</w:t>
            </w:r>
          </w:p>
          <w:p w:rsidR="0005571B" w:rsidRPr="000C3FB5" w:rsidRDefault="0005571B" w:rsidP="0005571B">
            <w:pPr>
              <w:spacing w:line="180" w:lineRule="exact"/>
              <w:ind w:right="-9"/>
              <w:jc w:val="right"/>
              <w:rPr>
                <w:rStyle w:val="Bold"/>
                <w:rFonts w:ascii="Calibri" w:hAnsi="Calibri" w:cs="Calibri"/>
                <w:color w:val="00305C"/>
                <w:sz w:val="15"/>
                <w:szCs w:val="15"/>
              </w:rPr>
            </w:pPr>
            <w:r w:rsidRPr="000C3FB5">
              <w:rPr>
                <w:rStyle w:val="Bold"/>
                <w:rFonts w:ascii="Calibri" w:hAnsi="Calibri" w:cs="Calibri"/>
                <w:color w:val="00305C"/>
                <w:sz w:val="15"/>
                <w:szCs w:val="15"/>
              </w:rPr>
              <w:t>bcf</w:t>
            </w:r>
          </w:p>
        </w:tc>
        <w:tc>
          <w:tcPr>
            <w:tcW w:w="816" w:type="dxa"/>
            <w:tcBorders>
              <w:top w:val="single" w:sz="8" w:space="0" w:color="BFBFBF" w:themeColor="background1" w:themeShade="BF"/>
              <w:left w:val="single" w:sz="4" w:space="0" w:color="D9D9D9" w:themeColor="background1" w:themeShade="D9"/>
              <w:bottom w:val="single" w:sz="8" w:space="0" w:color="C0C0C0"/>
            </w:tcBorders>
            <w:shd w:val="clear" w:color="auto" w:fill="auto"/>
            <w:noWrap/>
            <w:vAlign w:val="bottom"/>
            <w:hideMark/>
          </w:tcPr>
          <w:p w:rsidR="0005571B" w:rsidRPr="000C3FB5" w:rsidRDefault="0005571B" w:rsidP="0005571B">
            <w:pPr>
              <w:spacing w:line="180" w:lineRule="exact"/>
              <w:ind w:right="-9"/>
              <w:jc w:val="right"/>
              <w:rPr>
                <w:rStyle w:val="Bold"/>
                <w:rFonts w:ascii="Calibri" w:hAnsi="Calibri" w:cs="Calibri"/>
                <w:color w:val="00305C"/>
                <w:sz w:val="15"/>
                <w:szCs w:val="15"/>
              </w:rPr>
            </w:pPr>
            <w:r w:rsidRPr="000C3FB5">
              <w:rPr>
                <w:rStyle w:val="Bold"/>
                <w:rFonts w:ascii="Calibri" w:hAnsi="Calibri" w:cs="Calibri"/>
                <w:color w:val="00305C"/>
                <w:sz w:val="15"/>
                <w:szCs w:val="15"/>
              </w:rPr>
              <w:t>Oil</w:t>
            </w:r>
          </w:p>
          <w:p w:rsidR="0005571B" w:rsidRPr="000C3FB5" w:rsidRDefault="0005571B" w:rsidP="0005571B">
            <w:pPr>
              <w:spacing w:line="180" w:lineRule="exact"/>
              <w:ind w:right="-9"/>
              <w:jc w:val="right"/>
              <w:rPr>
                <w:rStyle w:val="Bold"/>
                <w:rFonts w:ascii="Calibri" w:hAnsi="Calibri" w:cs="Calibri"/>
                <w:color w:val="00305C"/>
                <w:sz w:val="15"/>
                <w:szCs w:val="15"/>
              </w:rPr>
            </w:pPr>
            <w:r w:rsidRPr="000C3FB5">
              <w:rPr>
                <w:rStyle w:val="Bold"/>
                <w:rFonts w:ascii="Calibri" w:hAnsi="Calibri" w:cs="Calibri"/>
                <w:color w:val="00305C"/>
                <w:sz w:val="15"/>
                <w:szCs w:val="15"/>
              </w:rPr>
              <w:t>mmbbl</w:t>
            </w:r>
          </w:p>
        </w:tc>
        <w:tc>
          <w:tcPr>
            <w:tcW w:w="844" w:type="dxa"/>
            <w:tcBorders>
              <w:top w:val="single" w:sz="8" w:space="0" w:color="BFBFBF" w:themeColor="background1" w:themeShade="BF"/>
              <w:bottom w:val="single" w:sz="8" w:space="0" w:color="C0C0C0"/>
              <w:right w:val="single" w:sz="4" w:space="0" w:color="D9D9D9" w:themeColor="background1" w:themeShade="D9"/>
            </w:tcBorders>
            <w:shd w:val="clear" w:color="auto" w:fill="auto"/>
            <w:noWrap/>
            <w:vAlign w:val="bottom"/>
            <w:hideMark/>
          </w:tcPr>
          <w:p w:rsidR="0005571B" w:rsidRPr="000C3FB5" w:rsidRDefault="0005571B" w:rsidP="0005571B">
            <w:pPr>
              <w:spacing w:line="180" w:lineRule="exact"/>
              <w:ind w:right="-9"/>
              <w:jc w:val="right"/>
              <w:rPr>
                <w:rStyle w:val="Bold"/>
                <w:rFonts w:ascii="Calibri" w:hAnsi="Calibri" w:cs="Calibri"/>
                <w:color w:val="00305C"/>
                <w:sz w:val="15"/>
                <w:szCs w:val="15"/>
              </w:rPr>
            </w:pPr>
            <w:r w:rsidRPr="000C3FB5">
              <w:rPr>
                <w:rStyle w:val="Bold"/>
                <w:rFonts w:ascii="Calibri" w:hAnsi="Calibri" w:cs="Calibri"/>
                <w:color w:val="00305C"/>
                <w:sz w:val="15"/>
                <w:szCs w:val="15"/>
              </w:rPr>
              <w:t>Gas</w:t>
            </w:r>
          </w:p>
          <w:p w:rsidR="0005571B" w:rsidRPr="000C3FB5" w:rsidRDefault="0005571B" w:rsidP="0005571B">
            <w:pPr>
              <w:spacing w:line="180" w:lineRule="exact"/>
              <w:ind w:right="-9"/>
              <w:jc w:val="right"/>
              <w:rPr>
                <w:rStyle w:val="Bold"/>
                <w:rFonts w:ascii="Calibri" w:hAnsi="Calibri" w:cs="Calibri"/>
                <w:color w:val="00305C"/>
                <w:sz w:val="15"/>
                <w:szCs w:val="15"/>
              </w:rPr>
            </w:pPr>
            <w:r w:rsidRPr="000C3FB5">
              <w:rPr>
                <w:rStyle w:val="Bold"/>
                <w:rFonts w:ascii="Calibri" w:hAnsi="Calibri" w:cs="Calibri"/>
                <w:color w:val="00305C"/>
                <w:sz w:val="15"/>
                <w:szCs w:val="15"/>
              </w:rPr>
              <w:t>bcf</w:t>
            </w:r>
          </w:p>
        </w:tc>
        <w:tc>
          <w:tcPr>
            <w:tcW w:w="816" w:type="dxa"/>
            <w:tcBorders>
              <w:top w:val="single" w:sz="8" w:space="0" w:color="BFBFBF" w:themeColor="background1" w:themeShade="BF"/>
              <w:left w:val="single" w:sz="4" w:space="0" w:color="D9D9D9" w:themeColor="background1" w:themeShade="D9"/>
              <w:bottom w:val="single" w:sz="8" w:space="0" w:color="C0C0C0"/>
            </w:tcBorders>
            <w:shd w:val="clear" w:color="auto" w:fill="auto"/>
            <w:noWrap/>
            <w:vAlign w:val="bottom"/>
            <w:hideMark/>
          </w:tcPr>
          <w:p w:rsidR="0005571B" w:rsidRPr="000C3FB5" w:rsidRDefault="0005571B" w:rsidP="0005571B">
            <w:pPr>
              <w:spacing w:line="180" w:lineRule="exact"/>
              <w:ind w:right="-9"/>
              <w:jc w:val="right"/>
              <w:rPr>
                <w:rStyle w:val="Bold"/>
                <w:rFonts w:ascii="Calibri" w:hAnsi="Calibri" w:cs="Calibri"/>
                <w:color w:val="00305C"/>
                <w:sz w:val="15"/>
                <w:szCs w:val="15"/>
              </w:rPr>
            </w:pPr>
            <w:r w:rsidRPr="000C3FB5">
              <w:rPr>
                <w:rStyle w:val="Bold"/>
                <w:rFonts w:ascii="Calibri" w:hAnsi="Calibri" w:cs="Calibri"/>
                <w:color w:val="00305C"/>
                <w:sz w:val="15"/>
                <w:szCs w:val="15"/>
              </w:rPr>
              <w:t>Oil</w:t>
            </w:r>
          </w:p>
          <w:p w:rsidR="0005571B" w:rsidRPr="000C3FB5" w:rsidRDefault="0005571B" w:rsidP="0005571B">
            <w:pPr>
              <w:spacing w:line="180" w:lineRule="exact"/>
              <w:ind w:right="-9"/>
              <w:jc w:val="right"/>
              <w:rPr>
                <w:rStyle w:val="Bold"/>
                <w:rFonts w:ascii="Calibri" w:hAnsi="Calibri" w:cs="Calibri"/>
                <w:color w:val="00305C"/>
                <w:sz w:val="15"/>
                <w:szCs w:val="15"/>
              </w:rPr>
            </w:pPr>
            <w:r w:rsidRPr="000C3FB5">
              <w:rPr>
                <w:rStyle w:val="Bold"/>
                <w:rFonts w:ascii="Calibri" w:hAnsi="Calibri" w:cs="Calibri"/>
                <w:color w:val="00305C"/>
                <w:sz w:val="15"/>
                <w:szCs w:val="15"/>
              </w:rPr>
              <w:t>mmbbl</w:t>
            </w:r>
          </w:p>
        </w:tc>
        <w:tc>
          <w:tcPr>
            <w:tcW w:w="735" w:type="dxa"/>
            <w:tcBorders>
              <w:top w:val="single" w:sz="8" w:space="0" w:color="BFBFBF" w:themeColor="background1" w:themeShade="BF"/>
              <w:bottom w:val="single" w:sz="8" w:space="0" w:color="C0C0C0"/>
              <w:right w:val="single" w:sz="4" w:space="0" w:color="D9D9D9" w:themeColor="background1" w:themeShade="D9"/>
            </w:tcBorders>
            <w:shd w:val="clear" w:color="auto" w:fill="auto"/>
            <w:noWrap/>
            <w:vAlign w:val="bottom"/>
            <w:hideMark/>
          </w:tcPr>
          <w:p w:rsidR="0005571B" w:rsidRPr="000C3FB5" w:rsidRDefault="0005571B" w:rsidP="0005571B">
            <w:pPr>
              <w:spacing w:line="180" w:lineRule="exact"/>
              <w:ind w:right="-9"/>
              <w:jc w:val="right"/>
              <w:rPr>
                <w:rStyle w:val="Bold"/>
                <w:rFonts w:ascii="Calibri" w:hAnsi="Calibri" w:cs="Calibri"/>
                <w:color w:val="00305C"/>
                <w:sz w:val="15"/>
                <w:szCs w:val="15"/>
              </w:rPr>
            </w:pPr>
            <w:r w:rsidRPr="000C3FB5">
              <w:rPr>
                <w:rStyle w:val="Bold"/>
                <w:rFonts w:ascii="Calibri" w:hAnsi="Calibri" w:cs="Calibri"/>
                <w:color w:val="00305C"/>
                <w:sz w:val="15"/>
                <w:szCs w:val="15"/>
              </w:rPr>
              <w:t>Gas</w:t>
            </w:r>
          </w:p>
          <w:p w:rsidR="0005571B" w:rsidRPr="000C3FB5" w:rsidRDefault="0005571B" w:rsidP="0005571B">
            <w:pPr>
              <w:spacing w:line="180" w:lineRule="exact"/>
              <w:ind w:right="-9"/>
              <w:jc w:val="right"/>
              <w:rPr>
                <w:rStyle w:val="Bold"/>
                <w:rFonts w:ascii="Calibri" w:hAnsi="Calibri" w:cs="Calibri"/>
                <w:color w:val="00305C"/>
                <w:sz w:val="15"/>
                <w:szCs w:val="15"/>
              </w:rPr>
            </w:pPr>
            <w:r w:rsidRPr="000C3FB5">
              <w:rPr>
                <w:rStyle w:val="Bold"/>
                <w:rFonts w:ascii="Calibri" w:hAnsi="Calibri" w:cs="Calibri"/>
                <w:color w:val="00305C"/>
                <w:sz w:val="15"/>
                <w:szCs w:val="15"/>
              </w:rPr>
              <w:t>bcf</w:t>
            </w:r>
          </w:p>
        </w:tc>
        <w:tc>
          <w:tcPr>
            <w:tcW w:w="893" w:type="dxa"/>
            <w:tcBorders>
              <w:left w:val="single" w:sz="4" w:space="0" w:color="D9D9D9" w:themeColor="background1" w:themeShade="D9"/>
              <w:bottom w:val="single" w:sz="8" w:space="0" w:color="C0C0C0"/>
            </w:tcBorders>
            <w:shd w:val="clear" w:color="auto" w:fill="auto"/>
            <w:noWrap/>
            <w:vAlign w:val="bottom"/>
            <w:hideMark/>
          </w:tcPr>
          <w:p w:rsidR="0005571B" w:rsidRPr="000C3FB5" w:rsidRDefault="0005571B" w:rsidP="0005571B">
            <w:pPr>
              <w:spacing w:line="180" w:lineRule="exact"/>
              <w:ind w:right="-9"/>
              <w:jc w:val="right"/>
              <w:rPr>
                <w:rStyle w:val="Bold"/>
                <w:rFonts w:ascii="Calibri" w:hAnsi="Calibri" w:cs="Calibri"/>
                <w:color w:val="00305C"/>
                <w:sz w:val="15"/>
                <w:szCs w:val="15"/>
              </w:rPr>
            </w:pPr>
            <w:r w:rsidRPr="000C3FB5">
              <w:rPr>
                <w:rStyle w:val="Bold"/>
                <w:rFonts w:ascii="Calibri" w:hAnsi="Calibri" w:cs="Calibri"/>
                <w:color w:val="00305C"/>
                <w:sz w:val="15"/>
                <w:szCs w:val="15"/>
              </w:rPr>
              <w:t>Oil</w:t>
            </w:r>
          </w:p>
          <w:p w:rsidR="0005571B" w:rsidRPr="000C3FB5" w:rsidRDefault="0005571B" w:rsidP="0005571B">
            <w:pPr>
              <w:spacing w:line="180" w:lineRule="exact"/>
              <w:ind w:right="-9"/>
              <w:jc w:val="right"/>
              <w:rPr>
                <w:rStyle w:val="Bold"/>
                <w:rFonts w:ascii="Calibri" w:hAnsi="Calibri" w:cs="Calibri"/>
                <w:color w:val="00305C"/>
                <w:sz w:val="15"/>
                <w:szCs w:val="15"/>
              </w:rPr>
            </w:pPr>
            <w:r w:rsidRPr="000C3FB5">
              <w:rPr>
                <w:rStyle w:val="Bold"/>
                <w:rFonts w:ascii="Calibri" w:hAnsi="Calibri" w:cs="Calibri"/>
                <w:color w:val="00305C"/>
                <w:sz w:val="15"/>
                <w:szCs w:val="15"/>
              </w:rPr>
              <w:t>mmbbl</w:t>
            </w:r>
          </w:p>
        </w:tc>
        <w:tc>
          <w:tcPr>
            <w:tcW w:w="893" w:type="dxa"/>
            <w:tcBorders>
              <w:bottom w:val="single" w:sz="8" w:space="0" w:color="C0C0C0"/>
            </w:tcBorders>
            <w:shd w:val="clear" w:color="auto" w:fill="auto"/>
            <w:noWrap/>
            <w:vAlign w:val="bottom"/>
            <w:hideMark/>
          </w:tcPr>
          <w:p w:rsidR="0005571B" w:rsidRPr="000C3FB5" w:rsidRDefault="0005571B" w:rsidP="0005571B">
            <w:pPr>
              <w:spacing w:line="180" w:lineRule="exact"/>
              <w:ind w:right="-9"/>
              <w:jc w:val="right"/>
              <w:rPr>
                <w:rStyle w:val="Bold"/>
                <w:rFonts w:ascii="Calibri" w:hAnsi="Calibri" w:cs="Calibri"/>
                <w:color w:val="00305C"/>
                <w:sz w:val="15"/>
                <w:szCs w:val="15"/>
              </w:rPr>
            </w:pPr>
            <w:r w:rsidRPr="000C3FB5">
              <w:rPr>
                <w:rStyle w:val="Bold"/>
                <w:rFonts w:ascii="Calibri" w:hAnsi="Calibri" w:cs="Calibri"/>
                <w:color w:val="00305C"/>
                <w:sz w:val="15"/>
                <w:szCs w:val="15"/>
              </w:rPr>
              <w:t>Gas</w:t>
            </w:r>
          </w:p>
          <w:p w:rsidR="0005571B" w:rsidRPr="000C3FB5" w:rsidRDefault="0005571B" w:rsidP="0005571B">
            <w:pPr>
              <w:spacing w:line="180" w:lineRule="exact"/>
              <w:ind w:right="-9"/>
              <w:jc w:val="right"/>
              <w:rPr>
                <w:rStyle w:val="Bold"/>
                <w:rFonts w:ascii="Calibri" w:hAnsi="Calibri" w:cs="Calibri"/>
                <w:color w:val="00305C"/>
                <w:sz w:val="15"/>
                <w:szCs w:val="15"/>
              </w:rPr>
            </w:pPr>
            <w:r w:rsidRPr="000C3FB5">
              <w:rPr>
                <w:rStyle w:val="Bold"/>
                <w:rFonts w:ascii="Calibri" w:hAnsi="Calibri" w:cs="Calibri"/>
                <w:color w:val="00305C"/>
                <w:sz w:val="15"/>
                <w:szCs w:val="15"/>
              </w:rPr>
              <w:t>bcf</w:t>
            </w:r>
          </w:p>
        </w:tc>
        <w:tc>
          <w:tcPr>
            <w:tcW w:w="849" w:type="dxa"/>
            <w:tcBorders>
              <w:bottom w:val="single" w:sz="8" w:space="0" w:color="C0C0C0"/>
            </w:tcBorders>
            <w:shd w:val="clear" w:color="auto" w:fill="auto"/>
            <w:noWrap/>
            <w:vAlign w:val="bottom"/>
            <w:hideMark/>
          </w:tcPr>
          <w:p w:rsidR="0005571B" w:rsidRPr="000C3FB5" w:rsidRDefault="0005571B" w:rsidP="0005571B">
            <w:pPr>
              <w:spacing w:line="180" w:lineRule="exact"/>
              <w:ind w:right="-9"/>
              <w:jc w:val="right"/>
              <w:rPr>
                <w:rStyle w:val="Bold"/>
                <w:rFonts w:ascii="Calibri" w:hAnsi="Calibri" w:cs="Calibri"/>
                <w:color w:val="00305C"/>
                <w:sz w:val="15"/>
                <w:szCs w:val="15"/>
              </w:rPr>
            </w:pPr>
            <w:r w:rsidRPr="000C3FB5">
              <w:rPr>
                <w:rStyle w:val="Bold"/>
                <w:rFonts w:ascii="Calibri" w:hAnsi="Calibri" w:cs="Calibri"/>
                <w:color w:val="00305C"/>
                <w:sz w:val="15"/>
                <w:szCs w:val="15"/>
              </w:rPr>
              <w:t>Petroleum</w:t>
            </w:r>
          </w:p>
          <w:p w:rsidR="0005571B" w:rsidRPr="000C3FB5" w:rsidRDefault="0005571B" w:rsidP="0005571B">
            <w:pPr>
              <w:spacing w:line="180" w:lineRule="exact"/>
              <w:ind w:right="-9"/>
              <w:jc w:val="right"/>
              <w:rPr>
                <w:rStyle w:val="Bold"/>
                <w:rFonts w:ascii="Calibri" w:hAnsi="Calibri" w:cs="Calibri"/>
                <w:color w:val="00305C"/>
                <w:sz w:val="15"/>
                <w:szCs w:val="15"/>
              </w:rPr>
            </w:pPr>
            <w:r w:rsidRPr="000C3FB5">
              <w:rPr>
                <w:rStyle w:val="Bold"/>
                <w:rFonts w:ascii="Calibri" w:hAnsi="Calibri" w:cs="Calibri"/>
                <w:color w:val="00305C"/>
                <w:sz w:val="15"/>
                <w:szCs w:val="15"/>
              </w:rPr>
              <w:t>mmboe</w:t>
            </w:r>
          </w:p>
        </w:tc>
      </w:tr>
      <w:tr w:rsidR="00772C45" w:rsidRPr="00543C84" w:rsidTr="00772C45">
        <w:trPr>
          <w:trHeight w:val="389"/>
        </w:trPr>
        <w:tc>
          <w:tcPr>
            <w:tcW w:w="3760" w:type="dxa"/>
            <w:gridSpan w:val="3"/>
            <w:tcBorders>
              <w:top w:val="single" w:sz="8" w:space="0" w:color="C0C0C0"/>
              <w:bottom w:val="single" w:sz="8" w:space="0" w:color="C0C0C0"/>
              <w:right w:val="single" w:sz="4" w:space="0" w:color="D9D9D9" w:themeColor="background1" w:themeShade="D9"/>
            </w:tcBorders>
            <w:shd w:val="clear" w:color="auto" w:fill="auto"/>
            <w:noWrap/>
            <w:vAlign w:val="center"/>
            <w:hideMark/>
          </w:tcPr>
          <w:p w:rsidR="00772C45" w:rsidRPr="000C3FB5" w:rsidRDefault="00772C45" w:rsidP="00772C45">
            <w:pPr>
              <w:pStyle w:val="Tabletext0"/>
              <w:ind w:right="85"/>
              <w:rPr>
                <w:rFonts w:ascii="Calibri" w:hAnsi="Calibri" w:cs="Calibri"/>
                <w:color w:val="00305C"/>
                <w:sz w:val="18"/>
                <w:szCs w:val="18"/>
              </w:rPr>
            </w:pPr>
            <w:r w:rsidRPr="00141A54">
              <w:rPr>
                <w:rFonts w:ascii="Calibri" w:hAnsi="Calibri" w:cs="Calibri"/>
                <w:b/>
                <w:color w:val="002B45"/>
              </w:rPr>
              <w:t>COMMERCIAL RESERVES</w:t>
            </w:r>
          </w:p>
        </w:tc>
        <w:tc>
          <w:tcPr>
            <w:tcW w:w="816" w:type="dxa"/>
            <w:tcBorders>
              <w:top w:val="single" w:sz="8" w:space="0" w:color="C0C0C0"/>
              <w:left w:val="single" w:sz="4" w:space="0" w:color="D9D9D9" w:themeColor="background1" w:themeShade="D9"/>
              <w:bottom w:val="single" w:sz="8" w:space="0" w:color="C0C0C0"/>
            </w:tcBorders>
            <w:shd w:val="clear" w:color="auto" w:fill="auto"/>
            <w:noWrap/>
            <w:vAlign w:val="center"/>
          </w:tcPr>
          <w:p w:rsidR="00772C45" w:rsidRPr="000C3FB5" w:rsidRDefault="00772C45" w:rsidP="00141A54">
            <w:pPr>
              <w:pStyle w:val="Tabletext0"/>
              <w:ind w:right="85"/>
              <w:jc w:val="right"/>
              <w:rPr>
                <w:rFonts w:ascii="Calibri" w:hAnsi="Calibri" w:cs="Calibri"/>
                <w:color w:val="00305C"/>
                <w:sz w:val="18"/>
                <w:szCs w:val="18"/>
              </w:rPr>
            </w:pPr>
          </w:p>
        </w:tc>
        <w:tc>
          <w:tcPr>
            <w:tcW w:w="844" w:type="dxa"/>
            <w:tcBorders>
              <w:top w:val="single" w:sz="8" w:space="0" w:color="C0C0C0"/>
              <w:bottom w:val="single" w:sz="8" w:space="0" w:color="C0C0C0"/>
              <w:right w:val="single" w:sz="4" w:space="0" w:color="D9D9D9" w:themeColor="background1" w:themeShade="D9"/>
            </w:tcBorders>
            <w:shd w:val="clear" w:color="auto" w:fill="auto"/>
            <w:noWrap/>
            <w:vAlign w:val="center"/>
          </w:tcPr>
          <w:p w:rsidR="00772C45" w:rsidRPr="000C3FB5" w:rsidRDefault="00772C45" w:rsidP="00141A54">
            <w:pPr>
              <w:pStyle w:val="Tabletext0"/>
              <w:ind w:right="85"/>
              <w:jc w:val="right"/>
              <w:rPr>
                <w:rFonts w:ascii="Calibri" w:hAnsi="Calibri" w:cs="Calibri"/>
                <w:color w:val="00305C"/>
                <w:sz w:val="18"/>
                <w:szCs w:val="18"/>
              </w:rPr>
            </w:pPr>
          </w:p>
        </w:tc>
        <w:tc>
          <w:tcPr>
            <w:tcW w:w="816" w:type="dxa"/>
            <w:tcBorders>
              <w:top w:val="single" w:sz="8" w:space="0" w:color="C0C0C0"/>
              <w:left w:val="single" w:sz="4" w:space="0" w:color="D9D9D9" w:themeColor="background1" w:themeShade="D9"/>
              <w:bottom w:val="single" w:sz="8" w:space="0" w:color="C0C0C0"/>
            </w:tcBorders>
            <w:shd w:val="clear" w:color="auto" w:fill="auto"/>
            <w:noWrap/>
            <w:vAlign w:val="center"/>
          </w:tcPr>
          <w:p w:rsidR="00772C45" w:rsidRPr="000C3FB5" w:rsidRDefault="00772C45" w:rsidP="00141A54">
            <w:pPr>
              <w:pStyle w:val="Tabletext0"/>
              <w:ind w:right="85"/>
              <w:jc w:val="right"/>
              <w:rPr>
                <w:rFonts w:ascii="Calibri" w:hAnsi="Calibri" w:cs="Calibri"/>
                <w:color w:val="00305C"/>
                <w:sz w:val="18"/>
                <w:szCs w:val="18"/>
              </w:rPr>
            </w:pPr>
          </w:p>
        </w:tc>
        <w:tc>
          <w:tcPr>
            <w:tcW w:w="735" w:type="dxa"/>
            <w:tcBorders>
              <w:top w:val="single" w:sz="8" w:space="0" w:color="C0C0C0"/>
              <w:bottom w:val="single" w:sz="8" w:space="0" w:color="C0C0C0"/>
              <w:right w:val="single" w:sz="4" w:space="0" w:color="D9D9D9" w:themeColor="background1" w:themeShade="D9"/>
            </w:tcBorders>
            <w:shd w:val="clear" w:color="auto" w:fill="auto"/>
            <w:noWrap/>
            <w:vAlign w:val="center"/>
          </w:tcPr>
          <w:p w:rsidR="00772C45" w:rsidRPr="000C3FB5" w:rsidRDefault="00772C45" w:rsidP="00141A54">
            <w:pPr>
              <w:pStyle w:val="Tabletext0"/>
              <w:ind w:right="85"/>
              <w:jc w:val="right"/>
              <w:rPr>
                <w:rFonts w:ascii="Calibri" w:hAnsi="Calibri" w:cs="Calibri"/>
                <w:color w:val="00305C"/>
                <w:sz w:val="18"/>
                <w:szCs w:val="18"/>
              </w:rPr>
            </w:pPr>
          </w:p>
        </w:tc>
        <w:tc>
          <w:tcPr>
            <w:tcW w:w="893" w:type="dxa"/>
            <w:tcBorders>
              <w:top w:val="single" w:sz="8" w:space="0" w:color="C0C0C0"/>
              <w:left w:val="single" w:sz="4" w:space="0" w:color="D9D9D9" w:themeColor="background1" w:themeShade="D9"/>
              <w:bottom w:val="single" w:sz="8" w:space="0" w:color="C0C0C0"/>
            </w:tcBorders>
            <w:shd w:val="clear" w:color="auto" w:fill="auto"/>
            <w:noWrap/>
            <w:vAlign w:val="center"/>
          </w:tcPr>
          <w:p w:rsidR="00772C45" w:rsidRPr="000C3FB5" w:rsidRDefault="00772C45" w:rsidP="00141A54">
            <w:pPr>
              <w:pStyle w:val="Tabletext0"/>
              <w:ind w:right="85"/>
              <w:jc w:val="right"/>
              <w:rPr>
                <w:rFonts w:ascii="Calibri" w:hAnsi="Calibri" w:cs="Calibri"/>
                <w:color w:val="00305C"/>
                <w:sz w:val="18"/>
                <w:szCs w:val="18"/>
              </w:rPr>
            </w:pPr>
          </w:p>
        </w:tc>
        <w:tc>
          <w:tcPr>
            <w:tcW w:w="893" w:type="dxa"/>
            <w:tcBorders>
              <w:top w:val="single" w:sz="8" w:space="0" w:color="C0C0C0"/>
              <w:bottom w:val="single" w:sz="8" w:space="0" w:color="C0C0C0"/>
            </w:tcBorders>
            <w:shd w:val="clear" w:color="auto" w:fill="auto"/>
            <w:noWrap/>
            <w:vAlign w:val="center"/>
          </w:tcPr>
          <w:p w:rsidR="00772C45" w:rsidRPr="000C3FB5" w:rsidRDefault="00772C45" w:rsidP="00141A54">
            <w:pPr>
              <w:pStyle w:val="Tabletext0"/>
              <w:ind w:right="85"/>
              <w:jc w:val="right"/>
              <w:rPr>
                <w:rFonts w:ascii="Calibri" w:hAnsi="Calibri" w:cs="Calibri"/>
                <w:color w:val="00305C"/>
                <w:sz w:val="18"/>
                <w:szCs w:val="18"/>
              </w:rPr>
            </w:pPr>
          </w:p>
        </w:tc>
        <w:tc>
          <w:tcPr>
            <w:tcW w:w="849" w:type="dxa"/>
            <w:tcBorders>
              <w:top w:val="single" w:sz="8" w:space="0" w:color="C0C0C0"/>
              <w:bottom w:val="single" w:sz="8" w:space="0" w:color="C0C0C0"/>
            </w:tcBorders>
            <w:shd w:val="clear" w:color="auto" w:fill="auto"/>
            <w:noWrap/>
            <w:vAlign w:val="center"/>
          </w:tcPr>
          <w:p w:rsidR="00772C45" w:rsidRPr="000C3FB5" w:rsidRDefault="00772C45" w:rsidP="00141A54">
            <w:pPr>
              <w:pStyle w:val="Tabletext0"/>
              <w:ind w:right="85"/>
              <w:jc w:val="right"/>
              <w:rPr>
                <w:rFonts w:ascii="Calibri" w:hAnsi="Calibri" w:cs="Calibri"/>
                <w:color w:val="00305C"/>
                <w:sz w:val="18"/>
                <w:szCs w:val="18"/>
              </w:rPr>
            </w:pPr>
          </w:p>
        </w:tc>
      </w:tr>
      <w:tr w:rsidR="00871692" w:rsidRPr="00113846" w:rsidTr="00772C45">
        <w:trPr>
          <w:trHeight w:val="283"/>
        </w:trPr>
        <w:tc>
          <w:tcPr>
            <w:tcW w:w="2110" w:type="dxa"/>
            <w:tcBorders>
              <w:top w:val="single" w:sz="8" w:space="0" w:color="C0C0C0"/>
            </w:tcBorders>
            <w:shd w:val="clear" w:color="auto" w:fill="auto"/>
            <w:noWrap/>
            <w:vAlign w:val="center"/>
            <w:hideMark/>
          </w:tcPr>
          <w:p w:rsidR="00871692" w:rsidRPr="00113846" w:rsidRDefault="00871692" w:rsidP="00141A54">
            <w:pPr>
              <w:pStyle w:val="Tabletext0"/>
              <w:ind w:right="85"/>
              <w:rPr>
                <w:rFonts w:ascii="Calibri" w:hAnsi="Calibri" w:cs="Calibri"/>
                <w:color w:val="002B45"/>
              </w:rPr>
            </w:pPr>
            <w:r>
              <w:rPr>
                <w:rFonts w:ascii="Calibri" w:hAnsi="Calibri" w:cs="Calibri"/>
                <w:color w:val="002B45"/>
              </w:rPr>
              <w:t>31 December 201</w:t>
            </w:r>
            <w:r w:rsidR="00F06A27">
              <w:rPr>
                <w:rFonts w:ascii="Calibri" w:hAnsi="Calibri" w:cs="Calibri"/>
                <w:color w:val="002B45"/>
              </w:rPr>
              <w:t>2</w:t>
            </w:r>
          </w:p>
        </w:tc>
        <w:tc>
          <w:tcPr>
            <w:tcW w:w="802" w:type="dxa"/>
            <w:tcBorders>
              <w:top w:val="single" w:sz="8" w:space="0" w:color="C0C0C0"/>
            </w:tcBorders>
            <w:shd w:val="clear" w:color="auto" w:fill="auto"/>
            <w:noWrap/>
            <w:vAlign w:val="center"/>
            <w:hideMark/>
          </w:tcPr>
          <w:p w:rsidR="00871692" w:rsidRPr="000C3FB5" w:rsidRDefault="00772C45" w:rsidP="00141A54">
            <w:pPr>
              <w:pStyle w:val="Tabletext0"/>
              <w:ind w:right="56"/>
              <w:jc w:val="right"/>
              <w:rPr>
                <w:rFonts w:ascii="Calibri" w:hAnsi="Calibri" w:cs="Calibri"/>
                <w:color w:val="00305C"/>
                <w:sz w:val="18"/>
                <w:szCs w:val="18"/>
              </w:rPr>
            </w:pPr>
            <w:r>
              <w:rPr>
                <w:rFonts w:ascii="Calibri" w:hAnsi="Calibri" w:cs="Calibri"/>
                <w:color w:val="00305C"/>
                <w:sz w:val="18"/>
                <w:szCs w:val="18"/>
              </w:rPr>
              <w:t>339.6</w:t>
            </w:r>
          </w:p>
        </w:tc>
        <w:tc>
          <w:tcPr>
            <w:tcW w:w="848" w:type="dxa"/>
            <w:tcBorders>
              <w:top w:val="single" w:sz="8" w:space="0" w:color="C0C0C0"/>
              <w:right w:val="single" w:sz="4" w:space="0" w:color="D9D9D9" w:themeColor="background1" w:themeShade="D9"/>
            </w:tcBorders>
            <w:shd w:val="clear" w:color="auto" w:fill="auto"/>
            <w:noWrap/>
            <w:vAlign w:val="center"/>
            <w:hideMark/>
          </w:tcPr>
          <w:p w:rsidR="00871692" w:rsidRPr="000C3FB5" w:rsidRDefault="00772C45" w:rsidP="00141A54">
            <w:pPr>
              <w:pStyle w:val="Tabletext0"/>
              <w:ind w:right="56"/>
              <w:jc w:val="right"/>
              <w:rPr>
                <w:rFonts w:ascii="Calibri" w:hAnsi="Calibri" w:cs="Calibri"/>
                <w:color w:val="00305C"/>
                <w:sz w:val="18"/>
                <w:szCs w:val="18"/>
              </w:rPr>
            </w:pPr>
            <w:r>
              <w:rPr>
                <w:rFonts w:ascii="Calibri" w:hAnsi="Calibri" w:cs="Calibri"/>
                <w:color w:val="00305C"/>
                <w:sz w:val="18"/>
                <w:szCs w:val="18"/>
              </w:rPr>
              <w:t>16.5</w:t>
            </w:r>
          </w:p>
        </w:tc>
        <w:tc>
          <w:tcPr>
            <w:tcW w:w="816" w:type="dxa"/>
            <w:tcBorders>
              <w:top w:val="single" w:sz="8" w:space="0" w:color="C0C0C0"/>
              <w:left w:val="single" w:sz="4" w:space="0" w:color="D9D9D9" w:themeColor="background1" w:themeShade="D9"/>
            </w:tcBorders>
            <w:shd w:val="clear" w:color="auto" w:fill="auto"/>
            <w:noWrap/>
            <w:vAlign w:val="center"/>
            <w:hideMark/>
          </w:tcPr>
          <w:p w:rsidR="00871692" w:rsidRPr="000C3FB5" w:rsidRDefault="00772C45" w:rsidP="00141A54">
            <w:pPr>
              <w:pStyle w:val="Tabletext0"/>
              <w:ind w:right="56"/>
              <w:jc w:val="right"/>
              <w:rPr>
                <w:rFonts w:ascii="Calibri" w:hAnsi="Calibri" w:cs="Calibri"/>
                <w:color w:val="00305C"/>
                <w:sz w:val="18"/>
                <w:szCs w:val="18"/>
              </w:rPr>
            </w:pPr>
            <w:r>
              <w:rPr>
                <w:rFonts w:ascii="Calibri" w:hAnsi="Calibri" w:cs="Calibri"/>
                <w:color w:val="00305C"/>
                <w:sz w:val="18"/>
                <w:szCs w:val="18"/>
              </w:rPr>
              <w:t>-</w:t>
            </w:r>
          </w:p>
        </w:tc>
        <w:tc>
          <w:tcPr>
            <w:tcW w:w="844" w:type="dxa"/>
            <w:tcBorders>
              <w:top w:val="single" w:sz="8" w:space="0" w:color="C0C0C0"/>
              <w:right w:val="single" w:sz="4" w:space="0" w:color="D9D9D9" w:themeColor="background1" w:themeShade="D9"/>
            </w:tcBorders>
            <w:shd w:val="clear" w:color="auto" w:fill="auto"/>
            <w:noWrap/>
            <w:vAlign w:val="center"/>
            <w:hideMark/>
          </w:tcPr>
          <w:p w:rsidR="00871692" w:rsidRPr="000C3FB5" w:rsidRDefault="00772C45" w:rsidP="00141A54">
            <w:pPr>
              <w:pStyle w:val="Tabletext0"/>
              <w:ind w:right="56"/>
              <w:jc w:val="right"/>
              <w:rPr>
                <w:rFonts w:ascii="Calibri" w:hAnsi="Calibri" w:cs="Calibri"/>
                <w:color w:val="00305C"/>
                <w:sz w:val="18"/>
                <w:szCs w:val="18"/>
              </w:rPr>
            </w:pPr>
            <w:r>
              <w:rPr>
                <w:rFonts w:ascii="Calibri" w:hAnsi="Calibri" w:cs="Calibri"/>
                <w:color w:val="00305C"/>
                <w:sz w:val="18"/>
                <w:szCs w:val="18"/>
              </w:rPr>
              <w:t>-</w:t>
            </w:r>
          </w:p>
        </w:tc>
        <w:tc>
          <w:tcPr>
            <w:tcW w:w="816" w:type="dxa"/>
            <w:tcBorders>
              <w:top w:val="single" w:sz="8" w:space="0" w:color="C0C0C0"/>
              <w:left w:val="single" w:sz="4" w:space="0" w:color="D9D9D9" w:themeColor="background1" w:themeShade="D9"/>
            </w:tcBorders>
            <w:shd w:val="clear" w:color="auto" w:fill="auto"/>
            <w:noWrap/>
            <w:vAlign w:val="center"/>
            <w:hideMark/>
          </w:tcPr>
          <w:p w:rsidR="00871692" w:rsidRPr="000C3FB5" w:rsidRDefault="00772C45" w:rsidP="00141A54">
            <w:pPr>
              <w:pStyle w:val="Tabletext0"/>
              <w:ind w:right="56"/>
              <w:jc w:val="right"/>
              <w:rPr>
                <w:rFonts w:ascii="Calibri" w:hAnsi="Calibri" w:cs="Calibri"/>
                <w:color w:val="00305C"/>
                <w:sz w:val="18"/>
                <w:szCs w:val="18"/>
              </w:rPr>
            </w:pPr>
            <w:r>
              <w:rPr>
                <w:rFonts w:ascii="Calibri" w:hAnsi="Calibri" w:cs="Calibri"/>
                <w:color w:val="00305C"/>
                <w:sz w:val="18"/>
                <w:szCs w:val="18"/>
              </w:rPr>
              <w:t>1.4</w:t>
            </w:r>
          </w:p>
        </w:tc>
        <w:tc>
          <w:tcPr>
            <w:tcW w:w="735" w:type="dxa"/>
            <w:tcBorders>
              <w:top w:val="single" w:sz="8" w:space="0" w:color="C0C0C0"/>
              <w:right w:val="single" w:sz="4" w:space="0" w:color="D9D9D9" w:themeColor="background1" w:themeShade="D9"/>
            </w:tcBorders>
            <w:shd w:val="clear" w:color="auto" w:fill="auto"/>
            <w:noWrap/>
            <w:vAlign w:val="center"/>
            <w:hideMark/>
          </w:tcPr>
          <w:p w:rsidR="00871692" w:rsidRPr="000C3FB5" w:rsidRDefault="00772C45" w:rsidP="00141A54">
            <w:pPr>
              <w:pStyle w:val="Tabletext0"/>
              <w:ind w:right="56"/>
              <w:jc w:val="right"/>
              <w:rPr>
                <w:rFonts w:ascii="Calibri" w:hAnsi="Calibri" w:cs="Calibri"/>
                <w:color w:val="00305C"/>
                <w:sz w:val="18"/>
                <w:szCs w:val="18"/>
              </w:rPr>
            </w:pPr>
            <w:r>
              <w:rPr>
                <w:rFonts w:ascii="Calibri" w:hAnsi="Calibri" w:cs="Calibri"/>
                <w:color w:val="00305C"/>
                <w:sz w:val="18"/>
                <w:szCs w:val="18"/>
              </w:rPr>
              <w:t>265.9</w:t>
            </w:r>
          </w:p>
        </w:tc>
        <w:tc>
          <w:tcPr>
            <w:tcW w:w="893" w:type="dxa"/>
            <w:tcBorders>
              <w:top w:val="single" w:sz="8" w:space="0" w:color="C0C0C0"/>
              <w:left w:val="single" w:sz="4" w:space="0" w:color="D9D9D9" w:themeColor="background1" w:themeShade="D9"/>
            </w:tcBorders>
            <w:shd w:val="clear" w:color="auto" w:fill="auto"/>
            <w:noWrap/>
            <w:vAlign w:val="center"/>
            <w:hideMark/>
          </w:tcPr>
          <w:p w:rsidR="00871692" w:rsidRPr="000C3FB5" w:rsidRDefault="00772C45" w:rsidP="00141A54">
            <w:pPr>
              <w:pStyle w:val="Tabletext0"/>
              <w:ind w:right="56"/>
              <w:jc w:val="right"/>
              <w:rPr>
                <w:rFonts w:ascii="Calibri" w:hAnsi="Calibri" w:cs="Calibri"/>
                <w:color w:val="00305C"/>
                <w:sz w:val="18"/>
                <w:szCs w:val="18"/>
              </w:rPr>
            </w:pPr>
            <w:r>
              <w:rPr>
                <w:rFonts w:ascii="Calibri" w:hAnsi="Calibri" w:cs="Calibri"/>
                <w:color w:val="00305C"/>
                <w:sz w:val="18"/>
                <w:szCs w:val="18"/>
              </w:rPr>
              <w:t>341.0</w:t>
            </w:r>
          </w:p>
        </w:tc>
        <w:tc>
          <w:tcPr>
            <w:tcW w:w="893" w:type="dxa"/>
            <w:tcBorders>
              <w:top w:val="single" w:sz="8" w:space="0" w:color="C0C0C0"/>
            </w:tcBorders>
            <w:shd w:val="clear" w:color="auto" w:fill="auto"/>
            <w:noWrap/>
            <w:vAlign w:val="center"/>
            <w:hideMark/>
          </w:tcPr>
          <w:p w:rsidR="00871692" w:rsidRPr="000C3FB5" w:rsidRDefault="00772C45" w:rsidP="00141A54">
            <w:pPr>
              <w:pStyle w:val="Tabletext0"/>
              <w:ind w:right="56"/>
              <w:jc w:val="right"/>
              <w:rPr>
                <w:rFonts w:ascii="Calibri" w:hAnsi="Calibri" w:cs="Calibri"/>
                <w:color w:val="00305C"/>
                <w:sz w:val="18"/>
                <w:szCs w:val="18"/>
              </w:rPr>
            </w:pPr>
            <w:r>
              <w:rPr>
                <w:rFonts w:ascii="Calibri" w:hAnsi="Calibri" w:cs="Calibri"/>
                <w:color w:val="00305C"/>
                <w:sz w:val="18"/>
                <w:szCs w:val="18"/>
              </w:rPr>
              <w:t>282.4</w:t>
            </w:r>
          </w:p>
        </w:tc>
        <w:tc>
          <w:tcPr>
            <w:tcW w:w="849" w:type="dxa"/>
            <w:tcBorders>
              <w:top w:val="single" w:sz="8" w:space="0" w:color="C0C0C0"/>
            </w:tcBorders>
            <w:shd w:val="clear" w:color="auto" w:fill="auto"/>
            <w:noWrap/>
            <w:vAlign w:val="center"/>
            <w:hideMark/>
          </w:tcPr>
          <w:p w:rsidR="00871692" w:rsidRPr="000C3FB5" w:rsidRDefault="00772C45" w:rsidP="00141A54">
            <w:pPr>
              <w:pStyle w:val="Tabletext0"/>
              <w:ind w:right="56"/>
              <w:jc w:val="right"/>
              <w:rPr>
                <w:rFonts w:ascii="Calibri" w:hAnsi="Calibri" w:cs="Calibri"/>
                <w:color w:val="00305C"/>
                <w:sz w:val="18"/>
                <w:szCs w:val="18"/>
              </w:rPr>
            </w:pPr>
            <w:r>
              <w:rPr>
                <w:rFonts w:ascii="Calibri" w:hAnsi="Calibri" w:cs="Calibri"/>
                <w:color w:val="00305C"/>
                <w:sz w:val="18"/>
                <w:szCs w:val="18"/>
              </w:rPr>
              <w:t>388.0</w:t>
            </w:r>
          </w:p>
        </w:tc>
      </w:tr>
      <w:tr w:rsidR="00871692" w:rsidRPr="00113846" w:rsidTr="005730B1">
        <w:trPr>
          <w:trHeight w:val="283"/>
        </w:trPr>
        <w:tc>
          <w:tcPr>
            <w:tcW w:w="2110" w:type="dxa"/>
            <w:shd w:val="clear" w:color="auto" w:fill="auto"/>
            <w:noWrap/>
            <w:vAlign w:val="center"/>
            <w:hideMark/>
          </w:tcPr>
          <w:p w:rsidR="00871692" w:rsidRPr="00113846" w:rsidRDefault="00871692" w:rsidP="00141A54">
            <w:pPr>
              <w:pStyle w:val="Tabletext0"/>
              <w:ind w:right="85"/>
              <w:rPr>
                <w:rFonts w:ascii="Calibri" w:hAnsi="Calibri" w:cs="Calibri"/>
                <w:color w:val="002B45"/>
              </w:rPr>
            </w:pPr>
            <w:r w:rsidRPr="00113846">
              <w:rPr>
                <w:rFonts w:ascii="Calibri" w:hAnsi="Calibri" w:cs="Calibri"/>
                <w:color w:val="002B45"/>
              </w:rPr>
              <w:t>Revisions</w:t>
            </w:r>
          </w:p>
        </w:tc>
        <w:tc>
          <w:tcPr>
            <w:tcW w:w="802" w:type="dxa"/>
            <w:shd w:val="clear" w:color="auto" w:fill="auto"/>
            <w:noWrap/>
            <w:vAlign w:val="center"/>
            <w:hideMark/>
          </w:tcPr>
          <w:p w:rsidR="00871692" w:rsidRPr="000C3FB5" w:rsidRDefault="00543C84" w:rsidP="00141A54">
            <w:pPr>
              <w:pStyle w:val="Tabletext0"/>
              <w:ind w:right="56"/>
              <w:jc w:val="right"/>
              <w:rPr>
                <w:rFonts w:ascii="Calibri" w:hAnsi="Calibri" w:cs="Calibri"/>
                <w:color w:val="00305C"/>
                <w:sz w:val="18"/>
                <w:szCs w:val="18"/>
              </w:rPr>
            </w:pPr>
            <w:r w:rsidRPr="000C3FB5">
              <w:rPr>
                <w:rFonts w:ascii="Calibri" w:hAnsi="Calibri" w:cs="Calibri"/>
                <w:color w:val="00305C"/>
                <w:sz w:val="18"/>
                <w:szCs w:val="18"/>
              </w:rPr>
              <w:t>9.6</w:t>
            </w:r>
          </w:p>
        </w:tc>
        <w:tc>
          <w:tcPr>
            <w:tcW w:w="848" w:type="dxa"/>
            <w:tcBorders>
              <w:right w:val="single" w:sz="4" w:space="0" w:color="D9D9D9" w:themeColor="background1" w:themeShade="D9"/>
            </w:tcBorders>
            <w:shd w:val="clear" w:color="auto" w:fill="auto"/>
            <w:noWrap/>
            <w:vAlign w:val="center"/>
            <w:hideMark/>
          </w:tcPr>
          <w:p w:rsidR="00871692" w:rsidRPr="000C3FB5" w:rsidRDefault="00543C84" w:rsidP="00141A54">
            <w:pPr>
              <w:pStyle w:val="Tabletext0"/>
              <w:ind w:right="56"/>
              <w:jc w:val="right"/>
              <w:rPr>
                <w:rFonts w:ascii="Calibri" w:hAnsi="Calibri" w:cs="Calibri"/>
                <w:color w:val="00305C"/>
                <w:sz w:val="18"/>
                <w:szCs w:val="18"/>
              </w:rPr>
            </w:pPr>
            <w:r w:rsidRPr="000C3FB5">
              <w:rPr>
                <w:rFonts w:ascii="Calibri" w:hAnsi="Calibri" w:cs="Calibri"/>
                <w:color w:val="00305C"/>
                <w:sz w:val="18"/>
                <w:szCs w:val="18"/>
              </w:rPr>
              <w:t>4.7</w:t>
            </w:r>
          </w:p>
        </w:tc>
        <w:tc>
          <w:tcPr>
            <w:tcW w:w="816" w:type="dxa"/>
            <w:tcBorders>
              <w:left w:val="single" w:sz="4" w:space="0" w:color="D9D9D9" w:themeColor="background1" w:themeShade="D9"/>
            </w:tcBorders>
            <w:shd w:val="clear" w:color="auto" w:fill="auto"/>
            <w:noWrap/>
            <w:vAlign w:val="center"/>
            <w:hideMark/>
          </w:tcPr>
          <w:p w:rsidR="00871692" w:rsidRPr="000C3FB5" w:rsidRDefault="00543C84" w:rsidP="00141A54">
            <w:pPr>
              <w:pStyle w:val="Tabletext0"/>
              <w:ind w:right="56"/>
              <w:jc w:val="right"/>
              <w:rPr>
                <w:rFonts w:ascii="Calibri" w:hAnsi="Calibri" w:cs="Calibri"/>
                <w:color w:val="00305C"/>
                <w:sz w:val="18"/>
                <w:szCs w:val="18"/>
              </w:rPr>
            </w:pPr>
            <w:r w:rsidRPr="000C3FB5">
              <w:rPr>
                <w:rFonts w:ascii="Calibri" w:hAnsi="Calibri" w:cs="Calibri"/>
                <w:color w:val="00305C"/>
                <w:sz w:val="18"/>
                <w:szCs w:val="18"/>
              </w:rPr>
              <w:t>-</w:t>
            </w:r>
          </w:p>
        </w:tc>
        <w:tc>
          <w:tcPr>
            <w:tcW w:w="844" w:type="dxa"/>
            <w:tcBorders>
              <w:right w:val="single" w:sz="4" w:space="0" w:color="D9D9D9" w:themeColor="background1" w:themeShade="D9"/>
            </w:tcBorders>
            <w:shd w:val="clear" w:color="auto" w:fill="auto"/>
            <w:noWrap/>
            <w:vAlign w:val="center"/>
            <w:hideMark/>
          </w:tcPr>
          <w:p w:rsidR="00871692" w:rsidRPr="000C3FB5" w:rsidRDefault="00543C84" w:rsidP="00141A54">
            <w:pPr>
              <w:pStyle w:val="Tabletext0"/>
              <w:ind w:right="56"/>
              <w:jc w:val="right"/>
              <w:rPr>
                <w:rFonts w:ascii="Calibri" w:hAnsi="Calibri" w:cs="Calibri"/>
                <w:color w:val="00305C"/>
                <w:sz w:val="18"/>
                <w:szCs w:val="18"/>
              </w:rPr>
            </w:pPr>
            <w:r w:rsidRPr="000C3FB5">
              <w:rPr>
                <w:rFonts w:ascii="Calibri" w:hAnsi="Calibri" w:cs="Calibri"/>
                <w:color w:val="00305C"/>
                <w:sz w:val="18"/>
                <w:szCs w:val="18"/>
              </w:rPr>
              <w:t>-</w:t>
            </w:r>
          </w:p>
        </w:tc>
        <w:tc>
          <w:tcPr>
            <w:tcW w:w="816" w:type="dxa"/>
            <w:tcBorders>
              <w:left w:val="single" w:sz="4" w:space="0" w:color="D9D9D9" w:themeColor="background1" w:themeShade="D9"/>
            </w:tcBorders>
            <w:shd w:val="clear" w:color="auto" w:fill="auto"/>
            <w:noWrap/>
            <w:vAlign w:val="center"/>
            <w:hideMark/>
          </w:tcPr>
          <w:p w:rsidR="00871692" w:rsidRPr="000C3FB5" w:rsidRDefault="00543C84" w:rsidP="00141A54">
            <w:pPr>
              <w:pStyle w:val="Tabletext0"/>
              <w:ind w:right="56"/>
              <w:jc w:val="right"/>
              <w:rPr>
                <w:rFonts w:ascii="Calibri" w:hAnsi="Calibri" w:cs="Calibri"/>
                <w:color w:val="00305C"/>
                <w:sz w:val="18"/>
                <w:szCs w:val="18"/>
              </w:rPr>
            </w:pPr>
            <w:r w:rsidRPr="000C3FB5">
              <w:rPr>
                <w:rFonts w:ascii="Calibri" w:hAnsi="Calibri" w:cs="Calibri"/>
                <w:color w:val="00305C"/>
                <w:sz w:val="18"/>
                <w:szCs w:val="18"/>
              </w:rPr>
              <w:t>(0.1)</w:t>
            </w:r>
          </w:p>
        </w:tc>
        <w:tc>
          <w:tcPr>
            <w:tcW w:w="735" w:type="dxa"/>
            <w:tcBorders>
              <w:right w:val="single" w:sz="4" w:space="0" w:color="D9D9D9" w:themeColor="background1" w:themeShade="D9"/>
            </w:tcBorders>
            <w:shd w:val="clear" w:color="auto" w:fill="auto"/>
            <w:noWrap/>
            <w:vAlign w:val="center"/>
            <w:hideMark/>
          </w:tcPr>
          <w:p w:rsidR="00871692" w:rsidRPr="000C3FB5" w:rsidRDefault="00543C84" w:rsidP="00141A54">
            <w:pPr>
              <w:pStyle w:val="Tabletext0"/>
              <w:ind w:right="56"/>
              <w:jc w:val="right"/>
              <w:rPr>
                <w:rFonts w:ascii="Calibri" w:hAnsi="Calibri" w:cs="Calibri"/>
                <w:color w:val="00305C"/>
                <w:sz w:val="18"/>
                <w:szCs w:val="18"/>
              </w:rPr>
            </w:pPr>
            <w:r w:rsidRPr="000C3FB5">
              <w:rPr>
                <w:rFonts w:ascii="Calibri" w:hAnsi="Calibri" w:cs="Calibri"/>
                <w:color w:val="00305C"/>
                <w:sz w:val="18"/>
                <w:szCs w:val="18"/>
              </w:rPr>
              <w:t>8.2</w:t>
            </w:r>
          </w:p>
        </w:tc>
        <w:tc>
          <w:tcPr>
            <w:tcW w:w="893" w:type="dxa"/>
            <w:tcBorders>
              <w:left w:val="single" w:sz="4" w:space="0" w:color="D9D9D9" w:themeColor="background1" w:themeShade="D9"/>
            </w:tcBorders>
            <w:shd w:val="clear" w:color="auto" w:fill="auto"/>
            <w:noWrap/>
            <w:vAlign w:val="center"/>
            <w:hideMark/>
          </w:tcPr>
          <w:p w:rsidR="00871692" w:rsidRPr="000C3FB5" w:rsidRDefault="00543C84" w:rsidP="00141A54">
            <w:pPr>
              <w:pStyle w:val="Tabletext0"/>
              <w:ind w:right="56"/>
              <w:jc w:val="right"/>
              <w:rPr>
                <w:rFonts w:ascii="Calibri" w:hAnsi="Calibri" w:cs="Calibri"/>
                <w:color w:val="00305C"/>
                <w:sz w:val="18"/>
                <w:szCs w:val="18"/>
              </w:rPr>
            </w:pPr>
            <w:r w:rsidRPr="000C3FB5">
              <w:rPr>
                <w:rFonts w:ascii="Calibri" w:hAnsi="Calibri" w:cs="Calibri"/>
                <w:color w:val="00305C"/>
                <w:sz w:val="18"/>
                <w:szCs w:val="18"/>
              </w:rPr>
              <w:t>9.5</w:t>
            </w:r>
          </w:p>
        </w:tc>
        <w:tc>
          <w:tcPr>
            <w:tcW w:w="893" w:type="dxa"/>
            <w:shd w:val="clear" w:color="auto" w:fill="auto"/>
            <w:noWrap/>
            <w:vAlign w:val="center"/>
            <w:hideMark/>
          </w:tcPr>
          <w:p w:rsidR="00871692" w:rsidRPr="000C3FB5" w:rsidRDefault="00543C84" w:rsidP="00141A54">
            <w:pPr>
              <w:pStyle w:val="Tabletext0"/>
              <w:ind w:right="56"/>
              <w:jc w:val="right"/>
              <w:rPr>
                <w:rFonts w:ascii="Calibri" w:hAnsi="Calibri" w:cs="Calibri"/>
                <w:color w:val="00305C"/>
                <w:sz w:val="18"/>
                <w:szCs w:val="18"/>
              </w:rPr>
            </w:pPr>
            <w:r w:rsidRPr="000C3FB5">
              <w:rPr>
                <w:rFonts w:ascii="Calibri" w:hAnsi="Calibri" w:cs="Calibri"/>
                <w:color w:val="00305C"/>
                <w:sz w:val="18"/>
                <w:szCs w:val="18"/>
              </w:rPr>
              <w:t>12.9</w:t>
            </w:r>
          </w:p>
        </w:tc>
        <w:tc>
          <w:tcPr>
            <w:tcW w:w="849" w:type="dxa"/>
            <w:shd w:val="clear" w:color="auto" w:fill="auto"/>
            <w:noWrap/>
            <w:vAlign w:val="center"/>
            <w:hideMark/>
          </w:tcPr>
          <w:p w:rsidR="00871692" w:rsidRPr="000C3FB5" w:rsidRDefault="00543C84" w:rsidP="00141A54">
            <w:pPr>
              <w:pStyle w:val="Tabletext0"/>
              <w:ind w:right="56"/>
              <w:jc w:val="right"/>
              <w:rPr>
                <w:rFonts w:ascii="Calibri" w:hAnsi="Calibri" w:cs="Calibri"/>
                <w:color w:val="00305C"/>
                <w:sz w:val="18"/>
                <w:szCs w:val="18"/>
              </w:rPr>
            </w:pPr>
            <w:r w:rsidRPr="000C3FB5">
              <w:rPr>
                <w:rFonts w:ascii="Calibri" w:hAnsi="Calibri" w:cs="Calibri"/>
                <w:color w:val="00305C"/>
                <w:sz w:val="18"/>
                <w:szCs w:val="18"/>
              </w:rPr>
              <w:t>11.7</w:t>
            </w:r>
          </w:p>
        </w:tc>
      </w:tr>
      <w:tr w:rsidR="00871692" w:rsidRPr="00113846" w:rsidTr="005730B1">
        <w:trPr>
          <w:trHeight w:val="283"/>
        </w:trPr>
        <w:tc>
          <w:tcPr>
            <w:tcW w:w="2110" w:type="dxa"/>
            <w:shd w:val="clear" w:color="auto" w:fill="auto"/>
            <w:noWrap/>
            <w:vAlign w:val="center"/>
            <w:hideMark/>
          </w:tcPr>
          <w:p w:rsidR="00871692" w:rsidRPr="00113846" w:rsidRDefault="00871692" w:rsidP="00141A54">
            <w:pPr>
              <w:pStyle w:val="Tabletext0"/>
              <w:ind w:right="85"/>
              <w:rPr>
                <w:rFonts w:ascii="Calibri" w:hAnsi="Calibri" w:cs="Calibri"/>
                <w:color w:val="002B45"/>
              </w:rPr>
            </w:pPr>
            <w:r w:rsidRPr="00113846">
              <w:rPr>
                <w:rFonts w:ascii="Calibri" w:hAnsi="Calibri" w:cs="Calibri"/>
                <w:color w:val="002B45"/>
              </w:rPr>
              <w:t xml:space="preserve">Acquisitions </w:t>
            </w:r>
          </w:p>
        </w:tc>
        <w:tc>
          <w:tcPr>
            <w:tcW w:w="802" w:type="dxa"/>
            <w:shd w:val="clear" w:color="auto" w:fill="auto"/>
            <w:noWrap/>
            <w:vAlign w:val="center"/>
            <w:hideMark/>
          </w:tcPr>
          <w:p w:rsidR="00871692" w:rsidRPr="000C3FB5" w:rsidRDefault="00543C84" w:rsidP="00141A54">
            <w:pPr>
              <w:pStyle w:val="Tabletext0"/>
              <w:ind w:right="56"/>
              <w:jc w:val="right"/>
              <w:rPr>
                <w:rFonts w:ascii="Calibri" w:hAnsi="Calibri" w:cs="Calibri"/>
                <w:color w:val="00305C"/>
                <w:sz w:val="18"/>
                <w:szCs w:val="18"/>
              </w:rPr>
            </w:pPr>
            <w:r w:rsidRPr="000C3FB5">
              <w:rPr>
                <w:rFonts w:ascii="Calibri" w:hAnsi="Calibri" w:cs="Calibri"/>
                <w:color w:val="00305C"/>
                <w:sz w:val="18"/>
                <w:szCs w:val="18"/>
              </w:rPr>
              <w:t>-</w:t>
            </w:r>
          </w:p>
        </w:tc>
        <w:tc>
          <w:tcPr>
            <w:tcW w:w="848" w:type="dxa"/>
            <w:tcBorders>
              <w:right w:val="single" w:sz="4" w:space="0" w:color="D9D9D9" w:themeColor="background1" w:themeShade="D9"/>
            </w:tcBorders>
            <w:shd w:val="clear" w:color="auto" w:fill="auto"/>
            <w:noWrap/>
            <w:vAlign w:val="center"/>
            <w:hideMark/>
          </w:tcPr>
          <w:p w:rsidR="00871692" w:rsidRPr="000C3FB5" w:rsidRDefault="00543C84" w:rsidP="00141A54">
            <w:pPr>
              <w:pStyle w:val="Tabletext0"/>
              <w:ind w:right="56"/>
              <w:jc w:val="right"/>
              <w:rPr>
                <w:rFonts w:ascii="Calibri" w:hAnsi="Calibri" w:cs="Calibri"/>
                <w:color w:val="00305C"/>
                <w:sz w:val="18"/>
                <w:szCs w:val="18"/>
              </w:rPr>
            </w:pPr>
            <w:r w:rsidRPr="000C3FB5">
              <w:rPr>
                <w:rFonts w:ascii="Calibri" w:hAnsi="Calibri" w:cs="Calibri"/>
                <w:color w:val="00305C"/>
                <w:sz w:val="18"/>
                <w:szCs w:val="18"/>
              </w:rPr>
              <w:t>-</w:t>
            </w:r>
          </w:p>
        </w:tc>
        <w:tc>
          <w:tcPr>
            <w:tcW w:w="816" w:type="dxa"/>
            <w:tcBorders>
              <w:left w:val="single" w:sz="4" w:space="0" w:color="D9D9D9" w:themeColor="background1" w:themeShade="D9"/>
            </w:tcBorders>
            <w:shd w:val="clear" w:color="auto" w:fill="auto"/>
            <w:noWrap/>
            <w:vAlign w:val="center"/>
            <w:hideMark/>
          </w:tcPr>
          <w:p w:rsidR="00871692" w:rsidRPr="000C3FB5" w:rsidRDefault="00543C84" w:rsidP="00141A54">
            <w:pPr>
              <w:pStyle w:val="Tabletext0"/>
              <w:ind w:right="56"/>
              <w:jc w:val="right"/>
              <w:rPr>
                <w:rFonts w:ascii="Calibri" w:hAnsi="Calibri" w:cs="Calibri"/>
                <w:color w:val="00305C"/>
                <w:sz w:val="18"/>
                <w:szCs w:val="18"/>
              </w:rPr>
            </w:pPr>
            <w:r w:rsidRPr="000C3FB5">
              <w:rPr>
                <w:rFonts w:ascii="Calibri" w:hAnsi="Calibri" w:cs="Calibri"/>
                <w:color w:val="00305C"/>
                <w:sz w:val="18"/>
                <w:szCs w:val="18"/>
              </w:rPr>
              <w:t>-</w:t>
            </w:r>
          </w:p>
        </w:tc>
        <w:tc>
          <w:tcPr>
            <w:tcW w:w="844" w:type="dxa"/>
            <w:tcBorders>
              <w:right w:val="single" w:sz="4" w:space="0" w:color="D9D9D9" w:themeColor="background1" w:themeShade="D9"/>
            </w:tcBorders>
            <w:shd w:val="clear" w:color="auto" w:fill="auto"/>
            <w:noWrap/>
            <w:vAlign w:val="center"/>
            <w:hideMark/>
          </w:tcPr>
          <w:p w:rsidR="00871692" w:rsidRPr="000C3FB5" w:rsidRDefault="00543C84" w:rsidP="00141A54">
            <w:pPr>
              <w:pStyle w:val="Tabletext0"/>
              <w:ind w:right="56"/>
              <w:jc w:val="right"/>
              <w:rPr>
                <w:rFonts w:ascii="Calibri" w:hAnsi="Calibri" w:cs="Calibri"/>
                <w:color w:val="00305C"/>
                <w:sz w:val="18"/>
                <w:szCs w:val="18"/>
              </w:rPr>
            </w:pPr>
            <w:r w:rsidRPr="000C3FB5">
              <w:rPr>
                <w:rFonts w:ascii="Calibri" w:hAnsi="Calibri" w:cs="Calibri"/>
                <w:color w:val="00305C"/>
                <w:sz w:val="18"/>
                <w:szCs w:val="18"/>
              </w:rPr>
              <w:t>-</w:t>
            </w:r>
          </w:p>
        </w:tc>
        <w:tc>
          <w:tcPr>
            <w:tcW w:w="816" w:type="dxa"/>
            <w:tcBorders>
              <w:left w:val="single" w:sz="4" w:space="0" w:color="D9D9D9" w:themeColor="background1" w:themeShade="D9"/>
            </w:tcBorders>
            <w:shd w:val="clear" w:color="auto" w:fill="auto"/>
            <w:noWrap/>
            <w:vAlign w:val="center"/>
            <w:hideMark/>
          </w:tcPr>
          <w:p w:rsidR="00871692" w:rsidRPr="000C3FB5" w:rsidRDefault="00543C84" w:rsidP="00141A54">
            <w:pPr>
              <w:pStyle w:val="Tabletext0"/>
              <w:ind w:right="56"/>
              <w:jc w:val="right"/>
              <w:rPr>
                <w:rFonts w:ascii="Calibri" w:hAnsi="Calibri" w:cs="Calibri"/>
                <w:color w:val="00305C"/>
                <w:sz w:val="18"/>
                <w:szCs w:val="18"/>
              </w:rPr>
            </w:pPr>
            <w:r w:rsidRPr="000C3FB5">
              <w:rPr>
                <w:rFonts w:ascii="Calibri" w:hAnsi="Calibri" w:cs="Calibri"/>
                <w:color w:val="00305C"/>
                <w:sz w:val="18"/>
                <w:szCs w:val="18"/>
              </w:rPr>
              <w:t>0.5</w:t>
            </w:r>
          </w:p>
        </w:tc>
        <w:tc>
          <w:tcPr>
            <w:tcW w:w="735" w:type="dxa"/>
            <w:tcBorders>
              <w:right w:val="single" w:sz="4" w:space="0" w:color="D9D9D9" w:themeColor="background1" w:themeShade="D9"/>
            </w:tcBorders>
            <w:shd w:val="clear" w:color="auto" w:fill="auto"/>
            <w:noWrap/>
            <w:vAlign w:val="center"/>
            <w:hideMark/>
          </w:tcPr>
          <w:p w:rsidR="00871692" w:rsidRPr="000C3FB5" w:rsidRDefault="00543C84" w:rsidP="00141A54">
            <w:pPr>
              <w:pStyle w:val="Tabletext0"/>
              <w:ind w:right="56"/>
              <w:jc w:val="right"/>
              <w:rPr>
                <w:rFonts w:ascii="Calibri" w:hAnsi="Calibri" w:cs="Calibri"/>
                <w:color w:val="00305C"/>
                <w:sz w:val="18"/>
                <w:szCs w:val="18"/>
              </w:rPr>
            </w:pPr>
            <w:r w:rsidRPr="000C3FB5">
              <w:rPr>
                <w:rFonts w:ascii="Calibri" w:hAnsi="Calibri" w:cs="Calibri"/>
                <w:color w:val="00305C"/>
                <w:sz w:val="18"/>
                <w:szCs w:val="18"/>
              </w:rPr>
              <w:t>0.7</w:t>
            </w:r>
          </w:p>
        </w:tc>
        <w:tc>
          <w:tcPr>
            <w:tcW w:w="893" w:type="dxa"/>
            <w:tcBorders>
              <w:left w:val="single" w:sz="4" w:space="0" w:color="D9D9D9" w:themeColor="background1" w:themeShade="D9"/>
            </w:tcBorders>
            <w:shd w:val="clear" w:color="auto" w:fill="auto"/>
            <w:noWrap/>
            <w:vAlign w:val="center"/>
            <w:hideMark/>
          </w:tcPr>
          <w:p w:rsidR="00871692" w:rsidRPr="000C3FB5" w:rsidRDefault="00543C84" w:rsidP="00141A54">
            <w:pPr>
              <w:pStyle w:val="Tabletext0"/>
              <w:ind w:right="56"/>
              <w:jc w:val="right"/>
              <w:rPr>
                <w:rFonts w:ascii="Calibri" w:hAnsi="Calibri" w:cs="Calibri"/>
                <w:color w:val="00305C"/>
                <w:sz w:val="18"/>
                <w:szCs w:val="18"/>
              </w:rPr>
            </w:pPr>
            <w:r w:rsidRPr="000C3FB5">
              <w:rPr>
                <w:rFonts w:ascii="Calibri" w:hAnsi="Calibri" w:cs="Calibri"/>
                <w:color w:val="00305C"/>
                <w:sz w:val="18"/>
                <w:szCs w:val="18"/>
              </w:rPr>
              <w:t>0.5</w:t>
            </w:r>
          </w:p>
        </w:tc>
        <w:tc>
          <w:tcPr>
            <w:tcW w:w="893" w:type="dxa"/>
            <w:shd w:val="clear" w:color="auto" w:fill="auto"/>
            <w:noWrap/>
            <w:vAlign w:val="center"/>
            <w:hideMark/>
          </w:tcPr>
          <w:p w:rsidR="00871692" w:rsidRPr="000C3FB5" w:rsidRDefault="00543C84" w:rsidP="00141A54">
            <w:pPr>
              <w:pStyle w:val="Tabletext0"/>
              <w:ind w:right="56"/>
              <w:jc w:val="right"/>
              <w:rPr>
                <w:rFonts w:ascii="Calibri" w:hAnsi="Calibri" w:cs="Calibri"/>
                <w:color w:val="00305C"/>
                <w:sz w:val="18"/>
                <w:szCs w:val="18"/>
              </w:rPr>
            </w:pPr>
            <w:r w:rsidRPr="000C3FB5">
              <w:rPr>
                <w:rFonts w:ascii="Calibri" w:hAnsi="Calibri" w:cs="Calibri"/>
                <w:color w:val="00305C"/>
                <w:sz w:val="18"/>
                <w:szCs w:val="18"/>
              </w:rPr>
              <w:t>0.7</w:t>
            </w:r>
          </w:p>
        </w:tc>
        <w:tc>
          <w:tcPr>
            <w:tcW w:w="849" w:type="dxa"/>
            <w:shd w:val="clear" w:color="auto" w:fill="auto"/>
            <w:noWrap/>
            <w:vAlign w:val="center"/>
            <w:hideMark/>
          </w:tcPr>
          <w:p w:rsidR="00871692" w:rsidRPr="000C3FB5" w:rsidRDefault="00543C84" w:rsidP="00141A54">
            <w:pPr>
              <w:pStyle w:val="Tabletext0"/>
              <w:ind w:right="56"/>
              <w:jc w:val="right"/>
              <w:rPr>
                <w:rFonts w:ascii="Calibri" w:hAnsi="Calibri" w:cs="Calibri"/>
                <w:color w:val="00305C"/>
                <w:sz w:val="18"/>
                <w:szCs w:val="18"/>
              </w:rPr>
            </w:pPr>
            <w:r w:rsidRPr="000C3FB5">
              <w:rPr>
                <w:rFonts w:ascii="Calibri" w:hAnsi="Calibri" w:cs="Calibri"/>
                <w:color w:val="00305C"/>
                <w:sz w:val="18"/>
                <w:szCs w:val="18"/>
              </w:rPr>
              <w:t>0.6</w:t>
            </w:r>
          </w:p>
        </w:tc>
      </w:tr>
      <w:tr w:rsidR="00871692" w:rsidRPr="00113846" w:rsidTr="005730B1">
        <w:trPr>
          <w:trHeight w:val="283"/>
        </w:trPr>
        <w:tc>
          <w:tcPr>
            <w:tcW w:w="2110" w:type="dxa"/>
            <w:shd w:val="clear" w:color="auto" w:fill="auto"/>
            <w:noWrap/>
            <w:vAlign w:val="center"/>
            <w:hideMark/>
          </w:tcPr>
          <w:p w:rsidR="00871692" w:rsidRPr="00113846" w:rsidRDefault="00543C84" w:rsidP="00141A54">
            <w:pPr>
              <w:pStyle w:val="Tabletext0"/>
              <w:ind w:right="85"/>
              <w:rPr>
                <w:rFonts w:ascii="Calibri" w:hAnsi="Calibri" w:cs="Calibri"/>
                <w:color w:val="002B45"/>
              </w:rPr>
            </w:pPr>
            <w:r>
              <w:rPr>
                <w:rFonts w:ascii="Calibri" w:hAnsi="Calibri" w:cs="Calibri"/>
                <w:color w:val="002B45"/>
              </w:rPr>
              <w:t>Transfer from CR</w:t>
            </w:r>
          </w:p>
        </w:tc>
        <w:tc>
          <w:tcPr>
            <w:tcW w:w="802" w:type="dxa"/>
            <w:shd w:val="clear" w:color="auto" w:fill="auto"/>
            <w:noWrap/>
            <w:vAlign w:val="center"/>
            <w:hideMark/>
          </w:tcPr>
          <w:p w:rsidR="00871692" w:rsidRPr="000C3FB5" w:rsidRDefault="00543C84" w:rsidP="00141A54">
            <w:pPr>
              <w:pStyle w:val="Tabletext0"/>
              <w:ind w:right="56"/>
              <w:jc w:val="right"/>
              <w:rPr>
                <w:rFonts w:ascii="Calibri" w:hAnsi="Calibri" w:cs="Calibri"/>
                <w:color w:val="00305C"/>
                <w:sz w:val="18"/>
                <w:szCs w:val="18"/>
              </w:rPr>
            </w:pPr>
            <w:r w:rsidRPr="000C3FB5">
              <w:rPr>
                <w:rFonts w:ascii="Calibri" w:hAnsi="Calibri" w:cs="Calibri"/>
                <w:color w:val="00305C"/>
                <w:sz w:val="18"/>
                <w:szCs w:val="18"/>
              </w:rPr>
              <w:t>-</w:t>
            </w:r>
          </w:p>
        </w:tc>
        <w:tc>
          <w:tcPr>
            <w:tcW w:w="848" w:type="dxa"/>
            <w:tcBorders>
              <w:right w:val="single" w:sz="4" w:space="0" w:color="D9D9D9" w:themeColor="background1" w:themeShade="D9"/>
            </w:tcBorders>
            <w:shd w:val="clear" w:color="auto" w:fill="auto"/>
            <w:noWrap/>
            <w:vAlign w:val="center"/>
            <w:hideMark/>
          </w:tcPr>
          <w:p w:rsidR="00871692" w:rsidRPr="000C3FB5" w:rsidRDefault="002B00BD" w:rsidP="002B00BD">
            <w:pPr>
              <w:pStyle w:val="Tabletext0"/>
              <w:ind w:right="56"/>
              <w:jc w:val="right"/>
              <w:rPr>
                <w:rFonts w:ascii="Calibri" w:hAnsi="Calibri" w:cs="Calibri"/>
                <w:color w:val="00305C"/>
                <w:sz w:val="18"/>
                <w:szCs w:val="18"/>
              </w:rPr>
            </w:pPr>
            <w:r>
              <w:rPr>
                <w:rFonts w:ascii="Calibri" w:hAnsi="Calibri" w:cs="Calibri"/>
                <w:color w:val="00305C"/>
                <w:sz w:val="18"/>
                <w:szCs w:val="18"/>
              </w:rPr>
              <w:t>157.7</w:t>
            </w:r>
          </w:p>
        </w:tc>
        <w:tc>
          <w:tcPr>
            <w:tcW w:w="816" w:type="dxa"/>
            <w:tcBorders>
              <w:left w:val="single" w:sz="4" w:space="0" w:color="D9D9D9" w:themeColor="background1" w:themeShade="D9"/>
            </w:tcBorders>
            <w:shd w:val="clear" w:color="auto" w:fill="auto"/>
            <w:noWrap/>
            <w:vAlign w:val="center"/>
            <w:hideMark/>
          </w:tcPr>
          <w:p w:rsidR="00871692" w:rsidRPr="000C3FB5" w:rsidRDefault="00543C84" w:rsidP="00141A54">
            <w:pPr>
              <w:pStyle w:val="Tabletext0"/>
              <w:ind w:right="56"/>
              <w:jc w:val="right"/>
              <w:rPr>
                <w:rFonts w:ascii="Calibri" w:hAnsi="Calibri" w:cs="Calibri"/>
                <w:color w:val="00305C"/>
                <w:sz w:val="18"/>
                <w:szCs w:val="18"/>
              </w:rPr>
            </w:pPr>
            <w:r w:rsidRPr="000C3FB5">
              <w:rPr>
                <w:rFonts w:ascii="Calibri" w:hAnsi="Calibri" w:cs="Calibri"/>
                <w:color w:val="00305C"/>
                <w:sz w:val="18"/>
                <w:szCs w:val="18"/>
              </w:rPr>
              <w:t>-</w:t>
            </w:r>
          </w:p>
        </w:tc>
        <w:tc>
          <w:tcPr>
            <w:tcW w:w="844" w:type="dxa"/>
            <w:tcBorders>
              <w:right w:val="single" w:sz="4" w:space="0" w:color="D9D9D9" w:themeColor="background1" w:themeShade="D9"/>
            </w:tcBorders>
            <w:shd w:val="clear" w:color="auto" w:fill="auto"/>
            <w:noWrap/>
            <w:vAlign w:val="center"/>
            <w:hideMark/>
          </w:tcPr>
          <w:p w:rsidR="00871692" w:rsidRPr="000C3FB5" w:rsidRDefault="00543C84" w:rsidP="00141A54">
            <w:pPr>
              <w:pStyle w:val="Tabletext0"/>
              <w:ind w:right="56"/>
              <w:jc w:val="right"/>
              <w:rPr>
                <w:rFonts w:ascii="Calibri" w:hAnsi="Calibri" w:cs="Calibri"/>
                <w:color w:val="00305C"/>
                <w:sz w:val="18"/>
                <w:szCs w:val="18"/>
              </w:rPr>
            </w:pPr>
            <w:r w:rsidRPr="000C3FB5">
              <w:rPr>
                <w:rFonts w:ascii="Calibri" w:hAnsi="Calibri" w:cs="Calibri"/>
                <w:color w:val="00305C"/>
                <w:sz w:val="18"/>
                <w:szCs w:val="18"/>
              </w:rPr>
              <w:t>-</w:t>
            </w:r>
          </w:p>
        </w:tc>
        <w:tc>
          <w:tcPr>
            <w:tcW w:w="816" w:type="dxa"/>
            <w:tcBorders>
              <w:left w:val="single" w:sz="4" w:space="0" w:color="D9D9D9" w:themeColor="background1" w:themeShade="D9"/>
            </w:tcBorders>
            <w:shd w:val="clear" w:color="auto" w:fill="auto"/>
            <w:noWrap/>
            <w:vAlign w:val="center"/>
            <w:hideMark/>
          </w:tcPr>
          <w:p w:rsidR="00871692" w:rsidRPr="000C3FB5" w:rsidRDefault="00543C84" w:rsidP="00141A54">
            <w:pPr>
              <w:pStyle w:val="Tabletext0"/>
              <w:ind w:right="56"/>
              <w:jc w:val="right"/>
              <w:rPr>
                <w:rFonts w:ascii="Calibri" w:hAnsi="Calibri" w:cs="Calibri"/>
                <w:color w:val="00305C"/>
                <w:sz w:val="18"/>
                <w:szCs w:val="18"/>
              </w:rPr>
            </w:pPr>
            <w:r w:rsidRPr="000C3FB5">
              <w:rPr>
                <w:rFonts w:ascii="Calibri" w:hAnsi="Calibri" w:cs="Calibri"/>
                <w:color w:val="00305C"/>
                <w:sz w:val="18"/>
                <w:szCs w:val="18"/>
              </w:rPr>
              <w:t>-</w:t>
            </w:r>
          </w:p>
        </w:tc>
        <w:tc>
          <w:tcPr>
            <w:tcW w:w="735" w:type="dxa"/>
            <w:tcBorders>
              <w:right w:val="single" w:sz="4" w:space="0" w:color="D9D9D9" w:themeColor="background1" w:themeShade="D9"/>
            </w:tcBorders>
            <w:shd w:val="clear" w:color="auto" w:fill="auto"/>
            <w:noWrap/>
            <w:vAlign w:val="center"/>
            <w:hideMark/>
          </w:tcPr>
          <w:p w:rsidR="00871692" w:rsidRPr="000C3FB5" w:rsidRDefault="00543C84" w:rsidP="00141A54">
            <w:pPr>
              <w:pStyle w:val="Tabletext0"/>
              <w:ind w:right="56"/>
              <w:jc w:val="right"/>
              <w:rPr>
                <w:rFonts w:ascii="Calibri" w:hAnsi="Calibri" w:cs="Calibri"/>
                <w:color w:val="00305C"/>
                <w:sz w:val="18"/>
                <w:szCs w:val="18"/>
              </w:rPr>
            </w:pPr>
            <w:r w:rsidRPr="000C3FB5">
              <w:rPr>
                <w:rFonts w:ascii="Calibri" w:hAnsi="Calibri" w:cs="Calibri"/>
                <w:color w:val="00305C"/>
                <w:sz w:val="18"/>
                <w:szCs w:val="18"/>
              </w:rPr>
              <w:t>-</w:t>
            </w:r>
          </w:p>
        </w:tc>
        <w:tc>
          <w:tcPr>
            <w:tcW w:w="893" w:type="dxa"/>
            <w:tcBorders>
              <w:left w:val="single" w:sz="4" w:space="0" w:color="D9D9D9" w:themeColor="background1" w:themeShade="D9"/>
            </w:tcBorders>
            <w:shd w:val="clear" w:color="auto" w:fill="auto"/>
            <w:noWrap/>
            <w:vAlign w:val="center"/>
            <w:hideMark/>
          </w:tcPr>
          <w:p w:rsidR="00871692" w:rsidRPr="000C3FB5" w:rsidRDefault="00543C84" w:rsidP="00141A54">
            <w:pPr>
              <w:pStyle w:val="Tabletext0"/>
              <w:ind w:right="56"/>
              <w:jc w:val="right"/>
              <w:rPr>
                <w:rFonts w:ascii="Calibri" w:hAnsi="Calibri" w:cs="Calibri"/>
                <w:color w:val="00305C"/>
                <w:sz w:val="18"/>
                <w:szCs w:val="18"/>
              </w:rPr>
            </w:pPr>
            <w:r w:rsidRPr="000C3FB5">
              <w:rPr>
                <w:rFonts w:ascii="Calibri" w:hAnsi="Calibri" w:cs="Calibri"/>
                <w:color w:val="00305C"/>
                <w:sz w:val="18"/>
                <w:szCs w:val="18"/>
              </w:rPr>
              <w:t>-</w:t>
            </w:r>
          </w:p>
        </w:tc>
        <w:tc>
          <w:tcPr>
            <w:tcW w:w="893" w:type="dxa"/>
            <w:shd w:val="clear" w:color="auto" w:fill="auto"/>
            <w:noWrap/>
            <w:vAlign w:val="center"/>
            <w:hideMark/>
          </w:tcPr>
          <w:p w:rsidR="00871692" w:rsidRPr="000C3FB5" w:rsidRDefault="00543C84" w:rsidP="00141A54">
            <w:pPr>
              <w:pStyle w:val="Tabletext0"/>
              <w:ind w:right="56"/>
              <w:jc w:val="right"/>
              <w:rPr>
                <w:rFonts w:ascii="Calibri" w:hAnsi="Calibri" w:cs="Calibri"/>
                <w:color w:val="00305C"/>
                <w:sz w:val="18"/>
                <w:szCs w:val="18"/>
              </w:rPr>
            </w:pPr>
            <w:r w:rsidRPr="000C3FB5">
              <w:rPr>
                <w:rFonts w:ascii="Calibri" w:hAnsi="Calibri" w:cs="Calibri"/>
                <w:color w:val="00305C"/>
                <w:sz w:val="18"/>
                <w:szCs w:val="18"/>
              </w:rPr>
              <w:t>157.7</w:t>
            </w:r>
          </w:p>
        </w:tc>
        <w:tc>
          <w:tcPr>
            <w:tcW w:w="849" w:type="dxa"/>
            <w:shd w:val="clear" w:color="auto" w:fill="auto"/>
            <w:noWrap/>
            <w:vAlign w:val="center"/>
            <w:hideMark/>
          </w:tcPr>
          <w:p w:rsidR="00871692" w:rsidRPr="000C3FB5" w:rsidRDefault="00543C84" w:rsidP="00141A54">
            <w:pPr>
              <w:pStyle w:val="Tabletext0"/>
              <w:ind w:right="56"/>
              <w:jc w:val="right"/>
              <w:rPr>
                <w:rFonts w:ascii="Calibri" w:hAnsi="Calibri" w:cs="Calibri"/>
                <w:color w:val="00305C"/>
                <w:sz w:val="18"/>
                <w:szCs w:val="18"/>
              </w:rPr>
            </w:pPr>
            <w:r w:rsidRPr="000C3FB5">
              <w:rPr>
                <w:rFonts w:ascii="Calibri" w:hAnsi="Calibri" w:cs="Calibri"/>
                <w:color w:val="00305C"/>
                <w:sz w:val="18"/>
                <w:szCs w:val="18"/>
              </w:rPr>
              <w:t>26.3</w:t>
            </w:r>
          </w:p>
        </w:tc>
      </w:tr>
      <w:tr w:rsidR="00871692" w:rsidRPr="00113846" w:rsidTr="005730B1">
        <w:trPr>
          <w:trHeight w:val="283"/>
        </w:trPr>
        <w:tc>
          <w:tcPr>
            <w:tcW w:w="2110" w:type="dxa"/>
            <w:shd w:val="clear" w:color="auto" w:fill="auto"/>
            <w:noWrap/>
            <w:vAlign w:val="center"/>
            <w:hideMark/>
          </w:tcPr>
          <w:p w:rsidR="00871692" w:rsidRPr="00113846" w:rsidRDefault="00871692" w:rsidP="00141A54">
            <w:pPr>
              <w:pStyle w:val="Tabletext0"/>
              <w:ind w:right="85"/>
              <w:rPr>
                <w:rFonts w:ascii="Calibri" w:hAnsi="Calibri" w:cs="Calibri"/>
                <w:color w:val="002B45"/>
              </w:rPr>
            </w:pPr>
            <w:r w:rsidRPr="00113846">
              <w:rPr>
                <w:rFonts w:ascii="Calibri" w:hAnsi="Calibri" w:cs="Calibri"/>
                <w:color w:val="002B45"/>
              </w:rPr>
              <w:t>Disposals</w:t>
            </w:r>
          </w:p>
        </w:tc>
        <w:tc>
          <w:tcPr>
            <w:tcW w:w="802" w:type="dxa"/>
            <w:shd w:val="clear" w:color="auto" w:fill="auto"/>
            <w:noWrap/>
            <w:vAlign w:val="center"/>
            <w:hideMark/>
          </w:tcPr>
          <w:p w:rsidR="00871692" w:rsidRPr="000C3FB5" w:rsidRDefault="00543C84" w:rsidP="00141A54">
            <w:pPr>
              <w:pStyle w:val="Tabletext0"/>
              <w:ind w:right="56"/>
              <w:jc w:val="right"/>
              <w:rPr>
                <w:rFonts w:ascii="Calibri" w:hAnsi="Calibri" w:cs="Calibri"/>
                <w:color w:val="00305C"/>
                <w:sz w:val="18"/>
                <w:szCs w:val="18"/>
              </w:rPr>
            </w:pPr>
            <w:r w:rsidRPr="000C3FB5">
              <w:rPr>
                <w:rFonts w:ascii="Calibri" w:hAnsi="Calibri" w:cs="Calibri"/>
                <w:color w:val="00305C"/>
                <w:sz w:val="18"/>
                <w:szCs w:val="18"/>
              </w:rPr>
              <w:t>-</w:t>
            </w:r>
          </w:p>
        </w:tc>
        <w:tc>
          <w:tcPr>
            <w:tcW w:w="848" w:type="dxa"/>
            <w:tcBorders>
              <w:right w:val="single" w:sz="4" w:space="0" w:color="D9D9D9" w:themeColor="background1" w:themeShade="D9"/>
            </w:tcBorders>
            <w:shd w:val="clear" w:color="auto" w:fill="auto"/>
            <w:noWrap/>
            <w:vAlign w:val="center"/>
            <w:hideMark/>
          </w:tcPr>
          <w:p w:rsidR="00871692" w:rsidRPr="000C3FB5" w:rsidRDefault="00543C84" w:rsidP="00141A54">
            <w:pPr>
              <w:pStyle w:val="Tabletext0"/>
              <w:ind w:right="56"/>
              <w:jc w:val="right"/>
              <w:rPr>
                <w:rFonts w:ascii="Calibri" w:hAnsi="Calibri" w:cs="Calibri"/>
                <w:color w:val="00305C"/>
                <w:sz w:val="18"/>
                <w:szCs w:val="18"/>
              </w:rPr>
            </w:pPr>
            <w:r w:rsidRPr="000C3FB5">
              <w:rPr>
                <w:rFonts w:ascii="Calibri" w:hAnsi="Calibri" w:cs="Calibri"/>
                <w:color w:val="00305C"/>
                <w:sz w:val="18"/>
                <w:szCs w:val="18"/>
              </w:rPr>
              <w:t>-</w:t>
            </w:r>
          </w:p>
        </w:tc>
        <w:tc>
          <w:tcPr>
            <w:tcW w:w="816" w:type="dxa"/>
            <w:tcBorders>
              <w:left w:val="single" w:sz="4" w:space="0" w:color="D9D9D9" w:themeColor="background1" w:themeShade="D9"/>
            </w:tcBorders>
            <w:shd w:val="clear" w:color="auto" w:fill="auto"/>
            <w:noWrap/>
            <w:vAlign w:val="center"/>
            <w:hideMark/>
          </w:tcPr>
          <w:p w:rsidR="00871692" w:rsidRPr="000C3FB5" w:rsidRDefault="00543C84" w:rsidP="00141A54">
            <w:pPr>
              <w:pStyle w:val="Tabletext0"/>
              <w:ind w:right="56"/>
              <w:jc w:val="right"/>
              <w:rPr>
                <w:rFonts w:ascii="Calibri" w:hAnsi="Calibri" w:cs="Calibri"/>
                <w:color w:val="00305C"/>
                <w:sz w:val="18"/>
                <w:szCs w:val="18"/>
              </w:rPr>
            </w:pPr>
            <w:r w:rsidRPr="000C3FB5">
              <w:rPr>
                <w:rFonts w:ascii="Calibri" w:hAnsi="Calibri" w:cs="Calibri"/>
                <w:color w:val="00305C"/>
                <w:sz w:val="18"/>
                <w:szCs w:val="18"/>
              </w:rPr>
              <w:t>-</w:t>
            </w:r>
          </w:p>
        </w:tc>
        <w:tc>
          <w:tcPr>
            <w:tcW w:w="844" w:type="dxa"/>
            <w:tcBorders>
              <w:right w:val="single" w:sz="4" w:space="0" w:color="D9D9D9" w:themeColor="background1" w:themeShade="D9"/>
            </w:tcBorders>
            <w:shd w:val="clear" w:color="auto" w:fill="auto"/>
            <w:noWrap/>
            <w:vAlign w:val="center"/>
            <w:hideMark/>
          </w:tcPr>
          <w:p w:rsidR="00871692" w:rsidRPr="000C3FB5" w:rsidRDefault="00543C84" w:rsidP="00141A54">
            <w:pPr>
              <w:pStyle w:val="Tabletext0"/>
              <w:ind w:right="56"/>
              <w:jc w:val="right"/>
              <w:rPr>
                <w:rFonts w:ascii="Calibri" w:hAnsi="Calibri" w:cs="Calibri"/>
                <w:color w:val="00305C"/>
                <w:sz w:val="18"/>
                <w:szCs w:val="18"/>
              </w:rPr>
            </w:pPr>
            <w:r w:rsidRPr="000C3FB5">
              <w:rPr>
                <w:rFonts w:ascii="Calibri" w:hAnsi="Calibri" w:cs="Calibri"/>
                <w:color w:val="00305C"/>
                <w:sz w:val="18"/>
                <w:szCs w:val="18"/>
              </w:rPr>
              <w:t>-</w:t>
            </w:r>
          </w:p>
        </w:tc>
        <w:tc>
          <w:tcPr>
            <w:tcW w:w="816" w:type="dxa"/>
            <w:tcBorders>
              <w:left w:val="single" w:sz="4" w:space="0" w:color="D9D9D9" w:themeColor="background1" w:themeShade="D9"/>
            </w:tcBorders>
            <w:shd w:val="clear" w:color="auto" w:fill="auto"/>
            <w:noWrap/>
            <w:vAlign w:val="center"/>
            <w:hideMark/>
          </w:tcPr>
          <w:p w:rsidR="00871692" w:rsidRPr="000C3FB5" w:rsidRDefault="00543C84" w:rsidP="00141A54">
            <w:pPr>
              <w:pStyle w:val="Tabletext0"/>
              <w:ind w:right="56"/>
              <w:jc w:val="right"/>
              <w:rPr>
                <w:rFonts w:ascii="Calibri" w:hAnsi="Calibri" w:cs="Calibri"/>
                <w:color w:val="00305C"/>
                <w:sz w:val="18"/>
                <w:szCs w:val="18"/>
              </w:rPr>
            </w:pPr>
            <w:r w:rsidRPr="000C3FB5">
              <w:rPr>
                <w:rFonts w:ascii="Calibri" w:hAnsi="Calibri" w:cs="Calibri"/>
                <w:color w:val="00305C"/>
                <w:sz w:val="18"/>
                <w:szCs w:val="18"/>
              </w:rPr>
              <w:t>(0.2)</w:t>
            </w:r>
          </w:p>
        </w:tc>
        <w:tc>
          <w:tcPr>
            <w:tcW w:w="735" w:type="dxa"/>
            <w:tcBorders>
              <w:right w:val="single" w:sz="4" w:space="0" w:color="D9D9D9" w:themeColor="background1" w:themeShade="D9"/>
            </w:tcBorders>
            <w:shd w:val="clear" w:color="auto" w:fill="auto"/>
            <w:noWrap/>
            <w:vAlign w:val="center"/>
            <w:hideMark/>
          </w:tcPr>
          <w:p w:rsidR="00871692" w:rsidRPr="000C3FB5" w:rsidRDefault="00543C84" w:rsidP="00141A54">
            <w:pPr>
              <w:pStyle w:val="Tabletext0"/>
              <w:ind w:right="56"/>
              <w:jc w:val="right"/>
              <w:rPr>
                <w:rFonts w:ascii="Calibri" w:hAnsi="Calibri" w:cs="Calibri"/>
                <w:color w:val="00305C"/>
                <w:sz w:val="18"/>
                <w:szCs w:val="18"/>
              </w:rPr>
            </w:pPr>
            <w:r w:rsidRPr="000C3FB5">
              <w:rPr>
                <w:rFonts w:ascii="Calibri" w:hAnsi="Calibri" w:cs="Calibri"/>
                <w:color w:val="00305C"/>
                <w:sz w:val="18"/>
                <w:szCs w:val="18"/>
              </w:rPr>
              <w:t>(80.5)</w:t>
            </w:r>
          </w:p>
        </w:tc>
        <w:tc>
          <w:tcPr>
            <w:tcW w:w="893" w:type="dxa"/>
            <w:tcBorders>
              <w:left w:val="single" w:sz="4" w:space="0" w:color="D9D9D9" w:themeColor="background1" w:themeShade="D9"/>
            </w:tcBorders>
            <w:shd w:val="clear" w:color="auto" w:fill="auto"/>
            <w:noWrap/>
            <w:vAlign w:val="center"/>
            <w:hideMark/>
          </w:tcPr>
          <w:p w:rsidR="00871692" w:rsidRPr="000C3FB5" w:rsidRDefault="00543C84" w:rsidP="00141A54">
            <w:pPr>
              <w:pStyle w:val="Tabletext0"/>
              <w:ind w:right="56"/>
              <w:jc w:val="right"/>
              <w:rPr>
                <w:rFonts w:ascii="Calibri" w:hAnsi="Calibri" w:cs="Calibri"/>
                <w:color w:val="00305C"/>
                <w:sz w:val="18"/>
                <w:szCs w:val="18"/>
              </w:rPr>
            </w:pPr>
            <w:r w:rsidRPr="000C3FB5">
              <w:rPr>
                <w:rFonts w:ascii="Calibri" w:hAnsi="Calibri" w:cs="Calibri"/>
                <w:color w:val="00305C"/>
                <w:sz w:val="18"/>
                <w:szCs w:val="18"/>
              </w:rPr>
              <w:t>(0.2)</w:t>
            </w:r>
          </w:p>
        </w:tc>
        <w:tc>
          <w:tcPr>
            <w:tcW w:w="893" w:type="dxa"/>
            <w:shd w:val="clear" w:color="auto" w:fill="auto"/>
            <w:noWrap/>
            <w:vAlign w:val="center"/>
            <w:hideMark/>
          </w:tcPr>
          <w:p w:rsidR="00871692" w:rsidRPr="000C3FB5" w:rsidRDefault="00543C84" w:rsidP="00141A54">
            <w:pPr>
              <w:pStyle w:val="Tabletext0"/>
              <w:ind w:right="56"/>
              <w:jc w:val="right"/>
              <w:rPr>
                <w:rFonts w:ascii="Calibri" w:hAnsi="Calibri" w:cs="Calibri"/>
                <w:color w:val="00305C"/>
                <w:sz w:val="18"/>
                <w:szCs w:val="18"/>
              </w:rPr>
            </w:pPr>
            <w:r w:rsidRPr="000C3FB5">
              <w:rPr>
                <w:rFonts w:ascii="Calibri" w:hAnsi="Calibri" w:cs="Calibri"/>
                <w:color w:val="00305C"/>
                <w:sz w:val="18"/>
                <w:szCs w:val="18"/>
              </w:rPr>
              <w:t>(80.5)</w:t>
            </w:r>
          </w:p>
        </w:tc>
        <w:tc>
          <w:tcPr>
            <w:tcW w:w="849" w:type="dxa"/>
            <w:shd w:val="clear" w:color="auto" w:fill="auto"/>
            <w:noWrap/>
            <w:vAlign w:val="center"/>
            <w:hideMark/>
          </w:tcPr>
          <w:p w:rsidR="00871692" w:rsidRPr="000C3FB5" w:rsidRDefault="00543C84" w:rsidP="00141A54">
            <w:pPr>
              <w:pStyle w:val="Tabletext0"/>
              <w:ind w:right="56"/>
              <w:jc w:val="right"/>
              <w:rPr>
                <w:rFonts w:ascii="Calibri" w:hAnsi="Calibri" w:cs="Calibri"/>
                <w:color w:val="00305C"/>
                <w:sz w:val="18"/>
                <w:szCs w:val="18"/>
              </w:rPr>
            </w:pPr>
            <w:r w:rsidRPr="000C3FB5">
              <w:rPr>
                <w:rFonts w:ascii="Calibri" w:hAnsi="Calibri" w:cs="Calibri"/>
                <w:color w:val="00305C"/>
                <w:sz w:val="18"/>
                <w:szCs w:val="18"/>
              </w:rPr>
              <w:t>(13.6)</w:t>
            </w:r>
          </w:p>
        </w:tc>
      </w:tr>
      <w:tr w:rsidR="00871692" w:rsidRPr="00113846" w:rsidTr="00700B58">
        <w:trPr>
          <w:trHeight w:val="283"/>
        </w:trPr>
        <w:tc>
          <w:tcPr>
            <w:tcW w:w="2110" w:type="dxa"/>
            <w:tcBorders>
              <w:bottom w:val="single" w:sz="4" w:space="0" w:color="A6A6A6" w:themeColor="background1" w:themeShade="A6"/>
            </w:tcBorders>
            <w:shd w:val="clear" w:color="auto" w:fill="auto"/>
            <w:noWrap/>
            <w:vAlign w:val="center"/>
            <w:hideMark/>
          </w:tcPr>
          <w:p w:rsidR="00871692" w:rsidRPr="00113846" w:rsidRDefault="00871692" w:rsidP="00141A54">
            <w:pPr>
              <w:pStyle w:val="Tabletext0"/>
              <w:ind w:right="85"/>
              <w:rPr>
                <w:rFonts w:ascii="Calibri" w:hAnsi="Calibri" w:cs="Calibri"/>
                <w:color w:val="002B45"/>
              </w:rPr>
            </w:pPr>
            <w:r w:rsidRPr="00113846">
              <w:rPr>
                <w:rFonts w:ascii="Calibri" w:hAnsi="Calibri" w:cs="Calibri"/>
                <w:color w:val="002B45"/>
              </w:rPr>
              <w:t>Production</w:t>
            </w:r>
          </w:p>
        </w:tc>
        <w:tc>
          <w:tcPr>
            <w:tcW w:w="802" w:type="dxa"/>
            <w:tcBorders>
              <w:bottom w:val="single" w:sz="4" w:space="0" w:color="A6A6A6" w:themeColor="background1" w:themeShade="A6"/>
            </w:tcBorders>
            <w:shd w:val="clear" w:color="auto" w:fill="auto"/>
            <w:noWrap/>
            <w:vAlign w:val="center"/>
            <w:hideMark/>
          </w:tcPr>
          <w:p w:rsidR="00871692" w:rsidRPr="000C3FB5" w:rsidRDefault="00543C84" w:rsidP="00141A54">
            <w:pPr>
              <w:pStyle w:val="Tabletext0"/>
              <w:ind w:right="56"/>
              <w:jc w:val="right"/>
              <w:rPr>
                <w:rFonts w:ascii="Calibri" w:hAnsi="Calibri" w:cs="Calibri"/>
                <w:color w:val="00305C"/>
                <w:sz w:val="18"/>
                <w:szCs w:val="18"/>
              </w:rPr>
            </w:pPr>
            <w:r w:rsidRPr="000C3FB5">
              <w:rPr>
                <w:rFonts w:ascii="Calibri" w:hAnsi="Calibri" w:cs="Calibri"/>
                <w:color w:val="00305C"/>
                <w:sz w:val="18"/>
                <w:szCs w:val="18"/>
              </w:rPr>
              <w:t>(23.2)</w:t>
            </w:r>
          </w:p>
        </w:tc>
        <w:tc>
          <w:tcPr>
            <w:tcW w:w="848" w:type="dxa"/>
            <w:tcBorders>
              <w:bottom w:val="single" w:sz="4" w:space="0" w:color="A6A6A6" w:themeColor="background1" w:themeShade="A6"/>
              <w:right w:val="single" w:sz="4" w:space="0" w:color="D9D9D9" w:themeColor="background1" w:themeShade="D9"/>
            </w:tcBorders>
            <w:shd w:val="clear" w:color="auto" w:fill="auto"/>
            <w:noWrap/>
            <w:vAlign w:val="center"/>
            <w:hideMark/>
          </w:tcPr>
          <w:p w:rsidR="00871692" w:rsidRPr="000C3FB5" w:rsidRDefault="00543C84" w:rsidP="00141A54">
            <w:pPr>
              <w:pStyle w:val="Tabletext0"/>
              <w:ind w:right="56"/>
              <w:jc w:val="right"/>
              <w:rPr>
                <w:rFonts w:ascii="Calibri" w:hAnsi="Calibri" w:cs="Calibri"/>
                <w:color w:val="00305C"/>
                <w:sz w:val="18"/>
                <w:szCs w:val="18"/>
              </w:rPr>
            </w:pPr>
            <w:r w:rsidRPr="000C3FB5">
              <w:rPr>
                <w:rFonts w:ascii="Calibri" w:hAnsi="Calibri" w:cs="Calibri"/>
                <w:color w:val="00305C"/>
                <w:sz w:val="18"/>
                <w:szCs w:val="18"/>
              </w:rPr>
              <w:t>(3.0)</w:t>
            </w:r>
          </w:p>
        </w:tc>
        <w:tc>
          <w:tcPr>
            <w:tcW w:w="816" w:type="dxa"/>
            <w:tcBorders>
              <w:left w:val="single" w:sz="4" w:space="0" w:color="D9D9D9" w:themeColor="background1" w:themeShade="D9"/>
              <w:bottom w:val="single" w:sz="4" w:space="0" w:color="A6A6A6" w:themeColor="background1" w:themeShade="A6"/>
            </w:tcBorders>
            <w:shd w:val="clear" w:color="auto" w:fill="auto"/>
            <w:noWrap/>
            <w:vAlign w:val="center"/>
            <w:hideMark/>
          </w:tcPr>
          <w:p w:rsidR="00871692" w:rsidRPr="000C3FB5" w:rsidRDefault="00543C84" w:rsidP="00141A54">
            <w:pPr>
              <w:pStyle w:val="Tabletext0"/>
              <w:ind w:right="56"/>
              <w:jc w:val="right"/>
              <w:rPr>
                <w:rFonts w:ascii="Calibri" w:hAnsi="Calibri" w:cs="Calibri"/>
                <w:color w:val="00305C"/>
                <w:sz w:val="18"/>
                <w:szCs w:val="18"/>
              </w:rPr>
            </w:pPr>
            <w:r w:rsidRPr="000C3FB5">
              <w:rPr>
                <w:rFonts w:ascii="Calibri" w:hAnsi="Calibri" w:cs="Calibri"/>
                <w:color w:val="00305C"/>
                <w:sz w:val="18"/>
                <w:szCs w:val="18"/>
              </w:rPr>
              <w:t>-</w:t>
            </w:r>
          </w:p>
        </w:tc>
        <w:tc>
          <w:tcPr>
            <w:tcW w:w="844" w:type="dxa"/>
            <w:tcBorders>
              <w:bottom w:val="single" w:sz="4" w:space="0" w:color="A6A6A6" w:themeColor="background1" w:themeShade="A6"/>
              <w:right w:val="single" w:sz="4" w:space="0" w:color="D9D9D9" w:themeColor="background1" w:themeShade="D9"/>
            </w:tcBorders>
            <w:shd w:val="clear" w:color="auto" w:fill="auto"/>
            <w:noWrap/>
            <w:vAlign w:val="center"/>
            <w:hideMark/>
          </w:tcPr>
          <w:p w:rsidR="00871692" w:rsidRPr="000C3FB5" w:rsidRDefault="00543C84" w:rsidP="00141A54">
            <w:pPr>
              <w:pStyle w:val="Tabletext0"/>
              <w:ind w:right="56"/>
              <w:jc w:val="right"/>
              <w:rPr>
                <w:rFonts w:ascii="Calibri" w:hAnsi="Calibri" w:cs="Calibri"/>
                <w:color w:val="00305C"/>
                <w:sz w:val="18"/>
                <w:szCs w:val="18"/>
              </w:rPr>
            </w:pPr>
            <w:r w:rsidRPr="000C3FB5">
              <w:rPr>
                <w:rFonts w:ascii="Calibri" w:hAnsi="Calibri" w:cs="Calibri"/>
                <w:color w:val="00305C"/>
                <w:sz w:val="18"/>
                <w:szCs w:val="18"/>
              </w:rPr>
              <w:t>-</w:t>
            </w:r>
          </w:p>
        </w:tc>
        <w:tc>
          <w:tcPr>
            <w:tcW w:w="816" w:type="dxa"/>
            <w:tcBorders>
              <w:left w:val="single" w:sz="4" w:space="0" w:color="D9D9D9" w:themeColor="background1" w:themeShade="D9"/>
              <w:bottom w:val="single" w:sz="4" w:space="0" w:color="A6A6A6" w:themeColor="background1" w:themeShade="A6"/>
            </w:tcBorders>
            <w:shd w:val="clear" w:color="auto" w:fill="auto"/>
            <w:noWrap/>
            <w:vAlign w:val="center"/>
            <w:hideMark/>
          </w:tcPr>
          <w:p w:rsidR="00871692" w:rsidRPr="000C3FB5" w:rsidRDefault="00543C84" w:rsidP="00141A54">
            <w:pPr>
              <w:pStyle w:val="Tabletext0"/>
              <w:ind w:right="56"/>
              <w:jc w:val="right"/>
              <w:rPr>
                <w:rFonts w:ascii="Calibri" w:hAnsi="Calibri" w:cs="Calibri"/>
                <w:color w:val="00305C"/>
                <w:sz w:val="18"/>
                <w:szCs w:val="18"/>
              </w:rPr>
            </w:pPr>
            <w:r w:rsidRPr="000C3FB5">
              <w:rPr>
                <w:rFonts w:ascii="Calibri" w:hAnsi="Calibri" w:cs="Calibri"/>
                <w:color w:val="00305C"/>
                <w:sz w:val="18"/>
                <w:szCs w:val="18"/>
              </w:rPr>
              <w:t>(0.3)</w:t>
            </w:r>
          </w:p>
        </w:tc>
        <w:tc>
          <w:tcPr>
            <w:tcW w:w="735" w:type="dxa"/>
            <w:tcBorders>
              <w:bottom w:val="single" w:sz="4" w:space="0" w:color="A6A6A6" w:themeColor="background1" w:themeShade="A6"/>
              <w:right w:val="single" w:sz="4" w:space="0" w:color="D9D9D9" w:themeColor="background1" w:themeShade="D9"/>
            </w:tcBorders>
            <w:shd w:val="clear" w:color="auto" w:fill="auto"/>
            <w:noWrap/>
            <w:vAlign w:val="center"/>
            <w:hideMark/>
          </w:tcPr>
          <w:p w:rsidR="00871692" w:rsidRPr="000C3FB5" w:rsidRDefault="00543C84" w:rsidP="00141A54">
            <w:pPr>
              <w:pStyle w:val="Tabletext0"/>
              <w:ind w:right="56"/>
              <w:jc w:val="right"/>
              <w:rPr>
                <w:rFonts w:ascii="Calibri" w:hAnsi="Calibri" w:cs="Calibri"/>
                <w:color w:val="00305C"/>
                <w:sz w:val="18"/>
                <w:szCs w:val="18"/>
              </w:rPr>
            </w:pPr>
            <w:r w:rsidRPr="000C3FB5">
              <w:rPr>
                <w:rFonts w:ascii="Calibri" w:hAnsi="Calibri" w:cs="Calibri"/>
                <w:color w:val="00305C"/>
                <w:sz w:val="18"/>
                <w:szCs w:val="18"/>
              </w:rPr>
              <w:t>(39.7)</w:t>
            </w:r>
          </w:p>
        </w:tc>
        <w:tc>
          <w:tcPr>
            <w:tcW w:w="893" w:type="dxa"/>
            <w:tcBorders>
              <w:left w:val="single" w:sz="4" w:space="0" w:color="D9D9D9" w:themeColor="background1" w:themeShade="D9"/>
              <w:bottom w:val="single" w:sz="4" w:space="0" w:color="A6A6A6" w:themeColor="background1" w:themeShade="A6"/>
            </w:tcBorders>
            <w:shd w:val="clear" w:color="auto" w:fill="auto"/>
            <w:noWrap/>
            <w:vAlign w:val="center"/>
            <w:hideMark/>
          </w:tcPr>
          <w:p w:rsidR="00871692" w:rsidRPr="000C3FB5" w:rsidRDefault="00543C84" w:rsidP="00141A54">
            <w:pPr>
              <w:pStyle w:val="Tabletext0"/>
              <w:ind w:right="56"/>
              <w:jc w:val="right"/>
              <w:rPr>
                <w:rFonts w:ascii="Calibri" w:hAnsi="Calibri" w:cs="Calibri"/>
                <w:color w:val="00305C"/>
                <w:sz w:val="18"/>
                <w:szCs w:val="18"/>
              </w:rPr>
            </w:pPr>
            <w:r w:rsidRPr="000C3FB5">
              <w:rPr>
                <w:rFonts w:ascii="Calibri" w:hAnsi="Calibri" w:cs="Calibri"/>
                <w:color w:val="00305C"/>
                <w:sz w:val="18"/>
                <w:szCs w:val="18"/>
              </w:rPr>
              <w:t>(23.5)</w:t>
            </w:r>
          </w:p>
        </w:tc>
        <w:tc>
          <w:tcPr>
            <w:tcW w:w="893" w:type="dxa"/>
            <w:tcBorders>
              <w:bottom w:val="single" w:sz="4" w:space="0" w:color="A6A6A6" w:themeColor="background1" w:themeShade="A6"/>
            </w:tcBorders>
            <w:shd w:val="clear" w:color="auto" w:fill="auto"/>
            <w:noWrap/>
            <w:vAlign w:val="center"/>
            <w:hideMark/>
          </w:tcPr>
          <w:p w:rsidR="00871692" w:rsidRPr="000C3FB5" w:rsidRDefault="00543C84" w:rsidP="00141A54">
            <w:pPr>
              <w:pStyle w:val="Tabletext0"/>
              <w:ind w:right="56"/>
              <w:jc w:val="right"/>
              <w:rPr>
                <w:rFonts w:ascii="Calibri" w:hAnsi="Calibri" w:cs="Calibri"/>
                <w:color w:val="00305C"/>
                <w:sz w:val="18"/>
                <w:szCs w:val="18"/>
              </w:rPr>
            </w:pPr>
            <w:r w:rsidRPr="000C3FB5">
              <w:rPr>
                <w:rFonts w:ascii="Calibri" w:hAnsi="Calibri" w:cs="Calibri"/>
                <w:color w:val="00305C"/>
                <w:sz w:val="18"/>
                <w:szCs w:val="18"/>
              </w:rPr>
              <w:t>(42.7)</w:t>
            </w:r>
          </w:p>
        </w:tc>
        <w:tc>
          <w:tcPr>
            <w:tcW w:w="849" w:type="dxa"/>
            <w:tcBorders>
              <w:bottom w:val="single" w:sz="4" w:space="0" w:color="A6A6A6" w:themeColor="background1" w:themeShade="A6"/>
            </w:tcBorders>
            <w:shd w:val="clear" w:color="auto" w:fill="auto"/>
            <w:noWrap/>
            <w:vAlign w:val="center"/>
            <w:hideMark/>
          </w:tcPr>
          <w:p w:rsidR="00871692" w:rsidRPr="000C3FB5" w:rsidRDefault="00543C84" w:rsidP="00141A54">
            <w:pPr>
              <w:pStyle w:val="Tabletext0"/>
              <w:ind w:right="56"/>
              <w:jc w:val="right"/>
              <w:rPr>
                <w:rFonts w:ascii="Calibri" w:hAnsi="Calibri" w:cs="Calibri"/>
                <w:color w:val="00305C"/>
                <w:sz w:val="18"/>
                <w:szCs w:val="18"/>
              </w:rPr>
            </w:pPr>
            <w:r w:rsidRPr="000C3FB5">
              <w:rPr>
                <w:rFonts w:ascii="Calibri" w:hAnsi="Calibri" w:cs="Calibri"/>
                <w:color w:val="00305C"/>
                <w:sz w:val="18"/>
                <w:szCs w:val="18"/>
              </w:rPr>
              <w:t>(30.6)</w:t>
            </w:r>
          </w:p>
        </w:tc>
      </w:tr>
      <w:tr w:rsidR="00871692" w:rsidRPr="00113846" w:rsidTr="00772C45">
        <w:trPr>
          <w:trHeight w:val="283"/>
        </w:trPr>
        <w:tc>
          <w:tcPr>
            <w:tcW w:w="2110" w:type="dxa"/>
            <w:tcBorders>
              <w:top w:val="single" w:sz="4" w:space="0" w:color="A6A6A6" w:themeColor="background1" w:themeShade="A6"/>
              <w:bottom w:val="single" w:sz="8" w:space="0" w:color="C0C0C0"/>
            </w:tcBorders>
            <w:shd w:val="clear" w:color="auto" w:fill="auto"/>
            <w:noWrap/>
            <w:vAlign w:val="center"/>
            <w:hideMark/>
          </w:tcPr>
          <w:p w:rsidR="00871692" w:rsidRPr="00113846" w:rsidRDefault="00871692" w:rsidP="00141A54">
            <w:pPr>
              <w:pStyle w:val="Tabletext0"/>
              <w:ind w:right="85"/>
              <w:rPr>
                <w:rFonts w:ascii="Calibri" w:hAnsi="Calibri" w:cs="Calibri"/>
                <w:color w:val="002B45"/>
              </w:rPr>
            </w:pPr>
            <w:r w:rsidRPr="00113846">
              <w:rPr>
                <w:rFonts w:ascii="Calibri" w:hAnsi="Calibri" w:cs="Calibri"/>
                <w:color w:val="002B45"/>
              </w:rPr>
              <w:t>31 Decem</w:t>
            </w:r>
            <w:r>
              <w:rPr>
                <w:rFonts w:ascii="Calibri" w:hAnsi="Calibri" w:cs="Calibri"/>
                <w:color w:val="002B45"/>
              </w:rPr>
              <w:t>ber 201</w:t>
            </w:r>
            <w:r w:rsidR="00F06A27">
              <w:rPr>
                <w:rFonts w:ascii="Calibri" w:hAnsi="Calibri" w:cs="Calibri"/>
                <w:color w:val="002B45"/>
              </w:rPr>
              <w:t>3</w:t>
            </w:r>
          </w:p>
        </w:tc>
        <w:tc>
          <w:tcPr>
            <w:tcW w:w="802" w:type="dxa"/>
            <w:tcBorders>
              <w:top w:val="single" w:sz="4" w:space="0" w:color="A6A6A6" w:themeColor="background1" w:themeShade="A6"/>
              <w:bottom w:val="single" w:sz="8" w:space="0" w:color="C0C0C0"/>
            </w:tcBorders>
            <w:shd w:val="clear" w:color="auto" w:fill="auto"/>
            <w:noWrap/>
            <w:vAlign w:val="center"/>
            <w:hideMark/>
          </w:tcPr>
          <w:p w:rsidR="00871692" w:rsidRPr="000C3FB5" w:rsidRDefault="00543C84" w:rsidP="00141A54">
            <w:pPr>
              <w:pStyle w:val="Tabletext0"/>
              <w:ind w:right="56"/>
              <w:jc w:val="right"/>
              <w:rPr>
                <w:rFonts w:ascii="Calibri" w:hAnsi="Calibri" w:cs="Calibri"/>
                <w:color w:val="00305C"/>
                <w:sz w:val="18"/>
                <w:szCs w:val="18"/>
              </w:rPr>
            </w:pPr>
            <w:r w:rsidRPr="000C3FB5">
              <w:rPr>
                <w:rFonts w:ascii="Calibri" w:hAnsi="Calibri" w:cs="Calibri"/>
                <w:color w:val="00305C"/>
                <w:sz w:val="18"/>
                <w:szCs w:val="18"/>
              </w:rPr>
              <w:t>326.0</w:t>
            </w:r>
          </w:p>
        </w:tc>
        <w:tc>
          <w:tcPr>
            <w:tcW w:w="848" w:type="dxa"/>
            <w:tcBorders>
              <w:top w:val="single" w:sz="4" w:space="0" w:color="A6A6A6" w:themeColor="background1" w:themeShade="A6"/>
              <w:bottom w:val="single" w:sz="8" w:space="0" w:color="C0C0C0"/>
              <w:right w:val="single" w:sz="4" w:space="0" w:color="D9D9D9" w:themeColor="background1" w:themeShade="D9"/>
            </w:tcBorders>
            <w:shd w:val="clear" w:color="auto" w:fill="auto"/>
            <w:noWrap/>
            <w:vAlign w:val="center"/>
            <w:hideMark/>
          </w:tcPr>
          <w:p w:rsidR="00871692" w:rsidRPr="000C3FB5" w:rsidRDefault="00543C84" w:rsidP="00141A54">
            <w:pPr>
              <w:pStyle w:val="Tabletext0"/>
              <w:ind w:right="56"/>
              <w:jc w:val="right"/>
              <w:rPr>
                <w:rFonts w:ascii="Calibri" w:hAnsi="Calibri" w:cs="Calibri"/>
                <w:color w:val="00305C"/>
                <w:sz w:val="18"/>
                <w:szCs w:val="18"/>
              </w:rPr>
            </w:pPr>
            <w:r w:rsidRPr="000C3FB5">
              <w:rPr>
                <w:rFonts w:ascii="Calibri" w:hAnsi="Calibri" w:cs="Calibri"/>
                <w:color w:val="00305C"/>
                <w:sz w:val="18"/>
                <w:szCs w:val="18"/>
              </w:rPr>
              <w:t>175.9</w:t>
            </w:r>
          </w:p>
        </w:tc>
        <w:tc>
          <w:tcPr>
            <w:tcW w:w="816" w:type="dxa"/>
            <w:tcBorders>
              <w:top w:val="single" w:sz="4" w:space="0" w:color="A6A6A6" w:themeColor="background1" w:themeShade="A6"/>
              <w:left w:val="single" w:sz="4" w:space="0" w:color="D9D9D9" w:themeColor="background1" w:themeShade="D9"/>
              <w:bottom w:val="single" w:sz="8" w:space="0" w:color="C0C0C0"/>
            </w:tcBorders>
            <w:shd w:val="clear" w:color="auto" w:fill="auto"/>
            <w:noWrap/>
            <w:vAlign w:val="center"/>
            <w:hideMark/>
          </w:tcPr>
          <w:p w:rsidR="00871692" w:rsidRPr="000C3FB5" w:rsidRDefault="00543C84" w:rsidP="00141A54">
            <w:pPr>
              <w:pStyle w:val="Tabletext0"/>
              <w:ind w:right="56"/>
              <w:jc w:val="right"/>
              <w:rPr>
                <w:rFonts w:ascii="Calibri" w:hAnsi="Calibri" w:cs="Calibri"/>
                <w:color w:val="00305C"/>
                <w:sz w:val="18"/>
                <w:szCs w:val="18"/>
              </w:rPr>
            </w:pPr>
            <w:r w:rsidRPr="000C3FB5">
              <w:rPr>
                <w:rFonts w:ascii="Calibri" w:hAnsi="Calibri" w:cs="Calibri"/>
                <w:color w:val="00305C"/>
                <w:sz w:val="18"/>
                <w:szCs w:val="18"/>
              </w:rPr>
              <w:t>-</w:t>
            </w:r>
          </w:p>
        </w:tc>
        <w:tc>
          <w:tcPr>
            <w:tcW w:w="844" w:type="dxa"/>
            <w:tcBorders>
              <w:top w:val="single" w:sz="4" w:space="0" w:color="A6A6A6" w:themeColor="background1" w:themeShade="A6"/>
              <w:bottom w:val="single" w:sz="8" w:space="0" w:color="C0C0C0"/>
              <w:right w:val="single" w:sz="4" w:space="0" w:color="D9D9D9" w:themeColor="background1" w:themeShade="D9"/>
            </w:tcBorders>
            <w:shd w:val="clear" w:color="auto" w:fill="auto"/>
            <w:noWrap/>
            <w:vAlign w:val="center"/>
            <w:hideMark/>
          </w:tcPr>
          <w:p w:rsidR="00871692" w:rsidRPr="000C3FB5" w:rsidRDefault="00543C84" w:rsidP="00141A54">
            <w:pPr>
              <w:pStyle w:val="Tabletext0"/>
              <w:ind w:right="56"/>
              <w:jc w:val="right"/>
              <w:rPr>
                <w:rFonts w:ascii="Calibri" w:hAnsi="Calibri" w:cs="Calibri"/>
                <w:color w:val="00305C"/>
                <w:sz w:val="18"/>
                <w:szCs w:val="18"/>
              </w:rPr>
            </w:pPr>
            <w:r w:rsidRPr="000C3FB5">
              <w:rPr>
                <w:rFonts w:ascii="Calibri" w:hAnsi="Calibri" w:cs="Calibri"/>
                <w:color w:val="00305C"/>
                <w:sz w:val="18"/>
                <w:szCs w:val="18"/>
              </w:rPr>
              <w:t>-</w:t>
            </w:r>
          </w:p>
        </w:tc>
        <w:tc>
          <w:tcPr>
            <w:tcW w:w="816" w:type="dxa"/>
            <w:tcBorders>
              <w:top w:val="single" w:sz="4" w:space="0" w:color="A6A6A6" w:themeColor="background1" w:themeShade="A6"/>
              <w:left w:val="single" w:sz="4" w:space="0" w:color="D9D9D9" w:themeColor="background1" w:themeShade="D9"/>
              <w:bottom w:val="single" w:sz="8" w:space="0" w:color="C0C0C0"/>
            </w:tcBorders>
            <w:shd w:val="clear" w:color="auto" w:fill="auto"/>
            <w:noWrap/>
            <w:vAlign w:val="center"/>
            <w:hideMark/>
          </w:tcPr>
          <w:p w:rsidR="00871692" w:rsidRPr="000C3FB5" w:rsidRDefault="00543C84" w:rsidP="00141A54">
            <w:pPr>
              <w:pStyle w:val="Tabletext0"/>
              <w:ind w:right="56"/>
              <w:jc w:val="right"/>
              <w:rPr>
                <w:rFonts w:ascii="Calibri" w:hAnsi="Calibri" w:cs="Calibri"/>
                <w:color w:val="00305C"/>
                <w:sz w:val="18"/>
                <w:szCs w:val="18"/>
              </w:rPr>
            </w:pPr>
            <w:r w:rsidRPr="000C3FB5">
              <w:rPr>
                <w:rFonts w:ascii="Calibri" w:hAnsi="Calibri" w:cs="Calibri"/>
                <w:color w:val="00305C"/>
                <w:sz w:val="18"/>
                <w:szCs w:val="18"/>
              </w:rPr>
              <w:t>1.3</w:t>
            </w:r>
          </w:p>
        </w:tc>
        <w:tc>
          <w:tcPr>
            <w:tcW w:w="735" w:type="dxa"/>
            <w:tcBorders>
              <w:top w:val="single" w:sz="4" w:space="0" w:color="A6A6A6" w:themeColor="background1" w:themeShade="A6"/>
              <w:bottom w:val="single" w:sz="8" w:space="0" w:color="C0C0C0"/>
              <w:right w:val="single" w:sz="4" w:space="0" w:color="D9D9D9" w:themeColor="background1" w:themeShade="D9"/>
            </w:tcBorders>
            <w:shd w:val="clear" w:color="auto" w:fill="auto"/>
            <w:noWrap/>
            <w:vAlign w:val="center"/>
            <w:hideMark/>
          </w:tcPr>
          <w:p w:rsidR="00871692" w:rsidRPr="000C3FB5" w:rsidRDefault="00543C84" w:rsidP="00141A54">
            <w:pPr>
              <w:pStyle w:val="Tabletext0"/>
              <w:ind w:right="56"/>
              <w:jc w:val="right"/>
              <w:rPr>
                <w:rFonts w:ascii="Calibri" w:hAnsi="Calibri" w:cs="Calibri"/>
                <w:color w:val="00305C"/>
                <w:sz w:val="18"/>
                <w:szCs w:val="18"/>
              </w:rPr>
            </w:pPr>
            <w:r w:rsidRPr="000C3FB5">
              <w:rPr>
                <w:rFonts w:ascii="Calibri" w:hAnsi="Calibri" w:cs="Calibri"/>
                <w:color w:val="00305C"/>
                <w:sz w:val="18"/>
                <w:szCs w:val="18"/>
              </w:rPr>
              <w:t>154.6</w:t>
            </w:r>
          </w:p>
        </w:tc>
        <w:tc>
          <w:tcPr>
            <w:tcW w:w="893" w:type="dxa"/>
            <w:tcBorders>
              <w:top w:val="single" w:sz="4" w:space="0" w:color="A6A6A6" w:themeColor="background1" w:themeShade="A6"/>
              <w:left w:val="single" w:sz="4" w:space="0" w:color="D9D9D9" w:themeColor="background1" w:themeShade="D9"/>
              <w:bottom w:val="single" w:sz="8" w:space="0" w:color="C0C0C0"/>
            </w:tcBorders>
            <w:shd w:val="clear" w:color="auto" w:fill="auto"/>
            <w:noWrap/>
            <w:vAlign w:val="center"/>
            <w:hideMark/>
          </w:tcPr>
          <w:p w:rsidR="00871692" w:rsidRPr="000C3FB5" w:rsidRDefault="00543C84" w:rsidP="00141A54">
            <w:pPr>
              <w:pStyle w:val="Tabletext0"/>
              <w:ind w:right="56"/>
              <w:jc w:val="right"/>
              <w:rPr>
                <w:rFonts w:ascii="Calibri" w:hAnsi="Calibri" w:cs="Calibri"/>
                <w:color w:val="00305C"/>
                <w:sz w:val="18"/>
                <w:szCs w:val="18"/>
              </w:rPr>
            </w:pPr>
            <w:r w:rsidRPr="000C3FB5">
              <w:rPr>
                <w:rFonts w:ascii="Calibri" w:hAnsi="Calibri" w:cs="Calibri"/>
                <w:color w:val="00305C"/>
                <w:sz w:val="18"/>
                <w:szCs w:val="18"/>
              </w:rPr>
              <w:t>327.3</w:t>
            </w:r>
          </w:p>
        </w:tc>
        <w:tc>
          <w:tcPr>
            <w:tcW w:w="893" w:type="dxa"/>
            <w:tcBorders>
              <w:top w:val="single" w:sz="4" w:space="0" w:color="A6A6A6" w:themeColor="background1" w:themeShade="A6"/>
              <w:bottom w:val="single" w:sz="8" w:space="0" w:color="C0C0C0"/>
            </w:tcBorders>
            <w:shd w:val="clear" w:color="auto" w:fill="auto"/>
            <w:noWrap/>
            <w:vAlign w:val="center"/>
            <w:hideMark/>
          </w:tcPr>
          <w:p w:rsidR="00871692" w:rsidRPr="000C3FB5" w:rsidRDefault="00543C84" w:rsidP="00141A54">
            <w:pPr>
              <w:pStyle w:val="Tabletext0"/>
              <w:ind w:right="56"/>
              <w:jc w:val="right"/>
              <w:rPr>
                <w:rFonts w:ascii="Calibri" w:hAnsi="Calibri" w:cs="Calibri"/>
                <w:color w:val="00305C"/>
                <w:sz w:val="18"/>
                <w:szCs w:val="18"/>
              </w:rPr>
            </w:pPr>
            <w:r w:rsidRPr="000C3FB5">
              <w:rPr>
                <w:rFonts w:ascii="Calibri" w:hAnsi="Calibri" w:cs="Calibri"/>
                <w:color w:val="00305C"/>
                <w:sz w:val="18"/>
                <w:szCs w:val="18"/>
              </w:rPr>
              <w:t>330.5</w:t>
            </w:r>
          </w:p>
        </w:tc>
        <w:tc>
          <w:tcPr>
            <w:tcW w:w="849" w:type="dxa"/>
            <w:tcBorders>
              <w:top w:val="single" w:sz="4" w:space="0" w:color="A6A6A6" w:themeColor="background1" w:themeShade="A6"/>
              <w:bottom w:val="single" w:sz="8" w:space="0" w:color="C0C0C0"/>
            </w:tcBorders>
            <w:shd w:val="clear" w:color="auto" w:fill="auto"/>
            <w:noWrap/>
            <w:vAlign w:val="center"/>
            <w:hideMark/>
          </w:tcPr>
          <w:p w:rsidR="00871692" w:rsidRPr="000C3FB5" w:rsidRDefault="00543C84" w:rsidP="00141A54">
            <w:pPr>
              <w:pStyle w:val="Tabletext0"/>
              <w:ind w:right="56"/>
              <w:jc w:val="right"/>
              <w:rPr>
                <w:rFonts w:ascii="Calibri" w:hAnsi="Calibri" w:cs="Calibri"/>
                <w:color w:val="00305C"/>
                <w:sz w:val="18"/>
                <w:szCs w:val="18"/>
              </w:rPr>
            </w:pPr>
            <w:r w:rsidRPr="000C3FB5">
              <w:rPr>
                <w:rFonts w:ascii="Calibri" w:hAnsi="Calibri" w:cs="Calibri"/>
                <w:color w:val="00305C"/>
                <w:sz w:val="18"/>
                <w:szCs w:val="18"/>
              </w:rPr>
              <w:t>382.4</w:t>
            </w:r>
          </w:p>
        </w:tc>
      </w:tr>
      <w:tr w:rsidR="00772C45" w:rsidRPr="00113846" w:rsidTr="00772C45">
        <w:trPr>
          <w:trHeight w:val="391"/>
        </w:trPr>
        <w:tc>
          <w:tcPr>
            <w:tcW w:w="3760" w:type="dxa"/>
            <w:gridSpan w:val="3"/>
            <w:tcBorders>
              <w:top w:val="single" w:sz="8" w:space="0" w:color="C0C0C0"/>
              <w:bottom w:val="single" w:sz="8" w:space="0" w:color="C0C0C0"/>
              <w:right w:val="single" w:sz="4" w:space="0" w:color="D9D9D9" w:themeColor="background1" w:themeShade="D9"/>
            </w:tcBorders>
            <w:shd w:val="clear" w:color="auto" w:fill="auto"/>
            <w:noWrap/>
            <w:vAlign w:val="center"/>
            <w:hideMark/>
          </w:tcPr>
          <w:p w:rsidR="00772C45" w:rsidRPr="000C3FB5" w:rsidRDefault="00772C45" w:rsidP="00772C45">
            <w:pPr>
              <w:pStyle w:val="Tabletext0"/>
              <w:ind w:right="56"/>
              <w:rPr>
                <w:rFonts w:ascii="Calibri" w:hAnsi="Calibri" w:cs="Calibri"/>
                <w:color w:val="00305C"/>
                <w:sz w:val="18"/>
                <w:szCs w:val="18"/>
              </w:rPr>
            </w:pPr>
            <w:r w:rsidRPr="00074ED0">
              <w:rPr>
                <w:rFonts w:ascii="Calibri" w:hAnsi="Calibri" w:cs="Calibri"/>
                <w:b/>
                <w:color w:val="002B45"/>
              </w:rPr>
              <w:t>CONTINGENT RESOURCES</w:t>
            </w:r>
          </w:p>
        </w:tc>
        <w:tc>
          <w:tcPr>
            <w:tcW w:w="816" w:type="dxa"/>
            <w:tcBorders>
              <w:top w:val="single" w:sz="8" w:space="0" w:color="C0C0C0"/>
              <w:left w:val="single" w:sz="4" w:space="0" w:color="D9D9D9" w:themeColor="background1" w:themeShade="D9"/>
              <w:bottom w:val="single" w:sz="8" w:space="0" w:color="C0C0C0"/>
            </w:tcBorders>
            <w:shd w:val="clear" w:color="auto" w:fill="auto"/>
            <w:noWrap/>
            <w:vAlign w:val="center"/>
            <w:hideMark/>
          </w:tcPr>
          <w:p w:rsidR="00772C45" w:rsidRPr="000C3FB5" w:rsidRDefault="00772C45" w:rsidP="00141A54">
            <w:pPr>
              <w:pStyle w:val="Tabletext0"/>
              <w:ind w:right="56"/>
              <w:jc w:val="right"/>
              <w:rPr>
                <w:rFonts w:ascii="Calibri" w:hAnsi="Calibri" w:cs="Calibri"/>
                <w:color w:val="00305C"/>
                <w:sz w:val="18"/>
                <w:szCs w:val="18"/>
              </w:rPr>
            </w:pPr>
          </w:p>
        </w:tc>
        <w:tc>
          <w:tcPr>
            <w:tcW w:w="844" w:type="dxa"/>
            <w:tcBorders>
              <w:top w:val="single" w:sz="8" w:space="0" w:color="C0C0C0"/>
              <w:bottom w:val="single" w:sz="8" w:space="0" w:color="C0C0C0"/>
              <w:right w:val="single" w:sz="4" w:space="0" w:color="D9D9D9" w:themeColor="background1" w:themeShade="D9"/>
            </w:tcBorders>
            <w:shd w:val="clear" w:color="auto" w:fill="auto"/>
            <w:noWrap/>
            <w:vAlign w:val="center"/>
            <w:hideMark/>
          </w:tcPr>
          <w:p w:rsidR="00772C45" w:rsidRPr="000C3FB5" w:rsidRDefault="00772C45" w:rsidP="00141A54">
            <w:pPr>
              <w:pStyle w:val="Tabletext0"/>
              <w:ind w:right="56"/>
              <w:jc w:val="right"/>
              <w:rPr>
                <w:rFonts w:ascii="Calibri" w:hAnsi="Calibri" w:cs="Calibri"/>
                <w:color w:val="00305C"/>
                <w:sz w:val="18"/>
                <w:szCs w:val="18"/>
              </w:rPr>
            </w:pPr>
          </w:p>
        </w:tc>
        <w:tc>
          <w:tcPr>
            <w:tcW w:w="816" w:type="dxa"/>
            <w:tcBorders>
              <w:top w:val="single" w:sz="8" w:space="0" w:color="C0C0C0"/>
              <w:left w:val="single" w:sz="4" w:space="0" w:color="D9D9D9" w:themeColor="background1" w:themeShade="D9"/>
              <w:bottom w:val="single" w:sz="8" w:space="0" w:color="C0C0C0"/>
            </w:tcBorders>
            <w:shd w:val="clear" w:color="auto" w:fill="auto"/>
            <w:noWrap/>
            <w:vAlign w:val="center"/>
            <w:hideMark/>
          </w:tcPr>
          <w:p w:rsidR="00772C45" w:rsidRPr="000C3FB5" w:rsidRDefault="00772C45" w:rsidP="00141A54">
            <w:pPr>
              <w:pStyle w:val="Tabletext0"/>
              <w:ind w:right="56"/>
              <w:jc w:val="right"/>
              <w:rPr>
                <w:rFonts w:ascii="Calibri" w:hAnsi="Calibri" w:cs="Calibri"/>
                <w:color w:val="00305C"/>
                <w:sz w:val="18"/>
                <w:szCs w:val="18"/>
              </w:rPr>
            </w:pPr>
          </w:p>
        </w:tc>
        <w:tc>
          <w:tcPr>
            <w:tcW w:w="735" w:type="dxa"/>
            <w:tcBorders>
              <w:top w:val="single" w:sz="8" w:space="0" w:color="C0C0C0"/>
              <w:bottom w:val="single" w:sz="8" w:space="0" w:color="C0C0C0"/>
              <w:right w:val="single" w:sz="4" w:space="0" w:color="D9D9D9" w:themeColor="background1" w:themeShade="D9"/>
            </w:tcBorders>
            <w:shd w:val="clear" w:color="auto" w:fill="auto"/>
            <w:noWrap/>
            <w:vAlign w:val="center"/>
            <w:hideMark/>
          </w:tcPr>
          <w:p w:rsidR="00772C45" w:rsidRPr="000C3FB5" w:rsidRDefault="00772C45" w:rsidP="00141A54">
            <w:pPr>
              <w:pStyle w:val="Tabletext0"/>
              <w:ind w:right="56"/>
              <w:jc w:val="right"/>
              <w:rPr>
                <w:rFonts w:ascii="Calibri" w:hAnsi="Calibri" w:cs="Calibri"/>
                <w:color w:val="00305C"/>
                <w:sz w:val="18"/>
                <w:szCs w:val="18"/>
              </w:rPr>
            </w:pPr>
          </w:p>
        </w:tc>
        <w:tc>
          <w:tcPr>
            <w:tcW w:w="893" w:type="dxa"/>
            <w:tcBorders>
              <w:top w:val="single" w:sz="8" w:space="0" w:color="C0C0C0"/>
              <w:left w:val="single" w:sz="4" w:space="0" w:color="D9D9D9" w:themeColor="background1" w:themeShade="D9"/>
              <w:bottom w:val="single" w:sz="8" w:space="0" w:color="C0C0C0"/>
            </w:tcBorders>
            <w:shd w:val="clear" w:color="auto" w:fill="auto"/>
            <w:noWrap/>
            <w:vAlign w:val="center"/>
            <w:hideMark/>
          </w:tcPr>
          <w:p w:rsidR="00772C45" w:rsidRPr="000C3FB5" w:rsidRDefault="00772C45" w:rsidP="00141A54">
            <w:pPr>
              <w:pStyle w:val="Tabletext0"/>
              <w:ind w:right="56"/>
              <w:jc w:val="right"/>
              <w:rPr>
                <w:rFonts w:ascii="Calibri" w:hAnsi="Calibri" w:cs="Calibri"/>
                <w:color w:val="00305C"/>
                <w:sz w:val="18"/>
                <w:szCs w:val="18"/>
              </w:rPr>
            </w:pPr>
          </w:p>
        </w:tc>
        <w:tc>
          <w:tcPr>
            <w:tcW w:w="893" w:type="dxa"/>
            <w:tcBorders>
              <w:top w:val="single" w:sz="8" w:space="0" w:color="C0C0C0"/>
              <w:bottom w:val="single" w:sz="8" w:space="0" w:color="C0C0C0"/>
            </w:tcBorders>
            <w:shd w:val="clear" w:color="auto" w:fill="auto"/>
            <w:noWrap/>
            <w:vAlign w:val="center"/>
            <w:hideMark/>
          </w:tcPr>
          <w:p w:rsidR="00772C45" w:rsidRPr="000C3FB5" w:rsidRDefault="00772C45" w:rsidP="00141A54">
            <w:pPr>
              <w:pStyle w:val="Tabletext0"/>
              <w:ind w:right="56"/>
              <w:jc w:val="right"/>
              <w:rPr>
                <w:rFonts w:ascii="Calibri" w:hAnsi="Calibri" w:cs="Calibri"/>
                <w:color w:val="00305C"/>
                <w:sz w:val="18"/>
                <w:szCs w:val="18"/>
              </w:rPr>
            </w:pPr>
          </w:p>
        </w:tc>
        <w:tc>
          <w:tcPr>
            <w:tcW w:w="849" w:type="dxa"/>
            <w:tcBorders>
              <w:top w:val="single" w:sz="8" w:space="0" w:color="C0C0C0"/>
              <w:bottom w:val="single" w:sz="8" w:space="0" w:color="C0C0C0"/>
            </w:tcBorders>
            <w:shd w:val="clear" w:color="auto" w:fill="auto"/>
            <w:noWrap/>
            <w:vAlign w:val="center"/>
            <w:hideMark/>
          </w:tcPr>
          <w:p w:rsidR="00772C45" w:rsidRPr="000C3FB5" w:rsidRDefault="00772C45" w:rsidP="00141A54">
            <w:pPr>
              <w:pStyle w:val="Tabletext0"/>
              <w:ind w:right="56"/>
              <w:jc w:val="right"/>
              <w:rPr>
                <w:rFonts w:ascii="Calibri" w:hAnsi="Calibri" w:cs="Calibri"/>
                <w:color w:val="00305C"/>
                <w:sz w:val="18"/>
                <w:szCs w:val="18"/>
              </w:rPr>
            </w:pPr>
          </w:p>
        </w:tc>
      </w:tr>
      <w:tr w:rsidR="00871692" w:rsidRPr="00113846" w:rsidTr="00772C45">
        <w:trPr>
          <w:trHeight w:val="283"/>
        </w:trPr>
        <w:tc>
          <w:tcPr>
            <w:tcW w:w="2110" w:type="dxa"/>
            <w:tcBorders>
              <w:top w:val="single" w:sz="8" w:space="0" w:color="C0C0C0"/>
            </w:tcBorders>
            <w:shd w:val="clear" w:color="auto" w:fill="auto"/>
            <w:noWrap/>
            <w:vAlign w:val="center"/>
            <w:hideMark/>
          </w:tcPr>
          <w:p w:rsidR="00871692" w:rsidRPr="00113846" w:rsidRDefault="00871692" w:rsidP="00141A54">
            <w:pPr>
              <w:pStyle w:val="Tabletext0"/>
              <w:ind w:right="85"/>
              <w:rPr>
                <w:rFonts w:ascii="Calibri" w:hAnsi="Calibri" w:cs="Calibri"/>
                <w:color w:val="002B45"/>
              </w:rPr>
            </w:pPr>
            <w:r>
              <w:rPr>
                <w:rFonts w:ascii="Calibri" w:hAnsi="Calibri" w:cs="Calibri"/>
                <w:color w:val="002B45"/>
              </w:rPr>
              <w:t>31 December 201</w:t>
            </w:r>
            <w:r w:rsidR="00F06A27">
              <w:rPr>
                <w:rFonts w:ascii="Calibri" w:hAnsi="Calibri" w:cs="Calibri"/>
                <w:color w:val="002B45"/>
              </w:rPr>
              <w:t>2</w:t>
            </w:r>
          </w:p>
        </w:tc>
        <w:tc>
          <w:tcPr>
            <w:tcW w:w="802" w:type="dxa"/>
            <w:tcBorders>
              <w:top w:val="single" w:sz="8" w:space="0" w:color="C0C0C0"/>
            </w:tcBorders>
            <w:shd w:val="clear" w:color="auto" w:fill="auto"/>
            <w:noWrap/>
            <w:vAlign w:val="center"/>
            <w:hideMark/>
          </w:tcPr>
          <w:p w:rsidR="00871692" w:rsidRPr="000C3FB5" w:rsidRDefault="003502F4" w:rsidP="00141A54">
            <w:pPr>
              <w:pStyle w:val="Tabletext0"/>
              <w:ind w:right="56"/>
              <w:jc w:val="right"/>
              <w:rPr>
                <w:rFonts w:ascii="Calibri" w:hAnsi="Calibri" w:cs="Calibri"/>
                <w:color w:val="00305C"/>
                <w:sz w:val="18"/>
                <w:szCs w:val="18"/>
              </w:rPr>
            </w:pPr>
            <w:r w:rsidRPr="000C3FB5">
              <w:rPr>
                <w:rFonts w:ascii="Calibri" w:hAnsi="Calibri" w:cs="Calibri"/>
                <w:color w:val="00305C"/>
                <w:sz w:val="18"/>
                <w:szCs w:val="18"/>
              </w:rPr>
              <w:t>77.2</w:t>
            </w:r>
          </w:p>
        </w:tc>
        <w:tc>
          <w:tcPr>
            <w:tcW w:w="848" w:type="dxa"/>
            <w:tcBorders>
              <w:top w:val="single" w:sz="8" w:space="0" w:color="C0C0C0"/>
              <w:right w:val="single" w:sz="4" w:space="0" w:color="D9D9D9" w:themeColor="background1" w:themeShade="D9"/>
            </w:tcBorders>
            <w:shd w:val="clear" w:color="auto" w:fill="auto"/>
            <w:noWrap/>
            <w:vAlign w:val="center"/>
            <w:hideMark/>
          </w:tcPr>
          <w:p w:rsidR="00871692" w:rsidRPr="000C3FB5" w:rsidRDefault="003502F4" w:rsidP="00141A54">
            <w:pPr>
              <w:pStyle w:val="Tabletext0"/>
              <w:ind w:right="56"/>
              <w:jc w:val="right"/>
              <w:rPr>
                <w:rFonts w:ascii="Calibri" w:hAnsi="Calibri" w:cs="Calibri"/>
                <w:color w:val="00305C"/>
                <w:sz w:val="18"/>
                <w:szCs w:val="18"/>
              </w:rPr>
            </w:pPr>
            <w:r w:rsidRPr="000C3FB5">
              <w:rPr>
                <w:rFonts w:ascii="Calibri" w:hAnsi="Calibri" w:cs="Calibri"/>
                <w:color w:val="00305C"/>
                <w:sz w:val="18"/>
                <w:szCs w:val="18"/>
              </w:rPr>
              <w:t>1,363.8</w:t>
            </w:r>
          </w:p>
        </w:tc>
        <w:tc>
          <w:tcPr>
            <w:tcW w:w="816" w:type="dxa"/>
            <w:tcBorders>
              <w:top w:val="single" w:sz="8" w:space="0" w:color="C0C0C0"/>
              <w:left w:val="single" w:sz="4" w:space="0" w:color="D9D9D9" w:themeColor="background1" w:themeShade="D9"/>
            </w:tcBorders>
            <w:shd w:val="clear" w:color="auto" w:fill="auto"/>
            <w:noWrap/>
            <w:vAlign w:val="center"/>
            <w:hideMark/>
          </w:tcPr>
          <w:p w:rsidR="00871692" w:rsidRPr="000C3FB5" w:rsidRDefault="003502F4" w:rsidP="00141A54">
            <w:pPr>
              <w:pStyle w:val="Tabletext0"/>
              <w:ind w:right="56"/>
              <w:jc w:val="right"/>
              <w:rPr>
                <w:rFonts w:ascii="Calibri" w:hAnsi="Calibri" w:cs="Calibri"/>
                <w:color w:val="00305C"/>
                <w:sz w:val="18"/>
                <w:szCs w:val="18"/>
              </w:rPr>
            </w:pPr>
            <w:r w:rsidRPr="000C3FB5">
              <w:rPr>
                <w:rFonts w:ascii="Calibri" w:hAnsi="Calibri" w:cs="Calibri"/>
                <w:color w:val="00305C"/>
                <w:sz w:val="18"/>
                <w:szCs w:val="18"/>
              </w:rPr>
              <w:t>381.5</w:t>
            </w:r>
          </w:p>
        </w:tc>
        <w:tc>
          <w:tcPr>
            <w:tcW w:w="844" w:type="dxa"/>
            <w:tcBorders>
              <w:top w:val="single" w:sz="8" w:space="0" w:color="C0C0C0"/>
              <w:right w:val="single" w:sz="4" w:space="0" w:color="D9D9D9" w:themeColor="background1" w:themeShade="D9"/>
            </w:tcBorders>
            <w:shd w:val="clear" w:color="auto" w:fill="auto"/>
            <w:noWrap/>
            <w:vAlign w:val="center"/>
            <w:hideMark/>
          </w:tcPr>
          <w:p w:rsidR="00871692" w:rsidRPr="000C3FB5" w:rsidRDefault="003502F4" w:rsidP="00141A54">
            <w:pPr>
              <w:pStyle w:val="Tabletext0"/>
              <w:ind w:right="56"/>
              <w:jc w:val="right"/>
              <w:rPr>
                <w:rFonts w:ascii="Calibri" w:hAnsi="Calibri" w:cs="Calibri"/>
                <w:color w:val="00305C"/>
                <w:sz w:val="18"/>
                <w:szCs w:val="18"/>
              </w:rPr>
            </w:pPr>
            <w:r w:rsidRPr="000C3FB5">
              <w:rPr>
                <w:rFonts w:ascii="Calibri" w:hAnsi="Calibri" w:cs="Calibri"/>
                <w:color w:val="00305C"/>
                <w:sz w:val="18"/>
                <w:szCs w:val="18"/>
              </w:rPr>
              <w:t>360.7</w:t>
            </w:r>
          </w:p>
        </w:tc>
        <w:tc>
          <w:tcPr>
            <w:tcW w:w="816" w:type="dxa"/>
            <w:tcBorders>
              <w:top w:val="single" w:sz="8" w:space="0" w:color="C0C0C0"/>
              <w:left w:val="single" w:sz="4" w:space="0" w:color="D9D9D9" w:themeColor="background1" w:themeShade="D9"/>
            </w:tcBorders>
            <w:shd w:val="clear" w:color="auto" w:fill="auto"/>
            <w:noWrap/>
            <w:vAlign w:val="center"/>
            <w:hideMark/>
          </w:tcPr>
          <w:p w:rsidR="00871692" w:rsidRPr="000C3FB5" w:rsidRDefault="003502F4" w:rsidP="00141A54">
            <w:pPr>
              <w:pStyle w:val="Tabletext0"/>
              <w:ind w:right="56"/>
              <w:jc w:val="right"/>
              <w:rPr>
                <w:rFonts w:ascii="Calibri" w:hAnsi="Calibri" w:cs="Calibri"/>
                <w:color w:val="00305C"/>
                <w:sz w:val="18"/>
                <w:szCs w:val="18"/>
              </w:rPr>
            </w:pPr>
            <w:r w:rsidRPr="000C3FB5">
              <w:rPr>
                <w:rFonts w:ascii="Calibri" w:hAnsi="Calibri" w:cs="Calibri"/>
                <w:color w:val="00305C"/>
                <w:sz w:val="18"/>
                <w:szCs w:val="18"/>
              </w:rPr>
              <w:t>36.6</w:t>
            </w:r>
          </w:p>
        </w:tc>
        <w:tc>
          <w:tcPr>
            <w:tcW w:w="735" w:type="dxa"/>
            <w:tcBorders>
              <w:top w:val="single" w:sz="8" w:space="0" w:color="C0C0C0"/>
              <w:right w:val="single" w:sz="4" w:space="0" w:color="D9D9D9" w:themeColor="background1" w:themeShade="D9"/>
            </w:tcBorders>
            <w:shd w:val="clear" w:color="auto" w:fill="auto"/>
            <w:noWrap/>
            <w:vAlign w:val="center"/>
            <w:hideMark/>
          </w:tcPr>
          <w:p w:rsidR="00871692" w:rsidRPr="000C3FB5" w:rsidRDefault="003502F4" w:rsidP="00141A54">
            <w:pPr>
              <w:pStyle w:val="Tabletext0"/>
              <w:ind w:right="56"/>
              <w:jc w:val="right"/>
              <w:rPr>
                <w:rFonts w:ascii="Calibri" w:hAnsi="Calibri" w:cs="Calibri"/>
                <w:color w:val="00305C"/>
                <w:sz w:val="18"/>
                <w:szCs w:val="18"/>
              </w:rPr>
            </w:pPr>
            <w:r w:rsidRPr="000C3FB5">
              <w:rPr>
                <w:rFonts w:ascii="Calibri" w:hAnsi="Calibri" w:cs="Calibri"/>
                <w:color w:val="00305C"/>
                <w:sz w:val="18"/>
                <w:szCs w:val="18"/>
              </w:rPr>
              <w:t>192.2</w:t>
            </w:r>
          </w:p>
        </w:tc>
        <w:tc>
          <w:tcPr>
            <w:tcW w:w="893" w:type="dxa"/>
            <w:tcBorders>
              <w:top w:val="single" w:sz="8" w:space="0" w:color="C0C0C0"/>
              <w:left w:val="single" w:sz="4" w:space="0" w:color="D9D9D9" w:themeColor="background1" w:themeShade="D9"/>
            </w:tcBorders>
            <w:shd w:val="clear" w:color="auto" w:fill="auto"/>
            <w:noWrap/>
            <w:vAlign w:val="center"/>
            <w:hideMark/>
          </w:tcPr>
          <w:p w:rsidR="00871692" w:rsidRPr="000C3FB5" w:rsidRDefault="003502F4" w:rsidP="00141A54">
            <w:pPr>
              <w:pStyle w:val="Tabletext0"/>
              <w:ind w:right="56"/>
              <w:jc w:val="right"/>
              <w:rPr>
                <w:rFonts w:ascii="Calibri" w:hAnsi="Calibri" w:cs="Calibri"/>
                <w:color w:val="00305C"/>
                <w:sz w:val="18"/>
                <w:szCs w:val="18"/>
              </w:rPr>
            </w:pPr>
            <w:r w:rsidRPr="000C3FB5">
              <w:rPr>
                <w:rFonts w:ascii="Calibri" w:hAnsi="Calibri" w:cs="Calibri"/>
                <w:color w:val="00305C"/>
                <w:sz w:val="18"/>
                <w:szCs w:val="18"/>
              </w:rPr>
              <w:t>495.3</w:t>
            </w:r>
          </w:p>
        </w:tc>
        <w:tc>
          <w:tcPr>
            <w:tcW w:w="893" w:type="dxa"/>
            <w:tcBorders>
              <w:top w:val="single" w:sz="8" w:space="0" w:color="C0C0C0"/>
            </w:tcBorders>
            <w:shd w:val="clear" w:color="auto" w:fill="auto"/>
            <w:noWrap/>
            <w:vAlign w:val="center"/>
            <w:hideMark/>
          </w:tcPr>
          <w:p w:rsidR="00871692" w:rsidRPr="000C3FB5" w:rsidRDefault="003502F4" w:rsidP="00141A54">
            <w:pPr>
              <w:pStyle w:val="Tabletext0"/>
              <w:ind w:right="56"/>
              <w:jc w:val="right"/>
              <w:rPr>
                <w:rFonts w:ascii="Calibri" w:hAnsi="Calibri" w:cs="Calibri"/>
                <w:color w:val="00305C"/>
                <w:sz w:val="18"/>
                <w:szCs w:val="18"/>
              </w:rPr>
            </w:pPr>
            <w:r w:rsidRPr="000C3FB5">
              <w:rPr>
                <w:rFonts w:ascii="Calibri" w:hAnsi="Calibri" w:cs="Calibri"/>
                <w:color w:val="00305C"/>
                <w:sz w:val="18"/>
                <w:szCs w:val="18"/>
              </w:rPr>
              <w:t>1,916.7</w:t>
            </w:r>
          </w:p>
        </w:tc>
        <w:tc>
          <w:tcPr>
            <w:tcW w:w="849" w:type="dxa"/>
            <w:tcBorders>
              <w:top w:val="single" w:sz="8" w:space="0" w:color="C0C0C0"/>
            </w:tcBorders>
            <w:shd w:val="clear" w:color="auto" w:fill="auto"/>
            <w:noWrap/>
            <w:vAlign w:val="center"/>
            <w:hideMark/>
          </w:tcPr>
          <w:p w:rsidR="00871692" w:rsidRPr="000C3FB5" w:rsidRDefault="003502F4" w:rsidP="00141A54">
            <w:pPr>
              <w:pStyle w:val="Tabletext0"/>
              <w:ind w:right="56"/>
              <w:jc w:val="right"/>
              <w:rPr>
                <w:rFonts w:ascii="Calibri" w:hAnsi="Calibri" w:cs="Calibri"/>
                <w:color w:val="00305C"/>
                <w:sz w:val="18"/>
                <w:szCs w:val="18"/>
              </w:rPr>
            </w:pPr>
            <w:r w:rsidRPr="000C3FB5">
              <w:rPr>
                <w:rFonts w:ascii="Calibri" w:hAnsi="Calibri" w:cs="Calibri"/>
                <w:color w:val="00305C"/>
                <w:sz w:val="18"/>
                <w:szCs w:val="18"/>
              </w:rPr>
              <w:t>814.8</w:t>
            </w:r>
          </w:p>
        </w:tc>
      </w:tr>
      <w:tr w:rsidR="00871692" w:rsidRPr="00113846" w:rsidTr="005730B1">
        <w:trPr>
          <w:trHeight w:val="283"/>
        </w:trPr>
        <w:tc>
          <w:tcPr>
            <w:tcW w:w="2110" w:type="dxa"/>
            <w:shd w:val="clear" w:color="auto" w:fill="auto"/>
            <w:noWrap/>
            <w:vAlign w:val="center"/>
            <w:hideMark/>
          </w:tcPr>
          <w:p w:rsidR="00871692" w:rsidRPr="00113846" w:rsidRDefault="00871692" w:rsidP="00141A54">
            <w:pPr>
              <w:pStyle w:val="Tabletext0"/>
              <w:ind w:right="85"/>
              <w:rPr>
                <w:rFonts w:ascii="Calibri" w:hAnsi="Calibri" w:cs="Calibri"/>
                <w:color w:val="002B45"/>
              </w:rPr>
            </w:pPr>
            <w:r w:rsidRPr="00113846">
              <w:rPr>
                <w:rFonts w:ascii="Calibri" w:hAnsi="Calibri" w:cs="Calibri"/>
                <w:color w:val="002B45"/>
              </w:rPr>
              <w:t>Revisions</w:t>
            </w:r>
          </w:p>
        </w:tc>
        <w:tc>
          <w:tcPr>
            <w:tcW w:w="802" w:type="dxa"/>
            <w:shd w:val="clear" w:color="auto" w:fill="auto"/>
            <w:noWrap/>
            <w:vAlign w:val="center"/>
            <w:hideMark/>
          </w:tcPr>
          <w:p w:rsidR="00871692" w:rsidRPr="000C3FB5" w:rsidRDefault="003502F4" w:rsidP="00141A54">
            <w:pPr>
              <w:pStyle w:val="Tabletext0"/>
              <w:ind w:right="56"/>
              <w:jc w:val="right"/>
              <w:rPr>
                <w:rFonts w:ascii="Calibri" w:hAnsi="Calibri" w:cs="Calibri"/>
                <w:color w:val="00305C"/>
                <w:sz w:val="18"/>
                <w:szCs w:val="18"/>
              </w:rPr>
            </w:pPr>
            <w:r w:rsidRPr="000C3FB5">
              <w:rPr>
                <w:rFonts w:ascii="Calibri" w:hAnsi="Calibri" w:cs="Calibri"/>
                <w:color w:val="00305C"/>
                <w:sz w:val="18"/>
                <w:szCs w:val="18"/>
              </w:rPr>
              <w:t>28.3</w:t>
            </w:r>
          </w:p>
        </w:tc>
        <w:tc>
          <w:tcPr>
            <w:tcW w:w="848" w:type="dxa"/>
            <w:tcBorders>
              <w:right w:val="single" w:sz="4" w:space="0" w:color="D9D9D9" w:themeColor="background1" w:themeShade="D9"/>
            </w:tcBorders>
            <w:shd w:val="clear" w:color="auto" w:fill="auto"/>
            <w:noWrap/>
            <w:vAlign w:val="center"/>
            <w:hideMark/>
          </w:tcPr>
          <w:p w:rsidR="00871692" w:rsidRPr="000C3FB5" w:rsidRDefault="003502F4" w:rsidP="00141A54">
            <w:pPr>
              <w:pStyle w:val="Tabletext0"/>
              <w:ind w:right="56"/>
              <w:jc w:val="right"/>
              <w:rPr>
                <w:rFonts w:ascii="Calibri" w:hAnsi="Calibri" w:cs="Calibri"/>
                <w:color w:val="00305C"/>
                <w:sz w:val="18"/>
                <w:szCs w:val="18"/>
              </w:rPr>
            </w:pPr>
            <w:r w:rsidRPr="000C3FB5">
              <w:rPr>
                <w:rFonts w:ascii="Calibri" w:hAnsi="Calibri" w:cs="Calibri"/>
                <w:color w:val="00305C"/>
                <w:sz w:val="18"/>
                <w:szCs w:val="18"/>
              </w:rPr>
              <w:t>22.3</w:t>
            </w:r>
          </w:p>
        </w:tc>
        <w:tc>
          <w:tcPr>
            <w:tcW w:w="816" w:type="dxa"/>
            <w:tcBorders>
              <w:left w:val="single" w:sz="4" w:space="0" w:color="D9D9D9" w:themeColor="background1" w:themeShade="D9"/>
            </w:tcBorders>
            <w:shd w:val="clear" w:color="auto" w:fill="auto"/>
            <w:noWrap/>
            <w:vAlign w:val="center"/>
            <w:hideMark/>
          </w:tcPr>
          <w:p w:rsidR="00871692" w:rsidRPr="000C3FB5" w:rsidRDefault="003502F4" w:rsidP="00141A54">
            <w:pPr>
              <w:pStyle w:val="Tabletext0"/>
              <w:ind w:right="56"/>
              <w:jc w:val="right"/>
              <w:rPr>
                <w:rFonts w:ascii="Calibri" w:hAnsi="Calibri" w:cs="Calibri"/>
                <w:color w:val="00305C"/>
                <w:sz w:val="18"/>
                <w:szCs w:val="18"/>
              </w:rPr>
            </w:pPr>
            <w:r w:rsidRPr="000C3FB5">
              <w:rPr>
                <w:rFonts w:ascii="Calibri" w:hAnsi="Calibri" w:cs="Calibri"/>
                <w:color w:val="00305C"/>
                <w:sz w:val="18"/>
                <w:szCs w:val="18"/>
              </w:rPr>
              <w:t>103.7</w:t>
            </w:r>
          </w:p>
        </w:tc>
        <w:tc>
          <w:tcPr>
            <w:tcW w:w="844" w:type="dxa"/>
            <w:tcBorders>
              <w:right w:val="single" w:sz="4" w:space="0" w:color="D9D9D9" w:themeColor="background1" w:themeShade="D9"/>
            </w:tcBorders>
            <w:shd w:val="clear" w:color="auto" w:fill="auto"/>
            <w:noWrap/>
            <w:vAlign w:val="center"/>
            <w:hideMark/>
          </w:tcPr>
          <w:p w:rsidR="00871692" w:rsidRPr="000C3FB5" w:rsidRDefault="003502F4" w:rsidP="00141A54">
            <w:pPr>
              <w:pStyle w:val="Tabletext0"/>
              <w:ind w:right="56"/>
              <w:jc w:val="right"/>
              <w:rPr>
                <w:rFonts w:ascii="Calibri" w:hAnsi="Calibri" w:cs="Calibri"/>
                <w:color w:val="00305C"/>
                <w:sz w:val="18"/>
                <w:szCs w:val="18"/>
              </w:rPr>
            </w:pPr>
            <w:r w:rsidRPr="000C3FB5">
              <w:rPr>
                <w:rFonts w:ascii="Calibri" w:hAnsi="Calibri" w:cs="Calibri"/>
                <w:color w:val="00305C"/>
                <w:sz w:val="18"/>
                <w:szCs w:val="18"/>
              </w:rPr>
              <w:t>2.3</w:t>
            </w:r>
          </w:p>
        </w:tc>
        <w:tc>
          <w:tcPr>
            <w:tcW w:w="816" w:type="dxa"/>
            <w:tcBorders>
              <w:left w:val="single" w:sz="4" w:space="0" w:color="D9D9D9" w:themeColor="background1" w:themeShade="D9"/>
            </w:tcBorders>
            <w:shd w:val="clear" w:color="auto" w:fill="auto"/>
            <w:noWrap/>
            <w:vAlign w:val="center"/>
            <w:hideMark/>
          </w:tcPr>
          <w:p w:rsidR="00871692" w:rsidRPr="000C3FB5" w:rsidRDefault="003502F4" w:rsidP="00141A54">
            <w:pPr>
              <w:pStyle w:val="Tabletext0"/>
              <w:ind w:right="56"/>
              <w:jc w:val="right"/>
              <w:rPr>
                <w:rFonts w:ascii="Calibri" w:hAnsi="Calibri" w:cs="Calibri"/>
                <w:color w:val="00305C"/>
                <w:sz w:val="18"/>
                <w:szCs w:val="18"/>
              </w:rPr>
            </w:pPr>
            <w:r w:rsidRPr="000C3FB5">
              <w:rPr>
                <w:rFonts w:ascii="Calibri" w:hAnsi="Calibri" w:cs="Calibri"/>
                <w:color w:val="00305C"/>
                <w:sz w:val="18"/>
                <w:szCs w:val="18"/>
              </w:rPr>
              <w:t>-</w:t>
            </w:r>
          </w:p>
        </w:tc>
        <w:tc>
          <w:tcPr>
            <w:tcW w:w="735" w:type="dxa"/>
            <w:tcBorders>
              <w:right w:val="single" w:sz="4" w:space="0" w:color="D9D9D9" w:themeColor="background1" w:themeShade="D9"/>
            </w:tcBorders>
            <w:shd w:val="clear" w:color="auto" w:fill="auto"/>
            <w:noWrap/>
            <w:vAlign w:val="center"/>
            <w:hideMark/>
          </w:tcPr>
          <w:p w:rsidR="00871692" w:rsidRPr="000C3FB5" w:rsidRDefault="003502F4" w:rsidP="00141A54">
            <w:pPr>
              <w:pStyle w:val="Tabletext0"/>
              <w:ind w:right="56"/>
              <w:jc w:val="right"/>
              <w:rPr>
                <w:rFonts w:ascii="Calibri" w:hAnsi="Calibri" w:cs="Calibri"/>
                <w:color w:val="00305C"/>
                <w:sz w:val="18"/>
                <w:szCs w:val="18"/>
              </w:rPr>
            </w:pPr>
            <w:r w:rsidRPr="000C3FB5">
              <w:rPr>
                <w:rFonts w:ascii="Calibri" w:hAnsi="Calibri" w:cs="Calibri"/>
                <w:color w:val="00305C"/>
                <w:sz w:val="18"/>
                <w:szCs w:val="18"/>
              </w:rPr>
              <w:t>-</w:t>
            </w:r>
          </w:p>
        </w:tc>
        <w:tc>
          <w:tcPr>
            <w:tcW w:w="893" w:type="dxa"/>
            <w:tcBorders>
              <w:left w:val="single" w:sz="4" w:space="0" w:color="D9D9D9" w:themeColor="background1" w:themeShade="D9"/>
            </w:tcBorders>
            <w:shd w:val="clear" w:color="auto" w:fill="auto"/>
            <w:noWrap/>
            <w:vAlign w:val="center"/>
            <w:hideMark/>
          </w:tcPr>
          <w:p w:rsidR="00871692" w:rsidRPr="000C3FB5" w:rsidRDefault="003502F4" w:rsidP="00141A54">
            <w:pPr>
              <w:pStyle w:val="Tabletext0"/>
              <w:ind w:right="56"/>
              <w:jc w:val="right"/>
              <w:rPr>
                <w:rFonts w:ascii="Calibri" w:hAnsi="Calibri" w:cs="Calibri"/>
                <w:color w:val="00305C"/>
                <w:sz w:val="18"/>
                <w:szCs w:val="18"/>
              </w:rPr>
            </w:pPr>
            <w:r w:rsidRPr="000C3FB5">
              <w:rPr>
                <w:rFonts w:ascii="Calibri" w:hAnsi="Calibri" w:cs="Calibri"/>
                <w:color w:val="00305C"/>
                <w:sz w:val="18"/>
                <w:szCs w:val="18"/>
              </w:rPr>
              <w:t>132.0</w:t>
            </w:r>
          </w:p>
        </w:tc>
        <w:tc>
          <w:tcPr>
            <w:tcW w:w="893" w:type="dxa"/>
            <w:shd w:val="clear" w:color="auto" w:fill="auto"/>
            <w:noWrap/>
            <w:vAlign w:val="center"/>
            <w:hideMark/>
          </w:tcPr>
          <w:p w:rsidR="00871692" w:rsidRPr="000C3FB5" w:rsidRDefault="003502F4" w:rsidP="00141A54">
            <w:pPr>
              <w:pStyle w:val="Tabletext0"/>
              <w:ind w:right="56"/>
              <w:jc w:val="right"/>
              <w:rPr>
                <w:rFonts w:ascii="Calibri" w:hAnsi="Calibri" w:cs="Calibri"/>
                <w:color w:val="00305C"/>
                <w:sz w:val="18"/>
                <w:szCs w:val="18"/>
              </w:rPr>
            </w:pPr>
            <w:r w:rsidRPr="000C3FB5">
              <w:rPr>
                <w:rFonts w:ascii="Calibri" w:hAnsi="Calibri" w:cs="Calibri"/>
                <w:color w:val="00305C"/>
                <w:sz w:val="18"/>
                <w:szCs w:val="18"/>
              </w:rPr>
              <w:t>24.6</w:t>
            </w:r>
          </w:p>
        </w:tc>
        <w:tc>
          <w:tcPr>
            <w:tcW w:w="849" w:type="dxa"/>
            <w:shd w:val="clear" w:color="auto" w:fill="auto"/>
            <w:noWrap/>
            <w:vAlign w:val="center"/>
            <w:hideMark/>
          </w:tcPr>
          <w:p w:rsidR="00871692" w:rsidRPr="000C3FB5" w:rsidRDefault="003502F4" w:rsidP="00141A54">
            <w:pPr>
              <w:pStyle w:val="Tabletext0"/>
              <w:ind w:right="56"/>
              <w:jc w:val="right"/>
              <w:rPr>
                <w:rFonts w:ascii="Calibri" w:hAnsi="Calibri" w:cs="Calibri"/>
                <w:color w:val="00305C"/>
                <w:sz w:val="18"/>
                <w:szCs w:val="18"/>
              </w:rPr>
            </w:pPr>
            <w:r w:rsidRPr="000C3FB5">
              <w:rPr>
                <w:rFonts w:ascii="Calibri" w:hAnsi="Calibri" w:cs="Calibri"/>
                <w:color w:val="00305C"/>
                <w:sz w:val="18"/>
                <w:szCs w:val="18"/>
              </w:rPr>
              <w:t>136.1</w:t>
            </w:r>
          </w:p>
        </w:tc>
      </w:tr>
      <w:tr w:rsidR="00871692" w:rsidRPr="00113846" w:rsidTr="005730B1">
        <w:trPr>
          <w:trHeight w:val="283"/>
        </w:trPr>
        <w:tc>
          <w:tcPr>
            <w:tcW w:w="2110" w:type="dxa"/>
            <w:shd w:val="clear" w:color="auto" w:fill="auto"/>
            <w:noWrap/>
            <w:vAlign w:val="center"/>
            <w:hideMark/>
          </w:tcPr>
          <w:p w:rsidR="00871692" w:rsidRPr="00113846" w:rsidRDefault="00871692" w:rsidP="00141A54">
            <w:pPr>
              <w:pStyle w:val="Tabletext0"/>
              <w:ind w:right="85"/>
              <w:rPr>
                <w:rFonts w:ascii="Calibri" w:hAnsi="Calibri" w:cs="Calibri"/>
                <w:color w:val="002B45"/>
              </w:rPr>
            </w:pPr>
            <w:r w:rsidRPr="00113846">
              <w:rPr>
                <w:rFonts w:ascii="Calibri" w:hAnsi="Calibri" w:cs="Calibri"/>
                <w:color w:val="002B45"/>
              </w:rPr>
              <w:t>Acquisitions</w:t>
            </w:r>
          </w:p>
        </w:tc>
        <w:tc>
          <w:tcPr>
            <w:tcW w:w="802" w:type="dxa"/>
            <w:shd w:val="clear" w:color="auto" w:fill="auto"/>
            <w:noWrap/>
            <w:vAlign w:val="center"/>
            <w:hideMark/>
          </w:tcPr>
          <w:p w:rsidR="00871692" w:rsidRPr="000C3FB5" w:rsidRDefault="003502F4" w:rsidP="00141A54">
            <w:pPr>
              <w:pStyle w:val="Tabletext0"/>
              <w:ind w:right="56"/>
              <w:jc w:val="right"/>
              <w:rPr>
                <w:rFonts w:ascii="Calibri" w:hAnsi="Calibri" w:cs="Calibri"/>
                <w:color w:val="00305C"/>
                <w:sz w:val="18"/>
                <w:szCs w:val="18"/>
              </w:rPr>
            </w:pPr>
            <w:r w:rsidRPr="000C3FB5">
              <w:rPr>
                <w:rFonts w:ascii="Calibri" w:hAnsi="Calibri" w:cs="Calibri"/>
                <w:color w:val="00305C"/>
                <w:sz w:val="18"/>
                <w:szCs w:val="18"/>
              </w:rPr>
              <w:t>-</w:t>
            </w:r>
          </w:p>
        </w:tc>
        <w:tc>
          <w:tcPr>
            <w:tcW w:w="848" w:type="dxa"/>
            <w:tcBorders>
              <w:right w:val="single" w:sz="4" w:space="0" w:color="D9D9D9" w:themeColor="background1" w:themeShade="D9"/>
            </w:tcBorders>
            <w:shd w:val="clear" w:color="auto" w:fill="auto"/>
            <w:noWrap/>
            <w:vAlign w:val="center"/>
            <w:hideMark/>
          </w:tcPr>
          <w:p w:rsidR="00871692" w:rsidRPr="000C3FB5" w:rsidRDefault="003502F4" w:rsidP="00141A54">
            <w:pPr>
              <w:pStyle w:val="Tabletext0"/>
              <w:ind w:right="56"/>
              <w:jc w:val="right"/>
              <w:rPr>
                <w:rFonts w:ascii="Calibri" w:hAnsi="Calibri" w:cs="Calibri"/>
                <w:color w:val="00305C"/>
                <w:sz w:val="18"/>
                <w:szCs w:val="18"/>
              </w:rPr>
            </w:pPr>
            <w:r w:rsidRPr="000C3FB5">
              <w:rPr>
                <w:rFonts w:ascii="Calibri" w:hAnsi="Calibri" w:cs="Calibri"/>
                <w:color w:val="00305C"/>
                <w:sz w:val="18"/>
                <w:szCs w:val="18"/>
              </w:rPr>
              <w:t>-</w:t>
            </w:r>
          </w:p>
        </w:tc>
        <w:tc>
          <w:tcPr>
            <w:tcW w:w="816" w:type="dxa"/>
            <w:tcBorders>
              <w:left w:val="single" w:sz="4" w:space="0" w:color="D9D9D9" w:themeColor="background1" w:themeShade="D9"/>
            </w:tcBorders>
            <w:shd w:val="clear" w:color="auto" w:fill="auto"/>
            <w:noWrap/>
            <w:vAlign w:val="center"/>
            <w:hideMark/>
          </w:tcPr>
          <w:p w:rsidR="00871692" w:rsidRPr="000C3FB5" w:rsidRDefault="003502F4" w:rsidP="00141A54">
            <w:pPr>
              <w:pStyle w:val="Tabletext0"/>
              <w:ind w:right="56"/>
              <w:jc w:val="right"/>
              <w:rPr>
                <w:rFonts w:ascii="Calibri" w:hAnsi="Calibri" w:cs="Calibri"/>
                <w:color w:val="00305C"/>
                <w:sz w:val="18"/>
                <w:szCs w:val="18"/>
              </w:rPr>
            </w:pPr>
            <w:r w:rsidRPr="000C3FB5">
              <w:rPr>
                <w:rFonts w:ascii="Calibri" w:hAnsi="Calibri" w:cs="Calibri"/>
                <w:color w:val="00305C"/>
                <w:sz w:val="18"/>
                <w:szCs w:val="18"/>
              </w:rPr>
              <w:t>-</w:t>
            </w:r>
          </w:p>
        </w:tc>
        <w:tc>
          <w:tcPr>
            <w:tcW w:w="844" w:type="dxa"/>
            <w:tcBorders>
              <w:right w:val="single" w:sz="4" w:space="0" w:color="D9D9D9" w:themeColor="background1" w:themeShade="D9"/>
            </w:tcBorders>
            <w:shd w:val="clear" w:color="auto" w:fill="auto"/>
            <w:noWrap/>
            <w:vAlign w:val="center"/>
            <w:hideMark/>
          </w:tcPr>
          <w:p w:rsidR="00871692" w:rsidRPr="000C3FB5" w:rsidRDefault="003502F4" w:rsidP="00141A54">
            <w:pPr>
              <w:pStyle w:val="Tabletext0"/>
              <w:ind w:right="56"/>
              <w:jc w:val="right"/>
              <w:rPr>
                <w:rFonts w:ascii="Calibri" w:hAnsi="Calibri" w:cs="Calibri"/>
                <w:color w:val="00305C"/>
                <w:sz w:val="18"/>
                <w:szCs w:val="18"/>
              </w:rPr>
            </w:pPr>
            <w:r w:rsidRPr="000C3FB5">
              <w:rPr>
                <w:rFonts w:ascii="Calibri" w:hAnsi="Calibri" w:cs="Calibri"/>
                <w:color w:val="00305C"/>
                <w:sz w:val="18"/>
                <w:szCs w:val="18"/>
              </w:rPr>
              <w:t>-</w:t>
            </w:r>
          </w:p>
        </w:tc>
        <w:tc>
          <w:tcPr>
            <w:tcW w:w="816" w:type="dxa"/>
            <w:tcBorders>
              <w:left w:val="single" w:sz="4" w:space="0" w:color="D9D9D9" w:themeColor="background1" w:themeShade="D9"/>
            </w:tcBorders>
            <w:shd w:val="clear" w:color="auto" w:fill="auto"/>
            <w:noWrap/>
            <w:vAlign w:val="center"/>
            <w:hideMark/>
          </w:tcPr>
          <w:p w:rsidR="00871692" w:rsidRPr="000C3FB5" w:rsidRDefault="003502F4" w:rsidP="00141A54">
            <w:pPr>
              <w:pStyle w:val="Tabletext0"/>
              <w:ind w:right="56"/>
              <w:jc w:val="right"/>
              <w:rPr>
                <w:rFonts w:ascii="Calibri" w:hAnsi="Calibri" w:cs="Calibri"/>
                <w:color w:val="00305C"/>
                <w:sz w:val="18"/>
                <w:szCs w:val="18"/>
              </w:rPr>
            </w:pPr>
            <w:r w:rsidRPr="000C3FB5">
              <w:rPr>
                <w:rFonts w:ascii="Calibri" w:hAnsi="Calibri" w:cs="Calibri"/>
                <w:color w:val="00305C"/>
                <w:sz w:val="18"/>
                <w:szCs w:val="18"/>
              </w:rPr>
              <w:t>19.8</w:t>
            </w:r>
          </w:p>
        </w:tc>
        <w:tc>
          <w:tcPr>
            <w:tcW w:w="735" w:type="dxa"/>
            <w:tcBorders>
              <w:right w:val="single" w:sz="4" w:space="0" w:color="D9D9D9" w:themeColor="background1" w:themeShade="D9"/>
            </w:tcBorders>
            <w:shd w:val="clear" w:color="auto" w:fill="auto"/>
            <w:noWrap/>
            <w:vAlign w:val="center"/>
            <w:hideMark/>
          </w:tcPr>
          <w:p w:rsidR="00871692" w:rsidRPr="000C3FB5" w:rsidRDefault="003502F4" w:rsidP="00141A54">
            <w:pPr>
              <w:pStyle w:val="Tabletext0"/>
              <w:ind w:right="56"/>
              <w:jc w:val="right"/>
              <w:rPr>
                <w:rFonts w:ascii="Calibri" w:hAnsi="Calibri" w:cs="Calibri"/>
                <w:color w:val="00305C"/>
                <w:sz w:val="18"/>
                <w:szCs w:val="18"/>
              </w:rPr>
            </w:pPr>
            <w:r w:rsidRPr="000C3FB5">
              <w:rPr>
                <w:rFonts w:ascii="Calibri" w:hAnsi="Calibri" w:cs="Calibri"/>
                <w:color w:val="00305C"/>
                <w:sz w:val="18"/>
                <w:szCs w:val="18"/>
              </w:rPr>
              <w:t>-</w:t>
            </w:r>
          </w:p>
        </w:tc>
        <w:tc>
          <w:tcPr>
            <w:tcW w:w="893" w:type="dxa"/>
            <w:tcBorders>
              <w:left w:val="single" w:sz="4" w:space="0" w:color="D9D9D9" w:themeColor="background1" w:themeShade="D9"/>
            </w:tcBorders>
            <w:shd w:val="clear" w:color="auto" w:fill="auto"/>
            <w:noWrap/>
            <w:vAlign w:val="center"/>
            <w:hideMark/>
          </w:tcPr>
          <w:p w:rsidR="00871692" w:rsidRPr="000C3FB5" w:rsidRDefault="003502F4" w:rsidP="00141A54">
            <w:pPr>
              <w:pStyle w:val="Tabletext0"/>
              <w:ind w:right="56"/>
              <w:jc w:val="right"/>
              <w:rPr>
                <w:rFonts w:ascii="Calibri" w:hAnsi="Calibri" w:cs="Calibri"/>
                <w:color w:val="00305C"/>
                <w:sz w:val="18"/>
                <w:szCs w:val="18"/>
              </w:rPr>
            </w:pPr>
            <w:r w:rsidRPr="000C3FB5">
              <w:rPr>
                <w:rFonts w:ascii="Calibri" w:hAnsi="Calibri" w:cs="Calibri"/>
                <w:color w:val="00305C"/>
                <w:sz w:val="18"/>
                <w:szCs w:val="18"/>
              </w:rPr>
              <w:t>19.8</w:t>
            </w:r>
          </w:p>
        </w:tc>
        <w:tc>
          <w:tcPr>
            <w:tcW w:w="893" w:type="dxa"/>
            <w:shd w:val="clear" w:color="auto" w:fill="auto"/>
            <w:noWrap/>
            <w:vAlign w:val="center"/>
            <w:hideMark/>
          </w:tcPr>
          <w:p w:rsidR="00871692" w:rsidRPr="000C3FB5" w:rsidRDefault="003502F4" w:rsidP="00141A54">
            <w:pPr>
              <w:pStyle w:val="Tabletext0"/>
              <w:ind w:right="56"/>
              <w:jc w:val="right"/>
              <w:rPr>
                <w:rFonts w:ascii="Calibri" w:hAnsi="Calibri" w:cs="Calibri"/>
                <w:color w:val="00305C"/>
                <w:sz w:val="18"/>
                <w:szCs w:val="18"/>
              </w:rPr>
            </w:pPr>
            <w:r w:rsidRPr="000C3FB5">
              <w:rPr>
                <w:rFonts w:ascii="Calibri" w:hAnsi="Calibri" w:cs="Calibri"/>
                <w:color w:val="00305C"/>
                <w:sz w:val="18"/>
                <w:szCs w:val="18"/>
              </w:rPr>
              <w:t>-</w:t>
            </w:r>
          </w:p>
        </w:tc>
        <w:tc>
          <w:tcPr>
            <w:tcW w:w="849" w:type="dxa"/>
            <w:shd w:val="clear" w:color="auto" w:fill="auto"/>
            <w:noWrap/>
            <w:vAlign w:val="center"/>
            <w:hideMark/>
          </w:tcPr>
          <w:p w:rsidR="00871692" w:rsidRPr="000C3FB5" w:rsidRDefault="003502F4" w:rsidP="00141A54">
            <w:pPr>
              <w:pStyle w:val="Tabletext0"/>
              <w:ind w:right="56"/>
              <w:jc w:val="right"/>
              <w:rPr>
                <w:rFonts w:ascii="Calibri" w:hAnsi="Calibri" w:cs="Calibri"/>
                <w:color w:val="00305C"/>
                <w:sz w:val="18"/>
                <w:szCs w:val="18"/>
              </w:rPr>
            </w:pPr>
            <w:r w:rsidRPr="000C3FB5">
              <w:rPr>
                <w:rFonts w:ascii="Calibri" w:hAnsi="Calibri" w:cs="Calibri"/>
                <w:color w:val="00305C"/>
                <w:sz w:val="18"/>
                <w:szCs w:val="18"/>
              </w:rPr>
              <w:t>19.8</w:t>
            </w:r>
          </w:p>
        </w:tc>
      </w:tr>
      <w:tr w:rsidR="00871692" w:rsidRPr="00113846" w:rsidTr="005730B1">
        <w:trPr>
          <w:trHeight w:val="283"/>
        </w:trPr>
        <w:tc>
          <w:tcPr>
            <w:tcW w:w="2110" w:type="dxa"/>
            <w:shd w:val="clear" w:color="auto" w:fill="auto"/>
            <w:noWrap/>
            <w:vAlign w:val="center"/>
            <w:hideMark/>
          </w:tcPr>
          <w:p w:rsidR="00871692" w:rsidRPr="00113846" w:rsidRDefault="00871692" w:rsidP="00141A54">
            <w:pPr>
              <w:pStyle w:val="Tabletext0"/>
              <w:ind w:right="85"/>
              <w:rPr>
                <w:rFonts w:ascii="Calibri" w:hAnsi="Calibri" w:cs="Calibri"/>
                <w:color w:val="002B45"/>
              </w:rPr>
            </w:pPr>
            <w:r w:rsidRPr="00113846">
              <w:rPr>
                <w:rFonts w:ascii="Calibri" w:hAnsi="Calibri" w:cs="Calibri"/>
                <w:color w:val="002B45"/>
              </w:rPr>
              <w:t>Additions</w:t>
            </w:r>
          </w:p>
        </w:tc>
        <w:tc>
          <w:tcPr>
            <w:tcW w:w="802" w:type="dxa"/>
            <w:shd w:val="clear" w:color="auto" w:fill="auto"/>
            <w:noWrap/>
            <w:vAlign w:val="center"/>
            <w:hideMark/>
          </w:tcPr>
          <w:p w:rsidR="00871692" w:rsidRPr="000C3FB5" w:rsidRDefault="003502F4" w:rsidP="00141A54">
            <w:pPr>
              <w:pStyle w:val="Tabletext0"/>
              <w:ind w:right="56"/>
              <w:jc w:val="right"/>
              <w:rPr>
                <w:rFonts w:ascii="Calibri" w:hAnsi="Calibri" w:cs="Calibri"/>
                <w:color w:val="00305C"/>
                <w:sz w:val="18"/>
                <w:szCs w:val="18"/>
              </w:rPr>
            </w:pPr>
            <w:r w:rsidRPr="000C3FB5">
              <w:rPr>
                <w:rFonts w:ascii="Calibri" w:hAnsi="Calibri" w:cs="Calibri"/>
                <w:color w:val="00305C"/>
                <w:sz w:val="18"/>
                <w:szCs w:val="18"/>
              </w:rPr>
              <w:t>-</w:t>
            </w:r>
          </w:p>
        </w:tc>
        <w:tc>
          <w:tcPr>
            <w:tcW w:w="848" w:type="dxa"/>
            <w:tcBorders>
              <w:right w:val="single" w:sz="4" w:space="0" w:color="D9D9D9" w:themeColor="background1" w:themeShade="D9"/>
            </w:tcBorders>
            <w:shd w:val="clear" w:color="auto" w:fill="auto"/>
            <w:noWrap/>
            <w:vAlign w:val="center"/>
            <w:hideMark/>
          </w:tcPr>
          <w:p w:rsidR="00871692" w:rsidRPr="000C3FB5" w:rsidRDefault="003502F4" w:rsidP="00141A54">
            <w:pPr>
              <w:pStyle w:val="Tabletext0"/>
              <w:ind w:right="56"/>
              <w:jc w:val="right"/>
              <w:rPr>
                <w:rFonts w:ascii="Calibri" w:hAnsi="Calibri" w:cs="Calibri"/>
                <w:color w:val="00305C"/>
                <w:sz w:val="18"/>
                <w:szCs w:val="18"/>
              </w:rPr>
            </w:pPr>
            <w:r w:rsidRPr="000C3FB5">
              <w:rPr>
                <w:rFonts w:ascii="Calibri" w:hAnsi="Calibri" w:cs="Calibri"/>
                <w:color w:val="00305C"/>
                <w:sz w:val="18"/>
                <w:szCs w:val="18"/>
              </w:rPr>
              <w:t>-</w:t>
            </w:r>
          </w:p>
        </w:tc>
        <w:tc>
          <w:tcPr>
            <w:tcW w:w="816" w:type="dxa"/>
            <w:tcBorders>
              <w:left w:val="single" w:sz="4" w:space="0" w:color="D9D9D9" w:themeColor="background1" w:themeShade="D9"/>
            </w:tcBorders>
            <w:shd w:val="clear" w:color="auto" w:fill="auto"/>
            <w:noWrap/>
            <w:vAlign w:val="center"/>
            <w:hideMark/>
          </w:tcPr>
          <w:p w:rsidR="00871692" w:rsidRPr="000C3FB5" w:rsidRDefault="003502F4" w:rsidP="00141A54">
            <w:pPr>
              <w:pStyle w:val="Tabletext0"/>
              <w:ind w:right="56"/>
              <w:jc w:val="right"/>
              <w:rPr>
                <w:rFonts w:ascii="Calibri" w:hAnsi="Calibri" w:cs="Calibri"/>
                <w:color w:val="00305C"/>
                <w:sz w:val="18"/>
                <w:szCs w:val="18"/>
              </w:rPr>
            </w:pPr>
            <w:r w:rsidRPr="000C3FB5">
              <w:rPr>
                <w:rFonts w:ascii="Calibri" w:hAnsi="Calibri" w:cs="Calibri"/>
                <w:color w:val="00305C"/>
                <w:sz w:val="18"/>
                <w:szCs w:val="18"/>
              </w:rPr>
              <w:t>34.1</w:t>
            </w:r>
          </w:p>
        </w:tc>
        <w:tc>
          <w:tcPr>
            <w:tcW w:w="844" w:type="dxa"/>
            <w:tcBorders>
              <w:right w:val="single" w:sz="4" w:space="0" w:color="D9D9D9" w:themeColor="background1" w:themeShade="D9"/>
            </w:tcBorders>
            <w:shd w:val="clear" w:color="auto" w:fill="auto"/>
            <w:noWrap/>
            <w:vAlign w:val="center"/>
            <w:hideMark/>
          </w:tcPr>
          <w:p w:rsidR="00871692" w:rsidRPr="000C3FB5" w:rsidRDefault="003502F4" w:rsidP="00141A54">
            <w:pPr>
              <w:pStyle w:val="Tabletext0"/>
              <w:ind w:right="56"/>
              <w:jc w:val="right"/>
              <w:rPr>
                <w:rFonts w:ascii="Calibri" w:hAnsi="Calibri" w:cs="Calibri"/>
                <w:color w:val="00305C"/>
                <w:sz w:val="18"/>
                <w:szCs w:val="18"/>
              </w:rPr>
            </w:pPr>
            <w:r w:rsidRPr="000C3FB5">
              <w:rPr>
                <w:rFonts w:ascii="Calibri" w:hAnsi="Calibri" w:cs="Calibri"/>
                <w:color w:val="00305C"/>
                <w:sz w:val="18"/>
                <w:szCs w:val="18"/>
              </w:rPr>
              <w:t>-</w:t>
            </w:r>
          </w:p>
        </w:tc>
        <w:tc>
          <w:tcPr>
            <w:tcW w:w="816" w:type="dxa"/>
            <w:tcBorders>
              <w:left w:val="single" w:sz="4" w:space="0" w:color="D9D9D9" w:themeColor="background1" w:themeShade="D9"/>
            </w:tcBorders>
            <w:shd w:val="clear" w:color="auto" w:fill="auto"/>
            <w:noWrap/>
            <w:vAlign w:val="center"/>
            <w:hideMark/>
          </w:tcPr>
          <w:p w:rsidR="00871692" w:rsidRPr="000C3FB5" w:rsidRDefault="003502F4" w:rsidP="00141A54">
            <w:pPr>
              <w:pStyle w:val="Tabletext0"/>
              <w:ind w:right="56"/>
              <w:jc w:val="right"/>
              <w:rPr>
                <w:rFonts w:ascii="Calibri" w:hAnsi="Calibri" w:cs="Calibri"/>
                <w:color w:val="00305C"/>
                <w:sz w:val="18"/>
                <w:szCs w:val="18"/>
              </w:rPr>
            </w:pPr>
            <w:r w:rsidRPr="000C3FB5">
              <w:rPr>
                <w:rFonts w:ascii="Calibri" w:hAnsi="Calibri" w:cs="Calibri"/>
                <w:color w:val="00305C"/>
                <w:sz w:val="18"/>
                <w:szCs w:val="18"/>
              </w:rPr>
              <w:t>51.8</w:t>
            </w:r>
          </w:p>
        </w:tc>
        <w:tc>
          <w:tcPr>
            <w:tcW w:w="735" w:type="dxa"/>
            <w:tcBorders>
              <w:right w:val="single" w:sz="4" w:space="0" w:color="D9D9D9" w:themeColor="background1" w:themeShade="D9"/>
            </w:tcBorders>
            <w:shd w:val="clear" w:color="auto" w:fill="auto"/>
            <w:noWrap/>
            <w:vAlign w:val="center"/>
            <w:hideMark/>
          </w:tcPr>
          <w:p w:rsidR="00871692" w:rsidRPr="000C3FB5" w:rsidRDefault="003502F4" w:rsidP="00141A54">
            <w:pPr>
              <w:pStyle w:val="Tabletext0"/>
              <w:ind w:right="56"/>
              <w:jc w:val="right"/>
              <w:rPr>
                <w:rFonts w:ascii="Calibri" w:hAnsi="Calibri" w:cs="Calibri"/>
                <w:color w:val="00305C"/>
                <w:sz w:val="18"/>
                <w:szCs w:val="18"/>
              </w:rPr>
            </w:pPr>
            <w:r w:rsidRPr="000C3FB5">
              <w:rPr>
                <w:rFonts w:ascii="Calibri" w:hAnsi="Calibri" w:cs="Calibri"/>
                <w:color w:val="00305C"/>
                <w:sz w:val="18"/>
                <w:szCs w:val="18"/>
              </w:rPr>
              <w:t>-</w:t>
            </w:r>
          </w:p>
        </w:tc>
        <w:tc>
          <w:tcPr>
            <w:tcW w:w="893" w:type="dxa"/>
            <w:tcBorders>
              <w:left w:val="single" w:sz="4" w:space="0" w:color="D9D9D9" w:themeColor="background1" w:themeShade="D9"/>
            </w:tcBorders>
            <w:shd w:val="clear" w:color="auto" w:fill="auto"/>
            <w:noWrap/>
            <w:vAlign w:val="center"/>
            <w:hideMark/>
          </w:tcPr>
          <w:p w:rsidR="00871692" w:rsidRPr="000C3FB5" w:rsidRDefault="003502F4" w:rsidP="00141A54">
            <w:pPr>
              <w:pStyle w:val="Tabletext0"/>
              <w:ind w:right="56"/>
              <w:jc w:val="right"/>
              <w:rPr>
                <w:rFonts w:ascii="Calibri" w:hAnsi="Calibri" w:cs="Calibri"/>
                <w:color w:val="00305C"/>
                <w:sz w:val="18"/>
                <w:szCs w:val="18"/>
              </w:rPr>
            </w:pPr>
            <w:r w:rsidRPr="000C3FB5">
              <w:rPr>
                <w:rFonts w:ascii="Calibri" w:hAnsi="Calibri" w:cs="Calibri"/>
                <w:color w:val="00305C"/>
                <w:sz w:val="18"/>
                <w:szCs w:val="18"/>
              </w:rPr>
              <w:t>85.9</w:t>
            </w:r>
          </w:p>
        </w:tc>
        <w:tc>
          <w:tcPr>
            <w:tcW w:w="893" w:type="dxa"/>
            <w:shd w:val="clear" w:color="auto" w:fill="auto"/>
            <w:noWrap/>
            <w:vAlign w:val="center"/>
            <w:hideMark/>
          </w:tcPr>
          <w:p w:rsidR="00871692" w:rsidRPr="000C3FB5" w:rsidRDefault="003502F4" w:rsidP="00141A54">
            <w:pPr>
              <w:pStyle w:val="Tabletext0"/>
              <w:ind w:right="56"/>
              <w:jc w:val="right"/>
              <w:rPr>
                <w:rFonts w:ascii="Calibri" w:hAnsi="Calibri" w:cs="Calibri"/>
                <w:color w:val="00305C"/>
                <w:sz w:val="18"/>
                <w:szCs w:val="18"/>
              </w:rPr>
            </w:pPr>
            <w:r w:rsidRPr="000C3FB5">
              <w:rPr>
                <w:rFonts w:ascii="Calibri" w:hAnsi="Calibri" w:cs="Calibri"/>
                <w:color w:val="00305C"/>
                <w:sz w:val="18"/>
                <w:szCs w:val="18"/>
              </w:rPr>
              <w:t>-</w:t>
            </w:r>
          </w:p>
        </w:tc>
        <w:tc>
          <w:tcPr>
            <w:tcW w:w="849" w:type="dxa"/>
            <w:shd w:val="clear" w:color="auto" w:fill="auto"/>
            <w:noWrap/>
            <w:vAlign w:val="center"/>
            <w:hideMark/>
          </w:tcPr>
          <w:p w:rsidR="00871692" w:rsidRPr="000C3FB5" w:rsidRDefault="003502F4" w:rsidP="00141A54">
            <w:pPr>
              <w:pStyle w:val="Tabletext0"/>
              <w:ind w:right="56"/>
              <w:jc w:val="right"/>
              <w:rPr>
                <w:rFonts w:ascii="Calibri" w:hAnsi="Calibri" w:cs="Calibri"/>
                <w:color w:val="00305C"/>
                <w:sz w:val="18"/>
                <w:szCs w:val="18"/>
              </w:rPr>
            </w:pPr>
            <w:r w:rsidRPr="000C3FB5">
              <w:rPr>
                <w:rFonts w:ascii="Calibri" w:hAnsi="Calibri" w:cs="Calibri"/>
                <w:color w:val="00305C"/>
                <w:sz w:val="18"/>
                <w:szCs w:val="18"/>
              </w:rPr>
              <w:t>85.9</w:t>
            </w:r>
          </w:p>
        </w:tc>
      </w:tr>
      <w:tr w:rsidR="00871692" w:rsidRPr="00113846" w:rsidTr="005730B1">
        <w:trPr>
          <w:trHeight w:val="283"/>
        </w:trPr>
        <w:tc>
          <w:tcPr>
            <w:tcW w:w="2110" w:type="dxa"/>
            <w:shd w:val="clear" w:color="auto" w:fill="auto"/>
            <w:noWrap/>
            <w:vAlign w:val="center"/>
            <w:hideMark/>
          </w:tcPr>
          <w:p w:rsidR="00871692" w:rsidRPr="00113846" w:rsidRDefault="00871692" w:rsidP="00141A54">
            <w:pPr>
              <w:pStyle w:val="Tabletext0"/>
              <w:ind w:right="85"/>
              <w:rPr>
                <w:rFonts w:ascii="Calibri" w:hAnsi="Calibri" w:cs="Calibri"/>
                <w:color w:val="002B45"/>
              </w:rPr>
            </w:pPr>
            <w:r w:rsidRPr="00113846">
              <w:rPr>
                <w:rFonts w:ascii="Calibri" w:hAnsi="Calibri" w:cs="Calibri"/>
                <w:color w:val="002B45"/>
              </w:rPr>
              <w:t>Disposals</w:t>
            </w:r>
          </w:p>
        </w:tc>
        <w:tc>
          <w:tcPr>
            <w:tcW w:w="802" w:type="dxa"/>
            <w:shd w:val="clear" w:color="auto" w:fill="auto"/>
            <w:noWrap/>
            <w:vAlign w:val="center"/>
            <w:hideMark/>
          </w:tcPr>
          <w:p w:rsidR="00871692" w:rsidRPr="000C3FB5" w:rsidRDefault="003502F4" w:rsidP="00141A54">
            <w:pPr>
              <w:pStyle w:val="Tabletext0"/>
              <w:ind w:right="56"/>
              <w:jc w:val="right"/>
              <w:rPr>
                <w:rFonts w:ascii="Calibri" w:hAnsi="Calibri" w:cs="Calibri"/>
                <w:color w:val="00305C"/>
                <w:sz w:val="18"/>
                <w:szCs w:val="18"/>
              </w:rPr>
            </w:pPr>
            <w:r w:rsidRPr="000C3FB5">
              <w:rPr>
                <w:rFonts w:ascii="Calibri" w:hAnsi="Calibri" w:cs="Calibri"/>
                <w:color w:val="00305C"/>
                <w:sz w:val="18"/>
                <w:szCs w:val="18"/>
              </w:rPr>
              <w:t>-</w:t>
            </w:r>
          </w:p>
        </w:tc>
        <w:tc>
          <w:tcPr>
            <w:tcW w:w="848" w:type="dxa"/>
            <w:tcBorders>
              <w:right w:val="single" w:sz="4" w:space="0" w:color="D9D9D9" w:themeColor="background1" w:themeShade="D9"/>
            </w:tcBorders>
            <w:shd w:val="clear" w:color="auto" w:fill="auto"/>
            <w:noWrap/>
            <w:vAlign w:val="center"/>
            <w:hideMark/>
          </w:tcPr>
          <w:p w:rsidR="00871692" w:rsidRPr="000C3FB5" w:rsidRDefault="003502F4" w:rsidP="00141A54">
            <w:pPr>
              <w:pStyle w:val="Tabletext0"/>
              <w:ind w:right="56"/>
              <w:jc w:val="right"/>
              <w:rPr>
                <w:rFonts w:ascii="Calibri" w:hAnsi="Calibri" w:cs="Calibri"/>
                <w:color w:val="00305C"/>
                <w:sz w:val="18"/>
                <w:szCs w:val="18"/>
              </w:rPr>
            </w:pPr>
            <w:r w:rsidRPr="000C3FB5">
              <w:rPr>
                <w:rFonts w:ascii="Calibri" w:hAnsi="Calibri" w:cs="Calibri"/>
                <w:color w:val="00305C"/>
                <w:sz w:val="18"/>
                <w:szCs w:val="18"/>
              </w:rPr>
              <w:t>-</w:t>
            </w:r>
          </w:p>
        </w:tc>
        <w:tc>
          <w:tcPr>
            <w:tcW w:w="816" w:type="dxa"/>
            <w:tcBorders>
              <w:left w:val="single" w:sz="4" w:space="0" w:color="D9D9D9" w:themeColor="background1" w:themeShade="D9"/>
            </w:tcBorders>
            <w:shd w:val="clear" w:color="auto" w:fill="auto"/>
            <w:noWrap/>
            <w:vAlign w:val="center"/>
            <w:hideMark/>
          </w:tcPr>
          <w:p w:rsidR="00871692" w:rsidRPr="000C3FB5" w:rsidRDefault="003502F4" w:rsidP="00141A54">
            <w:pPr>
              <w:pStyle w:val="Tabletext0"/>
              <w:ind w:right="56"/>
              <w:jc w:val="right"/>
              <w:rPr>
                <w:rFonts w:ascii="Calibri" w:hAnsi="Calibri" w:cs="Calibri"/>
                <w:color w:val="00305C"/>
                <w:sz w:val="18"/>
                <w:szCs w:val="18"/>
              </w:rPr>
            </w:pPr>
            <w:r w:rsidRPr="000C3FB5">
              <w:rPr>
                <w:rFonts w:ascii="Calibri" w:hAnsi="Calibri" w:cs="Calibri"/>
                <w:color w:val="00305C"/>
                <w:sz w:val="18"/>
                <w:szCs w:val="18"/>
              </w:rPr>
              <w:t>-</w:t>
            </w:r>
          </w:p>
        </w:tc>
        <w:tc>
          <w:tcPr>
            <w:tcW w:w="844" w:type="dxa"/>
            <w:tcBorders>
              <w:right w:val="single" w:sz="4" w:space="0" w:color="D9D9D9" w:themeColor="background1" w:themeShade="D9"/>
            </w:tcBorders>
            <w:shd w:val="clear" w:color="auto" w:fill="auto"/>
            <w:noWrap/>
            <w:vAlign w:val="center"/>
            <w:hideMark/>
          </w:tcPr>
          <w:p w:rsidR="00871692" w:rsidRPr="000C3FB5" w:rsidRDefault="003502F4" w:rsidP="00141A54">
            <w:pPr>
              <w:pStyle w:val="Tabletext0"/>
              <w:ind w:right="56"/>
              <w:jc w:val="right"/>
              <w:rPr>
                <w:rFonts w:ascii="Calibri" w:hAnsi="Calibri" w:cs="Calibri"/>
                <w:color w:val="00305C"/>
                <w:sz w:val="18"/>
                <w:szCs w:val="18"/>
              </w:rPr>
            </w:pPr>
            <w:r w:rsidRPr="000C3FB5">
              <w:rPr>
                <w:rFonts w:ascii="Calibri" w:hAnsi="Calibri" w:cs="Calibri"/>
                <w:color w:val="00305C"/>
                <w:sz w:val="18"/>
                <w:szCs w:val="18"/>
              </w:rPr>
              <w:t>-</w:t>
            </w:r>
          </w:p>
        </w:tc>
        <w:tc>
          <w:tcPr>
            <w:tcW w:w="816" w:type="dxa"/>
            <w:tcBorders>
              <w:left w:val="single" w:sz="4" w:space="0" w:color="D9D9D9" w:themeColor="background1" w:themeShade="D9"/>
            </w:tcBorders>
            <w:shd w:val="clear" w:color="auto" w:fill="auto"/>
            <w:noWrap/>
            <w:vAlign w:val="center"/>
            <w:hideMark/>
          </w:tcPr>
          <w:p w:rsidR="00871692" w:rsidRPr="000C3FB5" w:rsidRDefault="003502F4" w:rsidP="00141A54">
            <w:pPr>
              <w:pStyle w:val="Tabletext0"/>
              <w:ind w:right="56"/>
              <w:jc w:val="right"/>
              <w:rPr>
                <w:rFonts w:ascii="Calibri" w:hAnsi="Calibri" w:cs="Calibri"/>
                <w:color w:val="00305C"/>
                <w:sz w:val="18"/>
                <w:szCs w:val="18"/>
              </w:rPr>
            </w:pPr>
            <w:r w:rsidRPr="000C3FB5">
              <w:rPr>
                <w:rFonts w:ascii="Calibri" w:hAnsi="Calibri" w:cs="Calibri"/>
                <w:color w:val="00305C"/>
                <w:sz w:val="18"/>
                <w:szCs w:val="18"/>
              </w:rPr>
              <w:t>-</w:t>
            </w:r>
          </w:p>
        </w:tc>
        <w:tc>
          <w:tcPr>
            <w:tcW w:w="735" w:type="dxa"/>
            <w:tcBorders>
              <w:right w:val="single" w:sz="4" w:space="0" w:color="D9D9D9" w:themeColor="background1" w:themeShade="D9"/>
            </w:tcBorders>
            <w:shd w:val="clear" w:color="auto" w:fill="auto"/>
            <w:noWrap/>
            <w:vAlign w:val="center"/>
            <w:hideMark/>
          </w:tcPr>
          <w:p w:rsidR="00871692" w:rsidRPr="000C3FB5" w:rsidRDefault="003502F4" w:rsidP="00141A54">
            <w:pPr>
              <w:pStyle w:val="Tabletext0"/>
              <w:ind w:right="56"/>
              <w:jc w:val="right"/>
              <w:rPr>
                <w:rFonts w:ascii="Calibri" w:hAnsi="Calibri" w:cs="Calibri"/>
                <w:color w:val="00305C"/>
                <w:sz w:val="18"/>
                <w:szCs w:val="18"/>
              </w:rPr>
            </w:pPr>
            <w:r w:rsidRPr="000C3FB5">
              <w:rPr>
                <w:rFonts w:ascii="Calibri" w:hAnsi="Calibri" w:cs="Calibri"/>
                <w:color w:val="00305C"/>
                <w:sz w:val="18"/>
                <w:szCs w:val="18"/>
              </w:rPr>
              <w:t>(23.5)</w:t>
            </w:r>
          </w:p>
        </w:tc>
        <w:tc>
          <w:tcPr>
            <w:tcW w:w="893" w:type="dxa"/>
            <w:tcBorders>
              <w:left w:val="single" w:sz="4" w:space="0" w:color="D9D9D9" w:themeColor="background1" w:themeShade="D9"/>
            </w:tcBorders>
            <w:shd w:val="clear" w:color="auto" w:fill="auto"/>
            <w:noWrap/>
            <w:vAlign w:val="center"/>
            <w:hideMark/>
          </w:tcPr>
          <w:p w:rsidR="00871692" w:rsidRPr="000C3FB5" w:rsidRDefault="003502F4" w:rsidP="00141A54">
            <w:pPr>
              <w:pStyle w:val="Tabletext0"/>
              <w:ind w:right="56"/>
              <w:jc w:val="right"/>
              <w:rPr>
                <w:rFonts w:ascii="Calibri" w:hAnsi="Calibri" w:cs="Calibri"/>
                <w:color w:val="00305C"/>
                <w:sz w:val="18"/>
                <w:szCs w:val="18"/>
              </w:rPr>
            </w:pPr>
            <w:r w:rsidRPr="000C3FB5">
              <w:rPr>
                <w:rFonts w:ascii="Calibri" w:hAnsi="Calibri" w:cs="Calibri"/>
                <w:color w:val="00305C"/>
                <w:sz w:val="18"/>
                <w:szCs w:val="18"/>
              </w:rPr>
              <w:t>-</w:t>
            </w:r>
          </w:p>
        </w:tc>
        <w:tc>
          <w:tcPr>
            <w:tcW w:w="893" w:type="dxa"/>
            <w:shd w:val="clear" w:color="auto" w:fill="auto"/>
            <w:noWrap/>
            <w:vAlign w:val="center"/>
            <w:hideMark/>
          </w:tcPr>
          <w:p w:rsidR="00871692" w:rsidRPr="000C3FB5" w:rsidRDefault="003502F4" w:rsidP="00141A54">
            <w:pPr>
              <w:pStyle w:val="Tabletext0"/>
              <w:ind w:right="56"/>
              <w:jc w:val="right"/>
              <w:rPr>
                <w:rFonts w:ascii="Calibri" w:hAnsi="Calibri" w:cs="Calibri"/>
                <w:color w:val="00305C"/>
                <w:sz w:val="18"/>
                <w:szCs w:val="18"/>
              </w:rPr>
            </w:pPr>
            <w:r w:rsidRPr="000C3FB5">
              <w:rPr>
                <w:rFonts w:ascii="Calibri" w:hAnsi="Calibri" w:cs="Calibri"/>
                <w:color w:val="00305C"/>
                <w:sz w:val="18"/>
                <w:szCs w:val="18"/>
              </w:rPr>
              <w:t>(23.5)</w:t>
            </w:r>
          </w:p>
        </w:tc>
        <w:tc>
          <w:tcPr>
            <w:tcW w:w="849" w:type="dxa"/>
            <w:shd w:val="clear" w:color="auto" w:fill="auto"/>
            <w:noWrap/>
            <w:vAlign w:val="center"/>
            <w:hideMark/>
          </w:tcPr>
          <w:p w:rsidR="00871692" w:rsidRPr="000C3FB5" w:rsidRDefault="003502F4" w:rsidP="00141A54">
            <w:pPr>
              <w:pStyle w:val="Tabletext0"/>
              <w:ind w:right="56"/>
              <w:jc w:val="right"/>
              <w:rPr>
                <w:rFonts w:ascii="Calibri" w:hAnsi="Calibri" w:cs="Calibri"/>
                <w:color w:val="00305C"/>
                <w:sz w:val="18"/>
                <w:szCs w:val="18"/>
              </w:rPr>
            </w:pPr>
            <w:r w:rsidRPr="000C3FB5">
              <w:rPr>
                <w:rFonts w:ascii="Calibri" w:hAnsi="Calibri" w:cs="Calibri"/>
                <w:color w:val="00305C"/>
                <w:sz w:val="18"/>
                <w:szCs w:val="18"/>
              </w:rPr>
              <w:t>(3.9)</w:t>
            </w:r>
          </w:p>
        </w:tc>
      </w:tr>
      <w:tr w:rsidR="00871692" w:rsidRPr="00113846" w:rsidTr="00700B58">
        <w:trPr>
          <w:trHeight w:val="283"/>
        </w:trPr>
        <w:tc>
          <w:tcPr>
            <w:tcW w:w="2110" w:type="dxa"/>
            <w:tcBorders>
              <w:bottom w:val="single" w:sz="4" w:space="0" w:color="A6A6A6" w:themeColor="background1" w:themeShade="A6"/>
            </w:tcBorders>
            <w:shd w:val="clear" w:color="auto" w:fill="auto"/>
            <w:noWrap/>
            <w:vAlign w:val="center"/>
            <w:hideMark/>
          </w:tcPr>
          <w:p w:rsidR="00871692" w:rsidRPr="00113846" w:rsidRDefault="00871692" w:rsidP="00141A54">
            <w:pPr>
              <w:pStyle w:val="Tabletext0"/>
              <w:ind w:right="85"/>
              <w:rPr>
                <w:rFonts w:ascii="Calibri" w:hAnsi="Calibri" w:cs="Calibri"/>
                <w:color w:val="002B45"/>
              </w:rPr>
            </w:pPr>
            <w:r>
              <w:rPr>
                <w:rFonts w:ascii="Calibri" w:hAnsi="Calibri" w:cs="Calibri"/>
                <w:color w:val="002B45"/>
              </w:rPr>
              <w:t>Transfers to commercial reserves</w:t>
            </w:r>
          </w:p>
        </w:tc>
        <w:tc>
          <w:tcPr>
            <w:tcW w:w="802" w:type="dxa"/>
            <w:tcBorders>
              <w:bottom w:val="single" w:sz="4" w:space="0" w:color="A6A6A6" w:themeColor="background1" w:themeShade="A6"/>
            </w:tcBorders>
            <w:shd w:val="clear" w:color="auto" w:fill="auto"/>
            <w:noWrap/>
            <w:vAlign w:val="center"/>
            <w:hideMark/>
          </w:tcPr>
          <w:p w:rsidR="00871692" w:rsidRPr="000C3FB5" w:rsidRDefault="003502F4" w:rsidP="00141A54">
            <w:pPr>
              <w:pStyle w:val="Tabletext0"/>
              <w:ind w:right="56"/>
              <w:jc w:val="right"/>
              <w:rPr>
                <w:rFonts w:ascii="Calibri" w:hAnsi="Calibri" w:cs="Calibri"/>
                <w:color w:val="00305C"/>
                <w:sz w:val="18"/>
                <w:szCs w:val="18"/>
              </w:rPr>
            </w:pPr>
            <w:r w:rsidRPr="000C3FB5">
              <w:rPr>
                <w:rFonts w:ascii="Calibri" w:hAnsi="Calibri" w:cs="Calibri"/>
                <w:color w:val="00305C"/>
                <w:sz w:val="18"/>
                <w:szCs w:val="18"/>
              </w:rPr>
              <w:t>-</w:t>
            </w:r>
          </w:p>
        </w:tc>
        <w:tc>
          <w:tcPr>
            <w:tcW w:w="848" w:type="dxa"/>
            <w:tcBorders>
              <w:bottom w:val="single" w:sz="4" w:space="0" w:color="A6A6A6" w:themeColor="background1" w:themeShade="A6"/>
              <w:right w:val="single" w:sz="4" w:space="0" w:color="D9D9D9" w:themeColor="background1" w:themeShade="D9"/>
            </w:tcBorders>
            <w:shd w:val="clear" w:color="auto" w:fill="auto"/>
            <w:noWrap/>
            <w:vAlign w:val="center"/>
            <w:hideMark/>
          </w:tcPr>
          <w:p w:rsidR="00871692" w:rsidRPr="000C3FB5" w:rsidRDefault="003502F4" w:rsidP="00141A54">
            <w:pPr>
              <w:pStyle w:val="Tabletext0"/>
              <w:ind w:right="56"/>
              <w:jc w:val="right"/>
              <w:rPr>
                <w:rFonts w:ascii="Calibri" w:hAnsi="Calibri" w:cs="Calibri"/>
                <w:color w:val="00305C"/>
                <w:sz w:val="18"/>
                <w:szCs w:val="18"/>
              </w:rPr>
            </w:pPr>
            <w:r w:rsidRPr="000C3FB5">
              <w:rPr>
                <w:rFonts w:ascii="Calibri" w:hAnsi="Calibri" w:cs="Calibri"/>
                <w:color w:val="00305C"/>
                <w:sz w:val="18"/>
                <w:szCs w:val="18"/>
              </w:rPr>
              <w:t>(157.7)</w:t>
            </w:r>
          </w:p>
        </w:tc>
        <w:tc>
          <w:tcPr>
            <w:tcW w:w="816" w:type="dxa"/>
            <w:tcBorders>
              <w:left w:val="single" w:sz="4" w:space="0" w:color="D9D9D9" w:themeColor="background1" w:themeShade="D9"/>
              <w:bottom w:val="single" w:sz="4" w:space="0" w:color="A6A6A6" w:themeColor="background1" w:themeShade="A6"/>
            </w:tcBorders>
            <w:shd w:val="clear" w:color="auto" w:fill="auto"/>
            <w:noWrap/>
            <w:vAlign w:val="center"/>
            <w:hideMark/>
          </w:tcPr>
          <w:p w:rsidR="00871692" w:rsidRPr="000C3FB5" w:rsidRDefault="003502F4" w:rsidP="00141A54">
            <w:pPr>
              <w:pStyle w:val="Tabletext0"/>
              <w:ind w:right="56"/>
              <w:jc w:val="right"/>
              <w:rPr>
                <w:rFonts w:ascii="Calibri" w:hAnsi="Calibri" w:cs="Calibri"/>
                <w:color w:val="00305C"/>
                <w:sz w:val="18"/>
                <w:szCs w:val="18"/>
              </w:rPr>
            </w:pPr>
            <w:r w:rsidRPr="000C3FB5">
              <w:rPr>
                <w:rFonts w:ascii="Calibri" w:hAnsi="Calibri" w:cs="Calibri"/>
                <w:color w:val="00305C"/>
                <w:sz w:val="18"/>
                <w:szCs w:val="18"/>
              </w:rPr>
              <w:t>-</w:t>
            </w:r>
          </w:p>
        </w:tc>
        <w:tc>
          <w:tcPr>
            <w:tcW w:w="844" w:type="dxa"/>
            <w:tcBorders>
              <w:bottom w:val="single" w:sz="4" w:space="0" w:color="A6A6A6" w:themeColor="background1" w:themeShade="A6"/>
              <w:right w:val="single" w:sz="4" w:space="0" w:color="D9D9D9" w:themeColor="background1" w:themeShade="D9"/>
            </w:tcBorders>
            <w:shd w:val="clear" w:color="auto" w:fill="auto"/>
            <w:noWrap/>
            <w:vAlign w:val="center"/>
            <w:hideMark/>
          </w:tcPr>
          <w:p w:rsidR="00871692" w:rsidRPr="000C3FB5" w:rsidRDefault="003502F4" w:rsidP="00141A54">
            <w:pPr>
              <w:pStyle w:val="Tabletext0"/>
              <w:ind w:right="56"/>
              <w:jc w:val="right"/>
              <w:rPr>
                <w:rFonts w:ascii="Calibri" w:hAnsi="Calibri" w:cs="Calibri"/>
                <w:color w:val="00305C"/>
                <w:sz w:val="18"/>
                <w:szCs w:val="18"/>
              </w:rPr>
            </w:pPr>
            <w:r w:rsidRPr="000C3FB5">
              <w:rPr>
                <w:rFonts w:ascii="Calibri" w:hAnsi="Calibri" w:cs="Calibri"/>
                <w:color w:val="00305C"/>
                <w:sz w:val="18"/>
                <w:szCs w:val="18"/>
              </w:rPr>
              <w:t>-</w:t>
            </w:r>
          </w:p>
        </w:tc>
        <w:tc>
          <w:tcPr>
            <w:tcW w:w="816" w:type="dxa"/>
            <w:tcBorders>
              <w:left w:val="single" w:sz="4" w:space="0" w:color="D9D9D9" w:themeColor="background1" w:themeShade="D9"/>
              <w:bottom w:val="single" w:sz="4" w:space="0" w:color="A6A6A6" w:themeColor="background1" w:themeShade="A6"/>
            </w:tcBorders>
            <w:shd w:val="clear" w:color="auto" w:fill="auto"/>
            <w:noWrap/>
            <w:vAlign w:val="center"/>
            <w:hideMark/>
          </w:tcPr>
          <w:p w:rsidR="00871692" w:rsidRPr="000C3FB5" w:rsidRDefault="003502F4" w:rsidP="00141A54">
            <w:pPr>
              <w:pStyle w:val="Tabletext0"/>
              <w:ind w:right="56"/>
              <w:jc w:val="right"/>
              <w:rPr>
                <w:rFonts w:ascii="Calibri" w:hAnsi="Calibri" w:cs="Calibri"/>
                <w:color w:val="00305C"/>
                <w:sz w:val="18"/>
                <w:szCs w:val="18"/>
              </w:rPr>
            </w:pPr>
            <w:r w:rsidRPr="000C3FB5">
              <w:rPr>
                <w:rFonts w:ascii="Calibri" w:hAnsi="Calibri" w:cs="Calibri"/>
                <w:color w:val="00305C"/>
                <w:sz w:val="18"/>
                <w:szCs w:val="18"/>
              </w:rPr>
              <w:t>-</w:t>
            </w:r>
          </w:p>
        </w:tc>
        <w:tc>
          <w:tcPr>
            <w:tcW w:w="735" w:type="dxa"/>
            <w:tcBorders>
              <w:bottom w:val="single" w:sz="4" w:space="0" w:color="A6A6A6" w:themeColor="background1" w:themeShade="A6"/>
              <w:right w:val="single" w:sz="4" w:space="0" w:color="D9D9D9" w:themeColor="background1" w:themeShade="D9"/>
            </w:tcBorders>
            <w:shd w:val="clear" w:color="auto" w:fill="auto"/>
            <w:noWrap/>
            <w:vAlign w:val="center"/>
            <w:hideMark/>
          </w:tcPr>
          <w:p w:rsidR="00871692" w:rsidRPr="000C3FB5" w:rsidRDefault="003502F4" w:rsidP="00141A54">
            <w:pPr>
              <w:pStyle w:val="Tabletext0"/>
              <w:ind w:right="56"/>
              <w:jc w:val="right"/>
              <w:rPr>
                <w:rFonts w:ascii="Calibri" w:hAnsi="Calibri" w:cs="Calibri"/>
                <w:color w:val="00305C"/>
                <w:sz w:val="18"/>
                <w:szCs w:val="18"/>
              </w:rPr>
            </w:pPr>
            <w:r w:rsidRPr="000C3FB5">
              <w:rPr>
                <w:rFonts w:ascii="Calibri" w:hAnsi="Calibri" w:cs="Calibri"/>
                <w:color w:val="00305C"/>
                <w:sz w:val="18"/>
                <w:szCs w:val="18"/>
              </w:rPr>
              <w:t>-</w:t>
            </w:r>
          </w:p>
        </w:tc>
        <w:tc>
          <w:tcPr>
            <w:tcW w:w="893" w:type="dxa"/>
            <w:tcBorders>
              <w:left w:val="single" w:sz="4" w:space="0" w:color="D9D9D9" w:themeColor="background1" w:themeShade="D9"/>
              <w:bottom w:val="single" w:sz="4" w:space="0" w:color="A6A6A6" w:themeColor="background1" w:themeShade="A6"/>
            </w:tcBorders>
            <w:shd w:val="clear" w:color="auto" w:fill="auto"/>
            <w:noWrap/>
            <w:vAlign w:val="center"/>
            <w:hideMark/>
          </w:tcPr>
          <w:p w:rsidR="00871692" w:rsidRPr="000C3FB5" w:rsidRDefault="003502F4" w:rsidP="00141A54">
            <w:pPr>
              <w:pStyle w:val="Tabletext0"/>
              <w:ind w:right="56"/>
              <w:jc w:val="right"/>
              <w:rPr>
                <w:rFonts w:ascii="Calibri" w:hAnsi="Calibri" w:cs="Calibri"/>
                <w:color w:val="00305C"/>
                <w:sz w:val="18"/>
                <w:szCs w:val="18"/>
              </w:rPr>
            </w:pPr>
            <w:r w:rsidRPr="000C3FB5">
              <w:rPr>
                <w:rFonts w:ascii="Calibri" w:hAnsi="Calibri" w:cs="Calibri"/>
                <w:color w:val="00305C"/>
                <w:sz w:val="18"/>
                <w:szCs w:val="18"/>
              </w:rPr>
              <w:t>-</w:t>
            </w:r>
          </w:p>
        </w:tc>
        <w:tc>
          <w:tcPr>
            <w:tcW w:w="893" w:type="dxa"/>
            <w:tcBorders>
              <w:bottom w:val="single" w:sz="4" w:space="0" w:color="A6A6A6" w:themeColor="background1" w:themeShade="A6"/>
            </w:tcBorders>
            <w:shd w:val="clear" w:color="auto" w:fill="auto"/>
            <w:noWrap/>
            <w:vAlign w:val="center"/>
            <w:hideMark/>
          </w:tcPr>
          <w:p w:rsidR="00871692" w:rsidRPr="000C3FB5" w:rsidRDefault="003502F4" w:rsidP="00141A54">
            <w:pPr>
              <w:pStyle w:val="Tabletext0"/>
              <w:ind w:right="56"/>
              <w:jc w:val="right"/>
              <w:rPr>
                <w:rFonts w:ascii="Calibri" w:hAnsi="Calibri" w:cs="Calibri"/>
                <w:color w:val="00305C"/>
                <w:sz w:val="18"/>
                <w:szCs w:val="18"/>
              </w:rPr>
            </w:pPr>
            <w:r w:rsidRPr="000C3FB5">
              <w:rPr>
                <w:rFonts w:ascii="Calibri" w:hAnsi="Calibri" w:cs="Calibri"/>
                <w:color w:val="00305C"/>
                <w:sz w:val="18"/>
                <w:szCs w:val="18"/>
              </w:rPr>
              <w:t>(157.7)</w:t>
            </w:r>
          </w:p>
        </w:tc>
        <w:tc>
          <w:tcPr>
            <w:tcW w:w="849" w:type="dxa"/>
            <w:tcBorders>
              <w:bottom w:val="single" w:sz="4" w:space="0" w:color="A6A6A6" w:themeColor="background1" w:themeShade="A6"/>
            </w:tcBorders>
            <w:shd w:val="clear" w:color="auto" w:fill="auto"/>
            <w:noWrap/>
            <w:vAlign w:val="center"/>
            <w:hideMark/>
          </w:tcPr>
          <w:p w:rsidR="00871692" w:rsidRPr="000C3FB5" w:rsidRDefault="003502F4" w:rsidP="00141A54">
            <w:pPr>
              <w:pStyle w:val="Tabletext0"/>
              <w:ind w:right="56"/>
              <w:jc w:val="right"/>
              <w:rPr>
                <w:rFonts w:ascii="Calibri" w:hAnsi="Calibri" w:cs="Calibri"/>
                <w:color w:val="00305C"/>
                <w:sz w:val="18"/>
                <w:szCs w:val="18"/>
              </w:rPr>
            </w:pPr>
            <w:r w:rsidRPr="000C3FB5">
              <w:rPr>
                <w:rFonts w:ascii="Calibri" w:hAnsi="Calibri" w:cs="Calibri"/>
                <w:color w:val="00305C"/>
                <w:sz w:val="18"/>
                <w:szCs w:val="18"/>
              </w:rPr>
              <w:t>(26.3)</w:t>
            </w:r>
          </w:p>
        </w:tc>
      </w:tr>
      <w:tr w:rsidR="00871692" w:rsidRPr="00113846" w:rsidTr="00772C45">
        <w:trPr>
          <w:trHeight w:val="283"/>
        </w:trPr>
        <w:tc>
          <w:tcPr>
            <w:tcW w:w="2110" w:type="dxa"/>
            <w:tcBorders>
              <w:top w:val="single" w:sz="4" w:space="0" w:color="A6A6A6" w:themeColor="background1" w:themeShade="A6"/>
              <w:bottom w:val="single" w:sz="8" w:space="0" w:color="C0C0C0"/>
            </w:tcBorders>
            <w:shd w:val="clear" w:color="auto" w:fill="auto"/>
            <w:noWrap/>
            <w:vAlign w:val="center"/>
            <w:hideMark/>
          </w:tcPr>
          <w:p w:rsidR="00871692" w:rsidRPr="00113846" w:rsidRDefault="00871692" w:rsidP="00141A54">
            <w:pPr>
              <w:pStyle w:val="Tabletext0"/>
              <w:ind w:right="85"/>
              <w:rPr>
                <w:rFonts w:ascii="Calibri" w:hAnsi="Calibri" w:cs="Calibri"/>
                <w:color w:val="002B45"/>
              </w:rPr>
            </w:pPr>
            <w:r>
              <w:rPr>
                <w:rFonts w:ascii="Calibri" w:hAnsi="Calibri" w:cs="Calibri"/>
                <w:color w:val="002B45"/>
              </w:rPr>
              <w:t>31st December 201</w:t>
            </w:r>
            <w:r w:rsidR="00F06A27">
              <w:rPr>
                <w:rFonts w:ascii="Calibri" w:hAnsi="Calibri" w:cs="Calibri"/>
                <w:color w:val="002B45"/>
              </w:rPr>
              <w:t>3</w:t>
            </w:r>
          </w:p>
        </w:tc>
        <w:tc>
          <w:tcPr>
            <w:tcW w:w="802" w:type="dxa"/>
            <w:tcBorders>
              <w:top w:val="single" w:sz="4" w:space="0" w:color="A6A6A6" w:themeColor="background1" w:themeShade="A6"/>
              <w:bottom w:val="single" w:sz="8" w:space="0" w:color="C0C0C0"/>
            </w:tcBorders>
            <w:shd w:val="clear" w:color="auto" w:fill="auto"/>
            <w:noWrap/>
            <w:vAlign w:val="center"/>
            <w:hideMark/>
          </w:tcPr>
          <w:p w:rsidR="00871692" w:rsidRPr="000C3FB5" w:rsidRDefault="003502F4" w:rsidP="00141A54">
            <w:pPr>
              <w:pStyle w:val="Tabletext0"/>
              <w:ind w:right="56"/>
              <w:jc w:val="right"/>
              <w:rPr>
                <w:rFonts w:ascii="Calibri" w:hAnsi="Calibri" w:cs="Calibri"/>
                <w:color w:val="00305C"/>
                <w:sz w:val="18"/>
                <w:szCs w:val="18"/>
              </w:rPr>
            </w:pPr>
            <w:r w:rsidRPr="000C3FB5">
              <w:rPr>
                <w:rFonts w:ascii="Calibri" w:hAnsi="Calibri" w:cs="Calibri"/>
                <w:color w:val="00305C"/>
                <w:sz w:val="18"/>
                <w:szCs w:val="18"/>
              </w:rPr>
              <w:t>105.5</w:t>
            </w:r>
          </w:p>
        </w:tc>
        <w:tc>
          <w:tcPr>
            <w:tcW w:w="848" w:type="dxa"/>
            <w:tcBorders>
              <w:top w:val="single" w:sz="4" w:space="0" w:color="A6A6A6" w:themeColor="background1" w:themeShade="A6"/>
              <w:bottom w:val="single" w:sz="8" w:space="0" w:color="C0C0C0"/>
              <w:right w:val="single" w:sz="4" w:space="0" w:color="D9D9D9" w:themeColor="background1" w:themeShade="D9"/>
            </w:tcBorders>
            <w:shd w:val="clear" w:color="auto" w:fill="auto"/>
            <w:noWrap/>
            <w:vAlign w:val="center"/>
            <w:hideMark/>
          </w:tcPr>
          <w:p w:rsidR="00871692" w:rsidRPr="000C3FB5" w:rsidRDefault="003502F4" w:rsidP="00141A54">
            <w:pPr>
              <w:pStyle w:val="Tabletext0"/>
              <w:ind w:right="56"/>
              <w:jc w:val="right"/>
              <w:rPr>
                <w:rFonts w:ascii="Calibri" w:hAnsi="Calibri" w:cs="Calibri"/>
                <w:color w:val="00305C"/>
                <w:sz w:val="18"/>
                <w:szCs w:val="18"/>
              </w:rPr>
            </w:pPr>
            <w:r w:rsidRPr="000C3FB5">
              <w:rPr>
                <w:rFonts w:ascii="Calibri" w:hAnsi="Calibri" w:cs="Calibri"/>
                <w:color w:val="00305C"/>
                <w:sz w:val="18"/>
                <w:szCs w:val="18"/>
              </w:rPr>
              <w:t>1,228.4</w:t>
            </w:r>
          </w:p>
        </w:tc>
        <w:tc>
          <w:tcPr>
            <w:tcW w:w="816" w:type="dxa"/>
            <w:tcBorders>
              <w:top w:val="single" w:sz="4" w:space="0" w:color="A6A6A6" w:themeColor="background1" w:themeShade="A6"/>
              <w:left w:val="single" w:sz="4" w:space="0" w:color="D9D9D9" w:themeColor="background1" w:themeShade="D9"/>
              <w:bottom w:val="single" w:sz="8" w:space="0" w:color="C0C0C0"/>
            </w:tcBorders>
            <w:shd w:val="clear" w:color="auto" w:fill="auto"/>
            <w:noWrap/>
            <w:vAlign w:val="center"/>
            <w:hideMark/>
          </w:tcPr>
          <w:p w:rsidR="00871692" w:rsidRPr="000C3FB5" w:rsidRDefault="003502F4" w:rsidP="00141A54">
            <w:pPr>
              <w:pStyle w:val="Tabletext0"/>
              <w:ind w:right="56"/>
              <w:jc w:val="right"/>
              <w:rPr>
                <w:rFonts w:ascii="Calibri" w:hAnsi="Calibri" w:cs="Calibri"/>
                <w:color w:val="00305C"/>
                <w:sz w:val="18"/>
                <w:szCs w:val="18"/>
              </w:rPr>
            </w:pPr>
            <w:r w:rsidRPr="000C3FB5">
              <w:rPr>
                <w:rFonts w:ascii="Calibri" w:hAnsi="Calibri" w:cs="Calibri"/>
                <w:color w:val="00305C"/>
                <w:sz w:val="18"/>
                <w:szCs w:val="18"/>
              </w:rPr>
              <w:t>519.3</w:t>
            </w:r>
          </w:p>
        </w:tc>
        <w:tc>
          <w:tcPr>
            <w:tcW w:w="844" w:type="dxa"/>
            <w:tcBorders>
              <w:top w:val="single" w:sz="4" w:space="0" w:color="A6A6A6" w:themeColor="background1" w:themeShade="A6"/>
              <w:bottom w:val="single" w:sz="8" w:space="0" w:color="C0C0C0"/>
              <w:right w:val="single" w:sz="4" w:space="0" w:color="D9D9D9" w:themeColor="background1" w:themeShade="D9"/>
            </w:tcBorders>
            <w:shd w:val="clear" w:color="auto" w:fill="auto"/>
            <w:noWrap/>
            <w:vAlign w:val="center"/>
            <w:hideMark/>
          </w:tcPr>
          <w:p w:rsidR="00871692" w:rsidRPr="000C3FB5" w:rsidRDefault="003502F4" w:rsidP="00141A54">
            <w:pPr>
              <w:pStyle w:val="Tabletext0"/>
              <w:ind w:right="56"/>
              <w:jc w:val="right"/>
              <w:rPr>
                <w:rFonts w:ascii="Calibri" w:hAnsi="Calibri" w:cs="Calibri"/>
                <w:color w:val="00305C"/>
                <w:sz w:val="18"/>
                <w:szCs w:val="18"/>
              </w:rPr>
            </w:pPr>
            <w:r w:rsidRPr="000C3FB5">
              <w:rPr>
                <w:rFonts w:ascii="Calibri" w:hAnsi="Calibri" w:cs="Calibri"/>
                <w:color w:val="00305C"/>
                <w:sz w:val="18"/>
                <w:szCs w:val="18"/>
              </w:rPr>
              <w:t>363.0</w:t>
            </w:r>
          </w:p>
        </w:tc>
        <w:tc>
          <w:tcPr>
            <w:tcW w:w="816" w:type="dxa"/>
            <w:tcBorders>
              <w:top w:val="single" w:sz="4" w:space="0" w:color="A6A6A6" w:themeColor="background1" w:themeShade="A6"/>
              <w:left w:val="single" w:sz="4" w:space="0" w:color="D9D9D9" w:themeColor="background1" w:themeShade="D9"/>
              <w:bottom w:val="single" w:sz="8" w:space="0" w:color="C0C0C0"/>
            </w:tcBorders>
            <w:shd w:val="clear" w:color="auto" w:fill="auto"/>
            <w:noWrap/>
            <w:vAlign w:val="center"/>
            <w:hideMark/>
          </w:tcPr>
          <w:p w:rsidR="00871692" w:rsidRPr="000C3FB5" w:rsidRDefault="003502F4" w:rsidP="00141A54">
            <w:pPr>
              <w:pStyle w:val="Tabletext0"/>
              <w:ind w:right="56"/>
              <w:jc w:val="right"/>
              <w:rPr>
                <w:rFonts w:ascii="Calibri" w:hAnsi="Calibri" w:cs="Calibri"/>
                <w:color w:val="00305C"/>
                <w:sz w:val="18"/>
                <w:szCs w:val="18"/>
              </w:rPr>
            </w:pPr>
            <w:r w:rsidRPr="000C3FB5">
              <w:rPr>
                <w:rFonts w:ascii="Calibri" w:hAnsi="Calibri" w:cs="Calibri"/>
                <w:color w:val="00305C"/>
                <w:sz w:val="18"/>
                <w:szCs w:val="18"/>
              </w:rPr>
              <w:t>108.2</w:t>
            </w:r>
          </w:p>
        </w:tc>
        <w:tc>
          <w:tcPr>
            <w:tcW w:w="735" w:type="dxa"/>
            <w:tcBorders>
              <w:top w:val="single" w:sz="4" w:space="0" w:color="A6A6A6" w:themeColor="background1" w:themeShade="A6"/>
              <w:bottom w:val="single" w:sz="8" w:space="0" w:color="C0C0C0"/>
              <w:right w:val="single" w:sz="4" w:space="0" w:color="D9D9D9" w:themeColor="background1" w:themeShade="D9"/>
            </w:tcBorders>
            <w:shd w:val="clear" w:color="auto" w:fill="auto"/>
            <w:noWrap/>
            <w:vAlign w:val="center"/>
            <w:hideMark/>
          </w:tcPr>
          <w:p w:rsidR="00871692" w:rsidRPr="000C3FB5" w:rsidRDefault="003502F4" w:rsidP="00141A54">
            <w:pPr>
              <w:pStyle w:val="Tabletext0"/>
              <w:ind w:right="56"/>
              <w:jc w:val="right"/>
              <w:rPr>
                <w:rFonts w:ascii="Calibri" w:hAnsi="Calibri" w:cs="Calibri"/>
                <w:color w:val="00305C"/>
                <w:sz w:val="18"/>
                <w:szCs w:val="18"/>
              </w:rPr>
            </w:pPr>
            <w:r w:rsidRPr="000C3FB5">
              <w:rPr>
                <w:rFonts w:ascii="Calibri" w:hAnsi="Calibri" w:cs="Calibri"/>
                <w:color w:val="00305C"/>
                <w:sz w:val="18"/>
                <w:szCs w:val="18"/>
              </w:rPr>
              <w:t>168.7</w:t>
            </w:r>
          </w:p>
        </w:tc>
        <w:tc>
          <w:tcPr>
            <w:tcW w:w="893" w:type="dxa"/>
            <w:tcBorders>
              <w:top w:val="single" w:sz="4" w:space="0" w:color="A6A6A6" w:themeColor="background1" w:themeShade="A6"/>
              <w:left w:val="single" w:sz="4" w:space="0" w:color="D9D9D9" w:themeColor="background1" w:themeShade="D9"/>
              <w:bottom w:val="single" w:sz="8" w:space="0" w:color="C0C0C0"/>
            </w:tcBorders>
            <w:shd w:val="clear" w:color="auto" w:fill="auto"/>
            <w:noWrap/>
            <w:vAlign w:val="center"/>
            <w:hideMark/>
          </w:tcPr>
          <w:p w:rsidR="00871692" w:rsidRPr="000C3FB5" w:rsidRDefault="003502F4" w:rsidP="00141A54">
            <w:pPr>
              <w:pStyle w:val="Tabletext0"/>
              <w:ind w:right="56"/>
              <w:jc w:val="right"/>
              <w:rPr>
                <w:rFonts w:ascii="Calibri" w:hAnsi="Calibri" w:cs="Calibri"/>
                <w:color w:val="00305C"/>
                <w:sz w:val="18"/>
                <w:szCs w:val="18"/>
              </w:rPr>
            </w:pPr>
            <w:r w:rsidRPr="000C3FB5">
              <w:rPr>
                <w:rFonts w:ascii="Calibri" w:hAnsi="Calibri" w:cs="Calibri"/>
                <w:color w:val="00305C"/>
                <w:sz w:val="18"/>
                <w:szCs w:val="18"/>
              </w:rPr>
              <w:t>733.0</w:t>
            </w:r>
          </w:p>
        </w:tc>
        <w:tc>
          <w:tcPr>
            <w:tcW w:w="893" w:type="dxa"/>
            <w:tcBorders>
              <w:top w:val="single" w:sz="4" w:space="0" w:color="A6A6A6" w:themeColor="background1" w:themeShade="A6"/>
              <w:bottom w:val="single" w:sz="8" w:space="0" w:color="C0C0C0"/>
            </w:tcBorders>
            <w:shd w:val="clear" w:color="auto" w:fill="auto"/>
            <w:noWrap/>
            <w:vAlign w:val="center"/>
            <w:hideMark/>
          </w:tcPr>
          <w:p w:rsidR="00871692" w:rsidRPr="000C3FB5" w:rsidRDefault="003502F4" w:rsidP="00141A54">
            <w:pPr>
              <w:pStyle w:val="Tabletext0"/>
              <w:ind w:right="56"/>
              <w:jc w:val="right"/>
              <w:rPr>
                <w:rFonts w:ascii="Calibri" w:hAnsi="Calibri" w:cs="Calibri"/>
                <w:color w:val="00305C"/>
                <w:sz w:val="18"/>
                <w:szCs w:val="18"/>
              </w:rPr>
            </w:pPr>
            <w:r w:rsidRPr="000C3FB5">
              <w:rPr>
                <w:rFonts w:ascii="Calibri" w:hAnsi="Calibri" w:cs="Calibri"/>
                <w:color w:val="00305C"/>
                <w:sz w:val="18"/>
                <w:szCs w:val="18"/>
              </w:rPr>
              <w:t>1,760.1</w:t>
            </w:r>
          </w:p>
        </w:tc>
        <w:tc>
          <w:tcPr>
            <w:tcW w:w="849" w:type="dxa"/>
            <w:tcBorders>
              <w:top w:val="single" w:sz="4" w:space="0" w:color="A6A6A6" w:themeColor="background1" w:themeShade="A6"/>
              <w:bottom w:val="single" w:sz="8" w:space="0" w:color="C0C0C0"/>
            </w:tcBorders>
            <w:shd w:val="clear" w:color="auto" w:fill="auto"/>
            <w:noWrap/>
            <w:vAlign w:val="center"/>
            <w:hideMark/>
          </w:tcPr>
          <w:p w:rsidR="00871692" w:rsidRPr="000C3FB5" w:rsidRDefault="003502F4" w:rsidP="00141A54">
            <w:pPr>
              <w:pStyle w:val="Tabletext0"/>
              <w:ind w:right="56"/>
              <w:jc w:val="right"/>
              <w:rPr>
                <w:rFonts w:ascii="Calibri" w:hAnsi="Calibri" w:cs="Calibri"/>
                <w:color w:val="00305C"/>
                <w:sz w:val="18"/>
                <w:szCs w:val="18"/>
              </w:rPr>
            </w:pPr>
            <w:r w:rsidRPr="000C3FB5">
              <w:rPr>
                <w:rFonts w:ascii="Calibri" w:hAnsi="Calibri" w:cs="Calibri"/>
                <w:color w:val="00305C"/>
                <w:sz w:val="18"/>
                <w:szCs w:val="18"/>
              </w:rPr>
              <w:t>1,026.4</w:t>
            </w:r>
          </w:p>
        </w:tc>
      </w:tr>
      <w:tr w:rsidR="00871692" w:rsidRPr="00113846" w:rsidTr="00772C45">
        <w:trPr>
          <w:trHeight w:val="340"/>
        </w:trPr>
        <w:tc>
          <w:tcPr>
            <w:tcW w:w="2110" w:type="dxa"/>
            <w:tcBorders>
              <w:top w:val="single" w:sz="8" w:space="0" w:color="C0C0C0"/>
            </w:tcBorders>
            <w:shd w:val="clear" w:color="auto" w:fill="auto"/>
            <w:noWrap/>
            <w:vAlign w:val="center"/>
            <w:hideMark/>
          </w:tcPr>
          <w:p w:rsidR="00871692" w:rsidRPr="00074ED0" w:rsidRDefault="00871692" w:rsidP="00141A54">
            <w:pPr>
              <w:pStyle w:val="Tabletext0"/>
              <w:ind w:right="85"/>
              <w:rPr>
                <w:rFonts w:ascii="Calibri" w:hAnsi="Calibri" w:cs="Calibri"/>
                <w:b/>
                <w:color w:val="002B45"/>
              </w:rPr>
            </w:pPr>
            <w:r w:rsidRPr="00074ED0">
              <w:rPr>
                <w:rFonts w:ascii="Calibri" w:hAnsi="Calibri" w:cs="Calibri"/>
                <w:b/>
                <w:color w:val="002B45"/>
              </w:rPr>
              <w:t>TOTAL</w:t>
            </w:r>
          </w:p>
        </w:tc>
        <w:tc>
          <w:tcPr>
            <w:tcW w:w="802" w:type="dxa"/>
            <w:tcBorders>
              <w:top w:val="single" w:sz="8" w:space="0" w:color="C0C0C0"/>
            </w:tcBorders>
            <w:shd w:val="clear" w:color="auto" w:fill="auto"/>
            <w:noWrap/>
            <w:vAlign w:val="center"/>
            <w:hideMark/>
          </w:tcPr>
          <w:p w:rsidR="00871692" w:rsidRPr="000C3FB5" w:rsidRDefault="00871692" w:rsidP="00141A54">
            <w:pPr>
              <w:pStyle w:val="Tabletext0"/>
              <w:ind w:right="56"/>
              <w:jc w:val="right"/>
              <w:rPr>
                <w:rFonts w:ascii="Calibri" w:hAnsi="Calibri" w:cs="Calibri"/>
                <w:color w:val="00305C"/>
                <w:sz w:val="18"/>
                <w:szCs w:val="18"/>
              </w:rPr>
            </w:pPr>
          </w:p>
        </w:tc>
        <w:tc>
          <w:tcPr>
            <w:tcW w:w="848" w:type="dxa"/>
            <w:tcBorders>
              <w:top w:val="single" w:sz="8" w:space="0" w:color="C0C0C0"/>
              <w:right w:val="single" w:sz="4" w:space="0" w:color="D9D9D9" w:themeColor="background1" w:themeShade="D9"/>
            </w:tcBorders>
            <w:shd w:val="clear" w:color="auto" w:fill="auto"/>
            <w:noWrap/>
            <w:vAlign w:val="center"/>
            <w:hideMark/>
          </w:tcPr>
          <w:p w:rsidR="00871692" w:rsidRPr="000C3FB5" w:rsidRDefault="00871692" w:rsidP="00141A54">
            <w:pPr>
              <w:pStyle w:val="Tabletext0"/>
              <w:ind w:right="56"/>
              <w:jc w:val="right"/>
              <w:rPr>
                <w:rFonts w:ascii="Calibri" w:hAnsi="Calibri" w:cs="Calibri"/>
                <w:color w:val="00305C"/>
                <w:sz w:val="18"/>
                <w:szCs w:val="18"/>
              </w:rPr>
            </w:pPr>
          </w:p>
        </w:tc>
        <w:tc>
          <w:tcPr>
            <w:tcW w:w="816" w:type="dxa"/>
            <w:tcBorders>
              <w:top w:val="single" w:sz="8" w:space="0" w:color="C0C0C0"/>
              <w:left w:val="single" w:sz="4" w:space="0" w:color="D9D9D9" w:themeColor="background1" w:themeShade="D9"/>
            </w:tcBorders>
            <w:shd w:val="clear" w:color="auto" w:fill="auto"/>
            <w:noWrap/>
            <w:vAlign w:val="center"/>
            <w:hideMark/>
          </w:tcPr>
          <w:p w:rsidR="00871692" w:rsidRPr="000C3FB5" w:rsidRDefault="00871692" w:rsidP="00141A54">
            <w:pPr>
              <w:pStyle w:val="Tabletext0"/>
              <w:ind w:right="56"/>
              <w:jc w:val="right"/>
              <w:rPr>
                <w:rFonts w:ascii="Calibri" w:hAnsi="Calibri" w:cs="Calibri"/>
                <w:color w:val="00305C"/>
                <w:sz w:val="18"/>
                <w:szCs w:val="18"/>
              </w:rPr>
            </w:pPr>
          </w:p>
        </w:tc>
        <w:tc>
          <w:tcPr>
            <w:tcW w:w="844" w:type="dxa"/>
            <w:tcBorders>
              <w:top w:val="single" w:sz="8" w:space="0" w:color="C0C0C0"/>
              <w:right w:val="single" w:sz="4" w:space="0" w:color="D9D9D9" w:themeColor="background1" w:themeShade="D9"/>
            </w:tcBorders>
            <w:shd w:val="clear" w:color="auto" w:fill="auto"/>
            <w:noWrap/>
            <w:vAlign w:val="center"/>
            <w:hideMark/>
          </w:tcPr>
          <w:p w:rsidR="00871692" w:rsidRPr="000C3FB5" w:rsidRDefault="00871692" w:rsidP="00141A54">
            <w:pPr>
              <w:pStyle w:val="Tabletext0"/>
              <w:ind w:right="56"/>
              <w:jc w:val="right"/>
              <w:rPr>
                <w:rFonts w:ascii="Calibri" w:hAnsi="Calibri" w:cs="Calibri"/>
                <w:color w:val="00305C"/>
                <w:sz w:val="18"/>
                <w:szCs w:val="18"/>
              </w:rPr>
            </w:pPr>
          </w:p>
        </w:tc>
        <w:tc>
          <w:tcPr>
            <w:tcW w:w="816" w:type="dxa"/>
            <w:tcBorders>
              <w:top w:val="single" w:sz="8" w:space="0" w:color="C0C0C0"/>
              <w:left w:val="single" w:sz="4" w:space="0" w:color="D9D9D9" w:themeColor="background1" w:themeShade="D9"/>
            </w:tcBorders>
            <w:shd w:val="clear" w:color="auto" w:fill="auto"/>
            <w:noWrap/>
            <w:vAlign w:val="center"/>
            <w:hideMark/>
          </w:tcPr>
          <w:p w:rsidR="00871692" w:rsidRPr="000C3FB5" w:rsidRDefault="00871692" w:rsidP="00141A54">
            <w:pPr>
              <w:pStyle w:val="Tabletext0"/>
              <w:ind w:right="56"/>
              <w:jc w:val="right"/>
              <w:rPr>
                <w:rFonts w:ascii="Calibri" w:hAnsi="Calibri" w:cs="Calibri"/>
                <w:color w:val="00305C"/>
                <w:sz w:val="18"/>
                <w:szCs w:val="18"/>
              </w:rPr>
            </w:pPr>
          </w:p>
        </w:tc>
        <w:tc>
          <w:tcPr>
            <w:tcW w:w="735" w:type="dxa"/>
            <w:tcBorders>
              <w:top w:val="single" w:sz="8" w:space="0" w:color="C0C0C0"/>
              <w:right w:val="single" w:sz="4" w:space="0" w:color="D9D9D9" w:themeColor="background1" w:themeShade="D9"/>
            </w:tcBorders>
            <w:shd w:val="clear" w:color="auto" w:fill="auto"/>
            <w:noWrap/>
            <w:vAlign w:val="center"/>
            <w:hideMark/>
          </w:tcPr>
          <w:p w:rsidR="00871692" w:rsidRPr="000C3FB5" w:rsidRDefault="00871692" w:rsidP="00141A54">
            <w:pPr>
              <w:pStyle w:val="Tabletext0"/>
              <w:ind w:right="56"/>
              <w:jc w:val="right"/>
              <w:rPr>
                <w:rFonts w:ascii="Calibri" w:hAnsi="Calibri" w:cs="Calibri"/>
                <w:color w:val="00305C"/>
                <w:sz w:val="18"/>
                <w:szCs w:val="18"/>
              </w:rPr>
            </w:pPr>
          </w:p>
        </w:tc>
        <w:tc>
          <w:tcPr>
            <w:tcW w:w="893" w:type="dxa"/>
            <w:tcBorders>
              <w:top w:val="single" w:sz="8" w:space="0" w:color="C0C0C0"/>
              <w:left w:val="single" w:sz="4" w:space="0" w:color="D9D9D9" w:themeColor="background1" w:themeShade="D9"/>
            </w:tcBorders>
            <w:shd w:val="clear" w:color="auto" w:fill="auto"/>
            <w:noWrap/>
            <w:vAlign w:val="center"/>
            <w:hideMark/>
          </w:tcPr>
          <w:p w:rsidR="00871692" w:rsidRPr="000C3FB5" w:rsidRDefault="00871692" w:rsidP="00141A54">
            <w:pPr>
              <w:pStyle w:val="Tabletext0"/>
              <w:ind w:right="56"/>
              <w:jc w:val="right"/>
              <w:rPr>
                <w:rFonts w:ascii="Calibri" w:hAnsi="Calibri" w:cs="Calibri"/>
                <w:color w:val="00305C"/>
                <w:sz w:val="18"/>
                <w:szCs w:val="18"/>
              </w:rPr>
            </w:pPr>
          </w:p>
        </w:tc>
        <w:tc>
          <w:tcPr>
            <w:tcW w:w="893" w:type="dxa"/>
            <w:tcBorders>
              <w:top w:val="single" w:sz="8" w:space="0" w:color="C0C0C0"/>
            </w:tcBorders>
            <w:shd w:val="clear" w:color="auto" w:fill="auto"/>
            <w:noWrap/>
            <w:vAlign w:val="center"/>
            <w:hideMark/>
          </w:tcPr>
          <w:p w:rsidR="00871692" w:rsidRPr="000C3FB5" w:rsidRDefault="00871692" w:rsidP="00141A54">
            <w:pPr>
              <w:pStyle w:val="Tabletext0"/>
              <w:ind w:right="56"/>
              <w:jc w:val="right"/>
              <w:rPr>
                <w:rFonts w:ascii="Calibri" w:hAnsi="Calibri" w:cs="Calibri"/>
                <w:color w:val="00305C"/>
                <w:sz w:val="18"/>
                <w:szCs w:val="18"/>
              </w:rPr>
            </w:pPr>
          </w:p>
        </w:tc>
        <w:tc>
          <w:tcPr>
            <w:tcW w:w="849" w:type="dxa"/>
            <w:tcBorders>
              <w:top w:val="single" w:sz="8" w:space="0" w:color="C0C0C0"/>
            </w:tcBorders>
            <w:shd w:val="clear" w:color="auto" w:fill="auto"/>
            <w:noWrap/>
            <w:vAlign w:val="center"/>
            <w:hideMark/>
          </w:tcPr>
          <w:p w:rsidR="00871692" w:rsidRPr="000C3FB5" w:rsidRDefault="00871692" w:rsidP="00141A54">
            <w:pPr>
              <w:pStyle w:val="Tabletext0"/>
              <w:ind w:right="56"/>
              <w:jc w:val="right"/>
              <w:rPr>
                <w:rFonts w:ascii="Calibri" w:hAnsi="Calibri" w:cs="Calibri"/>
                <w:color w:val="00305C"/>
                <w:sz w:val="18"/>
                <w:szCs w:val="18"/>
              </w:rPr>
            </w:pPr>
          </w:p>
        </w:tc>
      </w:tr>
      <w:tr w:rsidR="00871692" w:rsidRPr="00113846" w:rsidTr="00772C45">
        <w:trPr>
          <w:trHeight w:val="283"/>
        </w:trPr>
        <w:tc>
          <w:tcPr>
            <w:tcW w:w="2110" w:type="dxa"/>
            <w:tcBorders>
              <w:bottom w:val="single" w:sz="8" w:space="0" w:color="C0C0C0"/>
            </w:tcBorders>
            <w:shd w:val="clear" w:color="auto" w:fill="auto"/>
            <w:noWrap/>
            <w:vAlign w:val="center"/>
            <w:hideMark/>
          </w:tcPr>
          <w:p w:rsidR="00871692" w:rsidRPr="00113846" w:rsidRDefault="00871692" w:rsidP="00141A54">
            <w:pPr>
              <w:pStyle w:val="Tabletext0"/>
              <w:ind w:right="85"/>
              <w:rPr>
                <w:rFonts w:ascii="Calibri" w:hAnsi="Calibri" w:cs="Calibri"/>
                <w:color w:val="002B45"/>
              </w:rPr>
            </w:pPr>
            <w:r>
              <w:rPr>
                <w:rFonts w:ascii="Calibri" w:hAnsi="Calibri" w:cs="Calibri"/>
                <w:color w:val="002B45"/>
              </w:rPr>
              <w:t>31 December 201</w:t>
            </w:r>
            <w:r w:rsidR="00F06A27">
              <w:rPr>
                <w:rFonts w:ascii="Calibri" w:hAnsi="Calibri" w:cs="Calibri"/>
                <w:color w:val="002B45"/>
              </w:rPr>
              <w:t>3</w:t>
            </w:r>
          </w:p>
        </w:tc>
        <w:tc>
          <w:tcPr>
            <w:tcW w:w="802" w:type="dxa"/>
            <w:tcBorders>
              <w:bottom w:val="single" w:sz="8" w:space="0" w:color="C0C0C0"/>
            </w:tcBorders>
            <w:shd w:val="clear" w:color="auto" w:fill="auto"/>
            <w:noWrap/>
            <w:vAlign w:val="center"/>
            <w:hideMark/>
          </w:tcPr>
          <w:p w:rsidR="00871692" w:rsidRPr="000C3FB5" w:rsidRDefault="003502F4" w:rsidP="00141A54">
            <w:pPr>
              <w:pStyle w:val="Tabletext0"/>
              <w:ind w:right="56"/>
              <w:jc w:val="right"/>
              <w:rPr>
                <w:rFonts w:ascii="Calibri" w:hAnsi="Calibri" w:cs="Calibri"/>
                <w:color w:val="00305C"/>
                <w:sz w:val="18"/>
                <w:szCs w:val="18"/>
              </w:rPr>
            </w:pPr>
            <w:r w:rsidRPr="000C3FB5">
              <w:rPr>
                <w:rFonts w:ascii="Calibri" w:hAnsi="Calibri" w:cs="Calibri"/>
                <w:color w:val="00305C"/>
                <w:sz w:val="18"/>
                <w:szCs w:val="18"/>
              </w:rPr>
              <w:t>431.5</w:t>
            </w:r>
          </w:p>
        </w:tc>
        <w:tc>
          <w:tcPr>
            <w:tcW w:w="848" w:type="dxa"/>
            <w:tcBorders>
              <w:bottom w:val="single" w:sz="8" w:space="0" w:color="C0C0C0"/>
              <w:right w:val="single" w:sz="4" w:space="0" w:color="D9D9D9" w:themeColor="background1" w:themeShade="D9"/>
            </w:tcBorders>
            <w:shd w:val="clear" w:color="auto" w:fill="auto"/>
            <w:noWrap/>
            <w:vAlign w:val="center"/>
            <w:hideMark/>
          </w:tcPr>
          <w:p w:rsidR="00871692" w:rsidRPr="000C3FB5" w:rsidRDefault="003502F4" w:rsidP="00141A54">
            <w:pPr>
              <w:pStyle w:val="Tabletext0"/>
              <w:ind w:right="56"/>
              <w:jc w:val="right"/>
              <w:rPr>
                <w:rFonts w:ascii="Calibri" w:hAnsi="Calibri" w:cs="Calibri"/>
                <w:color w:val="00305C"/>
                <w:sz w:val="18"/>
                <w:szCs w:val="18"/>
              </w:rPr>
            </w:pPr>
            <w:r w:rsidRPr="000C3FB5">
              <w:rPr>
                <w:rFonts w:ascii="Calibri" w:hAnsi="Calibri" w:cs="Calibri"/>
                <w:color w:val="00305C"/>
                <w:sz w:val="18"/>
                <w:szCs w:val="18"/>
              </w:rPr>
              <w:t>1,404.3</w:t>
            </w:r>
          </w:p>
        </w:tc>
        <w:tc>
          <w:tcPr>
            <w:tcW w:w="816" w:type="dxa"/>
            <w:tcBorders>
              <w:left w:val="single" w:sz="4" w:space="0" w:color="D9D9D9" w:themeColor="background1" w:themeShade="D9"/>
              <w:bottom w:val="single" w:sz="8" w:space="0" w:color="C0C0C0"/>
            </w:tcBorders>
            <w:shd w:val="clear" w:color="auto" w:fill="auto"/>
            <w:noWrap/>
            <w:vAlign w:val="center"/>
            <w:hideMark/>
          </w:tcPr>
          <w:p w:rsidR="00871692" w:rsidRPr="000C3FB5" w:rsidRDefault="003502F4" w:rsidP="00141A54">
            <w:pPr>
              <w:pStyle w:val="Tabletext0"/>
              <w:ind w:right="56"/>
              <w:jc w:val="right"/>
              <w:rPr>
                <w:rFonts w:ascii="Calibri" w:hAnsi="Calibri" w:cs="Calibri"/>
                <w:color w:val="00305C"/>
                <w:sz w:val="18"/>
                <w:szCs w:val="18"/>
              </w:rPr>
            </w:pPr>
            <w:r w:rsidRPr="000C3FB5">
              <w:rPr>
                <w:rFonts w:ascii="Calibri" w:hAnsi="Calibri" w:cs="Calibri"/>
                <w:color w:val="00305C"/>
                <w:sz w:val="18"/>
                <w:szCs w:val="18"/>
              </w:rPr>
              <w:t>519.3</w:t>
            </w:r>
          </w:p>
        </w:tc>
        <w:tc>
          <w:tcPr>
            <w:tcW w:w="844" w:type="dxa"/>
            <w:tcBorders>
              <w:bottom w:val="single" w:sz="8" w:space="0" w:color="C0C0C0"/>
              <w:right w:val="single" w:sz="4" w:space="0" w:color="D9D9D9" w:themeColor="background1" w:themeShade="D9"/>
            </w:tcBorders>
            <w:shd w:val="clear" w:color="auto" w:fill="auto"/>
            <w:noWrap/>
            <w:vAlign w:val="center"/>
            <w:hideMark/>
          </w:tcPr>
          <w:p w:rsidR="00871692" w:rsidRPr="000C3FB5" w:rsidRDefault="003502F4" w:rsidP="00141A54">
            <w:pPr>
              <w:pStyle w:val="Tabletext0"/>
              <w:ind w:right="56"/>
              <w:jc w:val="right"/>
              <w:rPr>
                <w:rFonts w:ascii="Calibri" w:hAnsi="Calibri" w:cs="Calibri"/>
                <w:color w:val="00305C"/>
                <w:sz w:val="18"/>
                <w:szCs w:val="18"/>
              </w:rPr>
            </w:pPr>
            <w:r w:rsidRPr="000C3FB5">
              <w:rPr>
                <w:rFonts w:ascii="Calibri" w:hAnsi="Calibri" w:cs="Calibri"/>
                <w:color w:val="00305C"/>
                <w:sz w:val="18"/>
                <w:szCs w:val="18"/>
              </w:rPr>
              <w:t>363.0</w:t>
            </w:r>
          </w:p>
        </w:tc>
        <w:tc>
          <w:tcPr>
            <w:tcW w:w="816" w:type="dxa"/>
            <w:tcBorders>
              <w:left w:val="single" w:sz="4" w:space="0" w:color="D9D9D9" w:themeColor="background1" w:themeShade="D9"/>
              <w:bottom w:val="single" w:sz="8" w:space="0" w:color="C0C0C0"/>
            </w:tcBorders>
            <w:shd w:val="clear" w:color="auto" w:fill="auto"/>
            <w:noWrap/>
            <w:vAlign w:val="center"/>
            <w:hideMark/>
          </w:tcPr>
          <w:p w:rsidR="00871692" w:rsidRPr="000C3FB5" w:rsidRDefault="003502F4" w:rsidP="00141A54">
            <w:pPr>
              <w:pStyle w:val="Tabletext0"/>
              <w:ind w:right="56"/>
              <w:jc w:val="right"/>
              <w:rPr>
                <w:rFonts w:ascii="Calibri" w:hAnsi="Calibri" w:cs="Calibri"/>
                <w:color w:val="00305C"/>
                <w:sz w:val="18"/>
                <w:szCs w:val="18"/>
              </w:rPr>
            </w:pPr>
            <w:r w:rsidRPr="000C3FB5">
              <w:rPr>
                <w:rFonts w:ascii="Calibri" w:hAnsi="Calibri" w:cs="Calibri"/>
                <w:color w:val="00305C"/>
                <w:sz w:val="18"/>
                <w:szCs w:val="18"/>
              </w:rPr>
              <w:t>109.5</w:t>
            </w:r>
          </w:p>
        </w:tc>
        <w:tc>
          <w:tcPr>
            <w:tcW w:w="735" w:type="dxa"/>
            <w:tcBorders>
              <w:bottom w:val="single" w:sz="8" w:space="0" w:color="C0C0C0"/>
              <w:right w:val="single" w:sz="4" w:space="0" w:color="D9D9D9" w:themeColor="background1" w:themeShade="D9"/>
            </w:tcBorders>
            <w:shd w:val="clear" w:color="auto" w:fill="auto"/>
            <w:noWrap/>
            <w:vAlign w:val="center"/>
            <w:hideMark/>
          </w:tcPr>
          <w:p w:rsidR="00871692" w:rsidRPr="000C3FB5" w:rsidRDefault="003502F4" w:rsidP="00141A54">
            <w:pPr>
              <w:pStyle w:val="Tabletext0"/>
              <w:ind w:right="56"/>
              <w:jc w:val="right"/>
              <w:rPr>
                <w:rFonts w:ascii="Calibri" w:hAnsi="Calibri" w:cs="Calibri"/>
                <w:color w:val="00305C"/>
                <w:sz w:val="18"/>
                <w:szCs w:val="18"/>
              </w:rPr>
            </w:pPr>
            <w:r w:rsidRPr="000C3FB5">
              <w:rPr>
                <w:rFonts w:ascii="Calibri" w:hAnsi="Calibri" w:cs="Calibri"/>
                <w:color w:val="00305C"/>
                <w:sz w:val="18"/>
                <w:szCs w:val="18"/>
              </w:rPr>
              <w:t>323.3</w:t>
            </w:r>
          </w:p>
        </w:tc>
        <w:tc>
          <w:tcPr>
            <w:tcW w:w="893" w:type="dxa"/>
            <w:tcBorders>
              <w:left w:val="single" w:sz="4" w:space="0" w:color="D9D9D9" w:themeColor="background1" w:themeShade="D9"/>
              <w:bottom w:val="single" w:sz="8" w:space="0" w:color="C0C0C0"/>
            </w:tcBorders>
            <w:shd w:val="clear" w:color="auto" w:fill="auto"/>
            <w:noWrap/>
            <w:vAlign w:val="center"/>
            <w:hideMark/>
          </w:tcPr>
          <w:p w:rsidR="00871692" w:rsidRPr="000C3FB5" w:rsidRDefault="003502F4" w:rsidP="00141A54">
            <w:pPr>
              <w:pStyle w:val="Tabletext0"/>
              <w:ind w:right="56"/>
              <w:jc w:val="right"/>
              <w:rPr>
                <w:rFonts w:ascii="Calibri" w:hAnsi="Calibri" w:cs="Calibri"/>
                <w:color w:val="00305C"/>
                <w:sz w:val="18"/>
                <w:szCs w:val="18"/>
              </w:rPr>
            </w:pPr>
            <w:r w:rsidRPr="000C3FB5">
              <w:rPr>
                <w:rFonts w:ascii="Calibri" w:hAnsi="Calibri" w:cs="Calibri"/>
                <w:color w:val="00305C"/>
                <w:sz w:val="18"/>
                <w:szCs w:val="18"/>
              </w:rPr>
              <w:t>1,060.3</w:t>
            </w:r>
          </w:p>
        </w:tc>
        <w:tc>
          <w:tcPr>
            <w:tcW w:w="893" w:type="dxa"/>
            <w:tcBorders>
              <w:bottom w:val="single" w:sz="8" w:space="0" w:color="C0C0C0"/>
            </w:tcBorders>
            <w:shd w:val="clear" w:color="auto" w:fill="auto"/>
            <w:noWrap/>
            <w:vAlign w:val="center"/>
            <w:hideMark/>
          </w:tcPr>
          <w:p w:rsidR="00871692" w:rsidRPr="000C3FB5" w:rsidRDefault="003502F4" w:rsidP="00141A54">
            <w:pPr>
              <w:pStyle w:val="Tabletext0"/>
              <w:ind w:right="56"/>
              <w:jc w:val="right"/>
              <w:rPr>
                <w:rFonts w:ascii="Calibri" w:hAnsi="Calibri" w:cs="Calibri"/>
                <w:color w:val="00305C"/>
                <w:sz w:val="18"/>
                <w:szCs w:val="18"/>
              </w:rPr>
            </w:pPr>
            <w:r w:rsidRPr="000C3FB5">
              <w:rPr>
                <w:rFonts w:ascii="Calibri" w:hAnsi="Calibri" w:cs="Calibri"/>
                <w:color w:val="00305C"/>
                <w:sz w:val="18"/>
                <w:szCs w:val="18"/>
              </w:rPr>
              <w:t>2,090.6</w:t>
            </w:r>
          </w:p>
        </w:tc>
        <w:tc>
          <w:tcPr>
            <w:tcW w:w="849" w:type="dxa"/>
            <w:tcBorders>
              <w:bottom w:val="single" w:sz="8" w:space="0" w:color="C0C0C0"/>
            </w:tcBorders>
            <w:shd w:val="clear" w:color="auto" w:fill="auto"/>
            <w:noWrap/>
            <w:vAlign w:val="center"/>
            <w:hideMark/>
          </w:tcPr>
          <w:p w:rsidR="00871692" w:rsidRPr="000C3FB5" w:rsidRDefault="003502F4" w:rsidP="00141A54">
            <w:pPr>
              <w:pStyle w:val="Tabletext0"/>
              <w:ind w:right="56"/>
              <w:jc w:val="right"/>
              <w:rPr>
                <w:rFonts w:ascii="Calibri" w:hAnsi="Calibri" w:cs="Calibri"/>
                <w:color w:val="00305C"/>
                <w:sz w:val="18"/>
                <w:szCs w:val="18"/>
              </w:rPr>
            </w:pPr>
            <w:r w:rsidRPr="000C3FB5">
              <w:rPr>
                <w:rFonts w:ascii="Calibri" w:hAnsi="Calibri" w:cs="Calibri"/>
                <w:color w:val="00305C"/>
                <w:sz w:val="18"/>
                <w:szCs w:val="18"/>
              </w:rPr>
              <w:t>1,408.8</w:t>
            </w:r>
          </w:p>
        </w:tc>
      </w:tr>
    </w:tbl>
    <w:p w:rsidR="00871692" w:rsidRPr="00074ED0" w:rsidRDefault="00871692" w:rsidP="00772C45">
      <w:pPr>
        <w:pStyle w:val="Footnotes"/>
        <w:numPr>
          <w:ilvl w:val="0"/>
          <w:numId w:val="9"/>
        </w:numPr>
        <w:tabs>
          <w:tab w:val="clear" w:pos="170"/>
          <w:tab w:val="left" w:pos="284"/>
        </w:tabs>
        <w:spacing w:before="120" w:after="40" w:line="240" w:lineRule="exact"/>
        <w:ind w:left="284" w:hanging="284"/>
        <w:jc w:val="both"/>
        <w:rPr>
          <w:rFonts w:ascii="Calibri" w:hAnsi="Calibri" w:cs="Calibri"/>
          <w:i/>
          <w:color w:val="5F5F5F"/>
          <w:sz w:val="19"/>
          <w:lang w:eastAsia="en-US"/>
        </w:rPr>
      </w:pPr>
      <w:r w:rsidRPr="00074ED0">
        <w:rPr>
          <w:rFonts w:ascii="Calibri" w:hAnsi="Calibri" w:cs="Calibri"/>
          <w:i/>
          <w:color w:val="5F5F5F"/>
          <w:sz w:val="19"/>
          <w:lang w:eastAsia="en-US"/>
        </w:rPr>
        <w:t>Proven and Probable Commercial Reserves are based on a Group reserves report produced by an independent engineer. Reserves estimates for each field are reviewed by the independent engineer based on significant new data or a material change with a review of each field undertaken at least every two years.</w:t>
      </w:r>
    </w:p>
    <w:p w:rsidR="00871692" w:rsidRPr="00074ED0" w:rsidRDefault="00871692" w:rsidP="00772C45">
      <w:pPr>
        <w:pStyle w:val="Footnotes"/>
        <w:numPr>
          <w:ilvl w:val="0"/>
          <w:numId w:val="9"/>
        </w:numPr>
        <w:tabs>
          <w:tab w:val="clear" w:pos="170"/>
          <w:tab w:val="left" w:pos="284"/>
        </w:tabs>
        <w:spacing w:before="0" w:after="40" w:line="240" w:lineRule="exact"/>
        <w:ind w:left="284" w:hanging="284"/>
        <w:jc w:val="both"/>
        <w:rPr>
          <w:rFonts w:ascii="Calibri" w:hAnsi="Calibri" w:cs="Calibri"/>
          <w:i/>
          <w:color w:val="5F5F5F"/>
          <w:sz w:val="19"/>
          <w:lang w:eastAsia="en-US"/>
        </w:rPr>
      </w:pPr>
      <w:r w:rsidRPr="00074ED0">
        <w:rPr>
          <w:rFonts w:ascii="Calibri" w:hAnsi="Calibri" w:cs="Calibri"/>
          <w:i/>
          <w:color w:val="5F5F5F"/>
          <w:sz w:val="19"/>
          <w:lang w:eastAsia="en-US"/>
        </w:rPr>
        <w:t xml:space="preserve">Proven and Probable Contingent Resources are based on </w:t>
      </w:r>
      <w:r w:rsidR="002B00BD">
        <w:rPr>
          <w:rFonts w:ascii="Calibri" w:hAnsi="Calibri" w:cs="Calibri"/>
          <w:i/>
          <w:color w:val="5F5F5F"/>
          <w:sz w:val="19"/>
          <w:lang w:eastAsia="en-US"/>
        </w:rPr>
        <w:t>a</w:t>
      </w:r>
      <w:r w:rsidRPr="00074ED0">
        <w:rPr>
          <w:rFonts w:ascii="Calibri" w:hAnsi="Calibri" w:cs="Calibri"/>
          <w:i/>
          <w:color w:val="5F5F5F"/>
          <w:sz w:val="19"/>
          <w:lang w:eastAsia="en-US"/>
        </w:rPr>
        <w:t xml:space="preserve"> Group reserves report produced by an independent engineer.</w:t>
      </w:r>
      <w:r w:rsidR="002B00BD">
        <w:rPr>
          <w:rFonts w:ascii="Calibri" w:hAnsi="Calibri" w:cs="Calibri"/>
          <w:i/>
          <w:color w:val="5F5F5F"/>
          <w:sz w:val="19"/>
          <w:lang w:eastAsia="en-US"/>
        </w:rPr>
        <w:t xml:space="preserve"> Resources estimates are reviewed by the independent engineer based on significant new data received following exploration or appraisal drilling.</w:t>
      </w:r>
    </w:p>
    <w:p w:rsidR="00871692" w:rsidRPr="002B00BD" w:rsidRDefault="002B00BD" w:rsidP="00772C45">
      <w:pPr>
        <w:pStyle w:val="Footnotes"/>
        <w:numPr>
          <w:ilvl w:val="0"/>
          <w:numId w:val="9"/>
        </w:numPr>
        <w:tabs>
          <w:tab w:val="clear" w:pos="170"/>
          <w:tab w:val="left" w:pos="284"/>
        </w:tabs>
        <w:spacing w:before="0" w:after="40" w:line="240" w:lineRule="exact"/>
        <w:ind w:left="284" w:hanging="284"/>
        <w:jc w:val="both"/>
        <w:rPr>
          <w:rFonts w:ascii="Calibri" w:hAnsi="Calibri" w:cs="Calibri"/>
          <w:i/>
          <w:color w:val="5F5F5F"/>
          <w:sz w:val="19"/>
          <w:lang w:eastAsia="en-US"/>
        </w:rPr>
      </w:pPr>
      <w:r w:rsidRPr="002B00BD">
        <w:rPr>
          <w:rFonts w:ascii="Calibri" w:hAnsi="Calibri" w:cs="Calibri"/>
          <w:i/>
          <w:color w:val="5F5F5F"/>
          <w:sz w:val="19"/>
          <w:lang w:eastAsia="en-US"/>
        </w:rPr>
        <w:t>The West and North Africa transfer from contingent resources to commercial reserves is in relation to the completion of a Gas Sales Agreement in Ghana for the TEN development.</w:t>
      </w:r>
    </w:p>
    <w:p w:rsidR="002B00BD" w:rsidRPr="002B00BD" w:rsidRDefault="002B00BD" w:rsidP="00772C45">
      <w:pPr>
        <w:pStyle w:val="Footnotes"/>
        <w:numPr>
          <w:ilvl w:val="0"/>
          <w:numId w:val="9"/>
        </w:numPr>
        <w:tabs>
          <w:tab w:val="clear" w:pos="170"/>
          <w:tab w:val="left" w:pos="284"/>
        </w:tabs>
        <w:spacing w:before="0" w:after="40" w:line="240" w:lineRule="exact"/>
        <w:ind w:left="284" w:hanging="284"/>
        <w:jc w:val="both"/>
        <w:rPr>
          <w:rFonts w:ascii="Calibri" w:hAnsi="Calibri" w:cs="Calibri"/>
          <w:i/>
          <w:color w:val="5F5F5F"/>
          <w:sz w:val="19"/>
          <w:lang w:eastAsia="en-US"/>
        </w:rPr>
      </w:pPr>
      <w:r w:rsidRPr="002B00BD">
        <w:rPr>
          <w:rFonts w:ascii="Calibri" w:hAnsi="Calibri" w:cs="Calibri"/>
          <w:i/>
          <w:color w:val="5F5F5F"/>
          <w:sz w:val="19"/>
          <w:lang w:eastAsia="en-US"/>
        </w:rPr>
        <w:t>The South and East Africa additions</w:t>
      </w:r>
      <w:r w:rsidR="00E92FA9">
        <w:rPr>
          <w:rFonts w:ascii="Calibri" w:hAnsi="Calibri" w:cs="Calibri"/>
          <w:i/>
          <w:color w:val="5F5F5F"/>
          <w:sz w:val="19"/>
          <w:lang w:eastAsia="en-US"/>
        </w:rPr>
        <w:t xml:space="preserve"> and revisions</w:t>
      </w:r>
      <w:r w:rsidRPr="002B00BD">
        <w:rPr>
          <w:rFonts w:ascii="Calibri" w:hAnsi="Calibri" w:cs="Calibri"/>
          <w:i/>
          <w:color w:val="5F5F5F"/>
          <w:sz w:val="19"/>
          <w:lang w:eastAsia="en-US"/>
        </w:rPr>
        <w:t xml:space="preserve"> to contingent resources relates to </w:t>
      </w:r>
      <w:r w:rsidR="00E92FA9">
        <w:rPr>
          <w:rFonts w:ascii="Calibri" w:hAnsi="Calibri" w:cs="Calibri"/>
          <w:i/>
          <w:color w:val="5F5F5F"/>
          <w:sz w:val="19"/>
          <w:lang w:eastAsia="en-US"/>
        </w:rPr>
        <w:t xml:space="preserve">exploration and appraisal activity </w:t>
      </w:r>
      <w:r w:rsidRPr="002B00BD">
        <w:rPr>
          <w:rFonts w:ascii="Calibri" w:hAnsi="Calibri" w:cs="Calibri"/>
          <w:i/>
          <w:color w:val="5F5F5F"/>
          <w:sz w:val="19"/>
          <w:lang w:eastAsia="en-US"/>
        </w:rPr>
        <w:t>in Kenya</w:t>
      </w:r>
      <w:r w:rsidR="00E92FA9">
        <w:rPr>
          <w:rFonts w:ascii="Calibri" w:hAnsi="Calibri" w:cs="Calibri"/>
          <w:i/>
          <w:color w:val="5F5F5F"/>
          <w:sz w:val="19"/>
          <w:lang w:eastAsia="en-US"/>
        </w:rPr>
        <w:t xml:space="preserve"> and Uganda</w:t>
      </w:r>
      <w:r w:rsidRPr="002B00BD">
        <w:rPr>
          <w:rFonts w:ascii="Calibri" w:hAnsi="Calibri" w:cs="Calibri"/>
          <w:i/>
          <w:color w:val="5F5F5F"/>
          <w:sz w:val="19"/>
          <w:lang w:eastAsia="en-US"/>
        </w:rPr>
        <w:t>.</w:t>
      </w:r>
    </w:p>
    <w:p w:rsidR="002B00BD" w:rsidRPr="002B00BD" w:rsidRDefault="002B00BD" w:rsidP="00772C45">
      <w:pPr>
        <w:pStyle w:val="Footnotes"/>
        <w:numPr>
          <w:ilvl w:val="0"/>
          <w:numId w:val="9"/>
        </w:numPr>
        <w:tabs>
          <w:tab w:val="clear" w:pos="170"/>
          <w:tab w:val="left" w:pos="284"/>
        </w:tabs>
        <w:spacing w:before="0" w:after="40" w:line="240" w:lineRule="exact"/>
        <w:ind w:left="284" w:hanging="284"/>
        <w:jc w:val="both"/>
        <w:rPr>
          <w:rFonts w:ascii="Calibri" w:hAnsi="Calibri" w:cs="Calibri"/>
          <w:i/>
          <w:color w:val="5F5F5F"/>
          <w:sz w:val="19"/>
          <w:lang w:eastAsia="en-US"/>
        </w:rPr>
      </w:pPr>
      <w:r w:rsidRPr="002B00BD">
        <w:rPr>
          <w:rFonts w:ascii="Calibri" w:hAnsi="Calibri" w:cs="Calibri"/>
          <w:i/>
          <w:color w:val="5F5F5F"/>
          <w:sz w:val="19"/>
          <w:lang w:eastAsia="en-US"/>
        </w:rPr>
        <w:t>The Europe, South America and Asia acquisitions relate to the acquisition of Spring Energy in Norway, which completed in January 2013.</w:t>
      </w:r>
    </w:p>
    <w:p w:rsidR="00871692" w:rsidRPr="002B00BD" w:rsidRDefault="002B00BD" w:rsidP="00772C45">
      <w:pPr>
        <w:pStyle w:val="Footnotes"/>
        <w:numPr>
          <w:ilvl w:val="0"/>
          <w:numId w:val="9"/>
        </w:numPr>
        <w:tabs>
          <w:tab w:val="clear" w:pos="170"/>
          <w:tab w:val="left" w:pos="284"/>
        </w:tabs>
        <w:spacing w:before="0" w:after="40" w:line="240" w:lineRule="exact"/>
        <w:ind w:left="284" w:hanging="284"/>
        <w:jc w:val="both"/>
        <w:rPr>
          <w:rFonts w:ascii="Calibri" w:hAnsi="Calibri" w:cs="Calibri"/>
          <w:i/>
          <w:color w:val="5F5F5F"/>
          <w:sz w:val="19"/>
          <w:lang w:eastAsia="en-US"/>
        </w:rPr>
      </w:pPr>
      <w:r w:rsidRPr="002B00BD">
        <w:rPr>
          <w:rFonts w:ascii="Calibri" w:hAnsi="Calibri" w:cs="Calibri"/>
          <w:i/>
          <w:color w:val="5F5F5F"/>
          <w:sz w:val="19"/>
          <w:lang w:eastAsia="en-US"/>
        </w:rPr>
        <w:t>The Europe, South America and Asia additions to contingent resources relates to the Wisting discovery in Norway</w:t>
      </w:r>
      <w:r w:rsidR="00871692" w:rsidRPr="002B00BD">
        <w:rPr>
          <w:rFonts w:ascii="Calibri" w:hAnsi="Calibri" w:cs="Calibri"/>
          <w:i/>
          <w:color w:val="5F5F5F"/>
          <w:sz w:val="19"/>
          <w:lang w:eastAsia="en-US"/>
        </w:rPr>
        <w:t xml:space="preserve">. </w:t>
      </w:r>
    </w:p>
    <w:p w:rsidR="00871692" w:rsidRPr="00113846" w:rsidRDefault="00871692" w:rsidP="00871692">
      <w:pPr>
        <w:rPr>
          <w:rFonts w:ascii="Calibri" w:hAnsi="Calibri" w:cs="Calibri"/>
          <w:color w:val="5F5F5F"/>
          <w:szCs w:val="19"/>
        </w:rPr>
      </w:pPr>
    </w:p>
    <w:p w:rsidR="00871692" w:rsidRPr="00113846" w:rsidRDefault="00871692" w:rsidP="00074ED0">
      <w:pPr>
        <w:spacing w:after="120"/>
        <w:rPr>
          <w:rFonts w:ascii="Calibri" w:hAnsi="Calibri" w:cs="Calibri"/>
          <w:color w:val="5F5F5F"/>
        </w:rPr>
      </w:pPr>
      <w:r w:rsidRPr="00113846">
        <w:rPr>
          <w:rFonts w:ascii="Calibri" w:hAnsi="Calibri" w:cs="Calibri"/>
          <w:color w:val="5F5F5F"/>
        </w:rPr>
        <w:t>The Group provides for depletion and amortisation of tangible fixed assets on a net entitlements basis, which reflects the terms of the Production Sharing Contracts related to each field. Total net entitlement reserves were</w:t>
      </w:r>
      <w:r>
        <w:rPr>
          <w:rFonts w:ascii="Calibri" w:hAnsi="Calibri" w:cs="Calibri"/>
          <w:color w:val="5F5F5F"/>
        </w:rPr>
        <w:t xml:space="preserve"> </w:t>
      </w:r>
      <w:r w:rsidR="002B00BD">
        <w:rPr>
          <w:rFonts w:ascii="Calibri" w:hAnsi="Calibri" w:cs="Calibri"/>
          <w:color w:val="5F5F5F"/>
        </w:rPr>
        <w:t>349.1</w:t>
      </w:r>
      <w:r>
        <w:rPr>
          <w:rFonts w:ascii="Calibri" w:hAnsi="Calibri" w:cs="Calibri"/>
          <w:color w:val="5F5F5F"/>
        </w:rPr>
        <w:t xml:space="preserve"> mmboe at 31 December 2013 (31 December 2012</w:t>
      </w:r>
      <w:r w:rsidRPr="00113846">
        <w:rPr>
          <w:rFonts w:ascii="Calibri" w:hAnsi="Calibri" w:cs="Calibri"/>
          <w:color w:val="5F5F5F"/>
        </w:rPr>
        <w:t xml:space="preserve">: </w:t>
      </w:r>
      <w:r>
        <w:rPr>
          <w:rFonts w:ascii="Calibri" w:hAnsi="Calibri" w:cs="Calibri"/>
          <w:color w:val="5F5F5F"/>
        </w:rPr>
        <w:t xml:space="preserve">349.6 </w:t>
      </w:r>
      <w:r w:rsidRPr="00113846">
        <w:rPr>
          <w:rFonts w:ascii="Calibri" w:hAnsi="Calibri" w:cs="Calibri"/>
          <w:color w:val="5F5F5F"/>
        </w:rPr>
        <w:t xml:space="preserve">mmboe). </w:t>
      </w:r>
    </w:p>
    <w:p w:rsidR="00871692" w:rsidRPr="00113846" w:rsidRDefault="00871692" w:rsidP="00871692">
      <w:pPr>
        <w:tabs>
          <w:tab w:val="left" w:pos="630"/>
        </w:tabs>
        <w:rPr>
          <w:rStyle w:val="StyleCustomColorRGB043691"/>
          <w:rFonts w:ascii="Calibri" w:hAnsi="Calibri" w:cs="Calibri"/>
          <w:color w:val="5F5F5F"/>
        </w:rPr>
      </w:pPr>
      <w:r w:rsidRPr="00113846">
        <w:rPr>
          <w:rFonts w:ascii="Calibri" w:hAnsi="Calibri" w:cs="Calibri"/>
          <w:color w:val="5F5F5F"/>
          <w:szCs w:val="19"/>
        </w:rPr>
        <w:t>Contingent Resources relate to resources in respect of which development plans are in the course of preparation or further evaluation is under way with a view to future development.</w:t>
      </w:r>
    </w:p>
    <w:p w:rsidR="00BA4052" w:rsidRPr="00113846" w:rsidRDefault="00BA4052" w:rsidP="005511B6">
      <w:pPr>
        <w:pStyle w:val="StyleTableheadingCustomColorRGB1533154"/>
        <w:rPr>
          <w:rFonts w:ascii="Calibri" w:hAnsi="Calibri" w:cs="Calibri"/>
          <w:b/>
        </w:rPr>
      </w:pPr>
    </w:p>
    <w:p w:rsidR="000F54BD" w:rsidRDefault="000F54BD">
      <w:pPr>
        <w:spacing w:line="240" w:lineRule="auto"/>
        <w:jc w:val="left"/>
        <w:rPr>
          <w:rFonts w:ascii="Calibri" w:hAnsi="Calibri" w:cs="Calibri"/>
          <w:b/>
          <w:color w:val="002B45"/>
          <w:sz w:val="28"/>
          <w:szCs w:val="20"/>
        </w:rPr>
      </w:pPr>
      <w:r>
        <w:rPr>
          <w:rFonts w:ascii="Calibri" w:hAnsi="Calibri" w:cs="Calibri"/>
          <w:b/>
        </w:rPr>
        <w:br w:type="page"/>
      </w:r>
    </w:p>
    <w:p w:rsidR="005511B6" w:rsidRPr="004B7FFB" w:rsidRDefault="005511B6" w:rsidP="00741D33">
      <w:pPr>
        <w:pStyle w:val="StyleTableheadingCustomColorRGB1533154"/>
        <w:spacing w:after="120"/>
        <w:rPr>
          <w:rFonts w:ascii="Calibri" w:hAnsi="Calibri" w:cs="Calibri"/>
          <w:b/>
        </w:rPr>
      </w:pPr>
      <w:r w:rsidRPr="004B7FFB">
        <w:rPr>
          <w:rFonts w:ascii="Calibri" w:hAnsi="Calibri" w:cs="Calibri"/>
          <w:b/>
        </w:rPr>
        <w:t>About Tullow Oil plc</w:t>
      </w:r>
    </w:p>
    <w:p w:rsidR="005511B6" w:rsidRPr="004B7FFB" w:rsidRDefault="005511B6" w:rsidP="005511B6">
      <w:pPr>
        <w:pStyle w:val="Heading"/>
        <w:rPr>
          <w:rFonts w:ascii="Calibri" w:hAnsi="Calibri" w:cs="Calibri"/>
          <w:color w:val="808080"/>
          <w:sz w:val="19"/>
          <w:szCs w:val="24"/>
        </w:rPr>
      </w:pPr>
      <w:r w:rsidRPr="004B7FFB">
        <w:rPr>
          <w:rFonts w:ascii="Calibri" w:hAnsi="Calibri" w:cs="Calibri"/>
          <w:color w:val="5F5F5F"/>
          <w:sz w:val="19"/>
          <w:szCs w:val="24"/>
        </w:rPr>
        <w:t xml:space="preserve">Tullow Oil plc is a leading independent oil and gas, exploration and production group and is quoted on the London and Irish Stock Exchanges (symbol: TLW.L). The Group has interests in </w:t>
      </w:r>
      <w:r w:rsidR="004B7FFB" w:rsidRPr="004B7FFB">
        <w:rPr>
          <w:rFonts w:ascii="Calibri" w:hAnsi="Calibri" w:cs="Calibri"/>
          <w:color w:val="5F5F5F"/>
          <w:sz w:val="19"/>
          <w:szCs w:val="24"/>
        </w:rPr>
        <w:t>some 15</w:t>
      </w:r>
      <w:r w:rsidRPr="004B7FFB">
        <w:rPr>
          <w:rFonts w:ascii="Calibri" w:hAnsi="Calibri" w:cs="Calibri"/>
          <w:color w:val="5F5F5F"/>
          <w:sz w:val="19"/>
          <w:szCs w:val="24"/>
        </w:rPr>
        <w:t>0 productio</w:t>
      </w:r>
      <w:r w:rsidR="004B7FFB" w:rsidRPr="004B7FFB">
        <w:rPr>
          <w:rFonts w:ascii="Calibri" w:hAnsi="Calibri" w:cs="Calibri"/>
          <w:color w:val="5F5F5F"/>
          <w:sz w:val="19"/>
          <w:szCs w:val="24"/>
        </w:rPr>
        <w:t>n and exploration licences in 24</w:t>
      </w:r>
      <w:r w:rsidRPr="004B7FFB">
        <w:rPr>
          <w:rFonts w:ascii="Calibri" w:hAnsi="Calibri" w:cs="Calibri"/>
          <w:color w:val="5F5F5F"/>
          <w:sz w:val="19"/>
          <w:szCs w:val="24"/>
        </w:rPr>
        <w:t xml:space="preserve"> countries and focuses on four core areas: Africa, Europe, South Asia and South America. For further information please consult the Group’s website</w:t>
      </w:r>
      <w:r w:rsidR="004B7FFB">
        <w:rPr>
          <w:rFonts w:ascii="Calibri" w:hAnsi="Calibri" w:cs="Calibri"/>
          <w:color w:val="808080"/>
          <w:sz w:val="19"/>
          <w:szCs w:val="24"/>
        </w:rPr>
        <w:t xml:space="preserve">: </w:t>
      </w:r>
      <w:hyperlink r:id="rId13" w:history="1">
        <w:r w:rsidR="004B7FFB" w:rsidRPr="0020001A">
          <w:rPr>
            <w:rStyle w:val="Hyperlink"/>
            <w:rFonts w:ascii="Calibri" w:hAnsi="Calibri" w:cs="Calibri"/>
            <w:sz w:val="19"/>
            <w:szCs w:val="24"/>
          </w:rPr>
          <w:t>www.tullowoil.com</w:t>
        </w:r>
      </w:hyperlink>
      <w:r w:rsidR="004B7FFB">
        <w:rPr>
          <w:rFonts w:ascii="Calibri" w:hAnsi="Calibri" w:cs="Calibri"/>
          <w:color w:val="808080"/>
          <w:sz w:val="19"/>
          <w:szCs w:val="24"/>
        </w:rPr>
        <w:t xml:space="preserve"> </w:t>
      </w:r>
      <w:r w:rsidRPr="004B7FFB">
        <w:rPr>
          <w:rFonts w:ascii="Calibri" w:hAnsi="Calibri" w:cs="Calibri"/>
          <w:color w:val="808080"/>
          <w:sz w:val="19"/>
          <w:szCs w:val="24"/>
        </w:rPr>
        <w:t xml:space="preserve"> </w:t>
      </w:r>
    </w:p>
    <w:p w:rsidR="005511B6" w:rsidRPr="007245A6" w:rsidRDefault="007245A6" w:rsidP="00533602">
      <w:pPr>
        <w:pStyle w:val="Heading"/>
        <w:spacing w:before="240" w:after="40"/>
        <w:jc w:val="left"/>
        <w:rPr>
          <w:rFonts w:ascii="Calibri" w:hAnsi="Calibri" w:cs="Calibri"/>
          <w:b/>
          <w:color w:val="991F36"/>
          <w:lang w:val="en-IE"/>
        </w:rPr>
      </w:pPr>
      <w:r w:rsidRPr="007245A6">
        <w:rPr>
          <w:rFonts w:ascii="Calibri" w:hAnsi="Calibri" w:cs="Calibri"/>
          <w:b/>
          <w:color w:val="991F36"/>
          <w:lang w:val="en-IE"/>
        </w:rPr>
        <w:t>EVENTS ON THE DAY</w:t>
      </w:r>
    </w:p>
    <w:p w:rsidR="005511B6" w:rsidRPr="004B7FFB" w:rsidRDefault="005511B6" w:rsidP="00E51A99">
      <w:pPr>
        <w:spacing w:after="240"/>
        <w:rPr>
          <w:rFonts w:ascii="Calibri" w:hAnsi="Calibri" w:cs="Calibri"/>
          <w:color w:val="5F5F5F"/>
        </w:rPr>
      </w:pPr>
      <w:r w:rsidRPr="004B7FFB">
        <w:rPr>
          <w:rFonts w:ascii="Calibri" w:hAnsi="Calibri" w:cs="Calibri"/>
          <w:color w:val="5F5F5F"/>
        </w:rPr>
        <w:t xml:space="preserve">In conjunction with these results Tullow is conducting a London Presentation and a number of events for the financial community. </w:t>
      </w:r>
    </w:p>
    <w:p w:rsidR="005511B6" w:rsidRPr="004B7FFB" w:rsidRDefault="004B7FFB" w:rsidP="005511B6">
      <w:pPr>
        <w:pStyle w:val="Sub-heading"/>
        <w:rPr>
          <w:rFonts w:ascii="Calibri" w:hAnsi="Calibri" w:cs="Calibri"/>
          <w:color w:val="002B45"/>
          <w:sz w:val="20"/>
          <w:lang w:val="en-IE"/>
        </w:rPr>
      </w:pPr>
      <w:r>
        <w:rPr>
          <w:rFonts w:ascii="Calibri" w:hAnsi="Calibri" w:cs="Calibri"/>
          <w:b/>
          <w:color w:val="002B45"/>
          <w:lang w:val="en-IE"/>
        </w:rPr>
        <w:t>09.00 GMT</w:t>
      </w:r>
      <w:r w:rsidR="005511B6" w:rsidRPr="004B7FFB">
        <w:rPr>
          <w:rFonts w:ascii="Calibri" w:hAnsi="Calibri" w:cs="Calibri"/>
          <w:b/>
          <w:color w:val="002B45"/>
          <w:lang w:val="en-IE"/>
        </w:rPr>
        <w:t xml:space="preserve"> - UK/European conference call</w:t>
      </w:r>
      <w:r>
        <w:rPr>
          <w:rFonts w:ascii="Calibri" w:hAnsi="Calibri" w:cs="Calibri"/>
          <w:color w:val="002B45"/>
          <w:sz w:val="20"/>
          <w:lang w:val="en-IE"/>
        </w:rPr>
        <w:t xml:space="preserve"> (and simultaneous v</w:t>
      </w:r>
      <w:r w:rsidR="005511B6" w:rsidRPr="004B7FFB">
        <w:rPr>
          <w:rFonts w:ascii="Calibri" w:hAnsi="Calibri" w:cs="Calibri"/>
          <w:color w:val="002B45"/>
          <w:sz w:val="20"/>
          <w:lang w:val="en-IE"/>
        </w:rPr>
        <w:t>ideo webcast)</w:t>
      </w:r>
    </w:p>
    <w:p w:rsidR="005511B6" w:rsidRPr="004B7FFB" w:rsidRDefault="005511B6" w:rsidP="005511B6">
      <w:pPr>
        <w:pStyle w:val="Sub-heading"/>
        <w:rPr>
          <w:rFonts w:ascii="Calibri" w:hAnsi="Calibri" w:cs="Calibri"/>
          <w:color w:val="5F5F5F"/>
          <w:sz w:val="19"/>
          <w:szCs w:val="24"/>
        </w:rPr>
      </w:pPr>
      <w:r w:rsidRPr="004B7FFB">
        <w:rPr>
          <w:rFonts w:ascii="Calibri" w:hAnsi="Calibri" w:cs="Calibri"/>
          <w:color w:val="5F5F5F"/>
          <w:sz w:val="19"/>
          <w:szCs w:val="24"/>
        </w:rPr>
        <w:t xml:space="preserve">To access the call please dial the appropriate number below shortly before the call and ask for the Tullow Oil plc conference call. A replay facility will be available from approximately noon on </w:t>
      </w:r>
      <w:r w:rsidR="004B7FFB">
        <w:rPr>
          <w:rFonts w:ascii="Calibri" w:hAnsi="Calibri" w:cs="Calibri"/>
          <w:color w:val="5F5F5F"/>
          <w:sz w:val="19"/>
          <w:szCs w:val="24"/>
        </w:rPr>
        <w:t>12</w:t>
      </w:r>
      <w:r w:rsidR="00CE72A0" w:rsidRPr="004B7FFB">
        <w:rPr>
          <w:rFonts w:ascii="Calibri" w:hAnsi="Calibri" w:cs="Calibri"/>
          <w:color w:val="5F5F5F"/>
          <w:sz w:val="19"/>
          <w:szCs w:val="24"/>
        </w:rPr>
        <w:t xml:space="preserve"> February</w:t>
      </w:r>
      <w:r w:rsidRPr="004B7FFB">
        <w:rPr>
          <w:rFonts w:ascii="Calibri" w:hAnsi="Calibri" w:cs="Calibri"/>
          <w:color w:val="5F5F5F"/>
          <w:sz w:val="19"/>
          <w:szCs w:val="24"/>
        </w:rPr>
        <w:t xml:space="preserve"> until </w:t>
      </w:r>
      <w:r w:rsidR="004B7FFB">
        <w:rPr>
          <w:rFonts w:ascii="Calibri" w:hAnsi="Calibri" w:cs="Calibri"/>
          <w:color w:val="5F5F5F"/>
          <w:sz w:val="19"/>
          <w:szCs w:val="24"/>
        </w:rPr>
        <w:t>19</w:t>
      </w:r>
      <w:r w:rsidR="00CE72A0" w:rsidRPr="004B7FFB">
        <w:rPr>
          <w:rFonts w:ascii="Calibri" w:hAnsi="Calibri" w:cs="Calibri"/>
          <w:color w:val="5F5F5F"/>
          <w:sz w:val="19"/>
          <w:szCs w:val="24"/>
        </w:rPr>
        <w:t xml:space="preserve"> February</w:t>
      </w:r>
      <w:r w:rsidRPr="004B7FFB">
        <w:rPr>
          <w:rFonts w:ascii="Calibri" w:hAnsi="Calibri" w:cs="Calibri"/>
          <w:color w:val="5F5F5F"/>
          <w:sz w:val="19"/>
          <w:szCs w:val="24"/>
        </w:rPr>
        <w:t>. The telephone numbers and access codes are:</w:t>
      </w:r>
    </w:p>
    <w:p w:rsidR="005511B6" w:rsidRPr="004B7FFB" w:rsidRDefault="005511B6" w:rsidP="005511B6">
      <w:pPr>
        <w:pStyle w:val="Sub-heading"/>
        <w:rPr>
          <w:rFonts w:ascii="Calibri" w:hAnsi="Calibri" w:cs="Calibri"/>
          <w:color w:val="5F5F5F"/>
          <w:sz w:val="19"/>
          <w:szCs w:val="24"/>
        </w:rPr>
      </w:pPr>
    </w:p>
    <w:tbl>
      <w:tblPr>
        <w:tblW w:w="0" w:type="auto"/>
        <w:tblBorders>
          <w:top w:val="single" w:sz="4" w:space="0" w:color="A6A6A6"/>
          <w:bottom w:val="single" w:sz="4" w:space="0" w:color="A6A6A6"/>
          <w:insideH w:val="single" w:sz="4" w:space="0" w:color="A6A6A6"/>
        </w:tblBorders>
        <w:tblCellMar>
          <w:left w:w="0" w:type="dxa"/>
          <w:right w:w="0" w:type="dxa"/>
        </w:tblCellMar>
        <w:tblLook w:val="01E0" w:firstRow="1" w:lastRow="1" w:firstColumn="1" w:lastColumn="1" w:noHBand="0" w:noVBand="0"/>
      </w:tblPr>
      <w:tblGrid>
        <w:gridCol w:w="2168"/>
        <w:gridCol w:w="2168"/>
        <w:gridCol w:w="2468"/>
        <w:gridCol w:w="2694"/>
      </w:tblGrid>
      <w:tr w:rsidR="005511B6" w:rsidRPr="004B7FFB" w:rsidTr="00E51A99">
        <w:tc>
          <w:tcPr>
            <w:tcW w:w="4336" w:type="dxa"/>
            <w:gridSpan w:val="2"/>
            <w:tcMar>
              <w:top w:w="57" w:type="dxa"/>
              <w:left w:w="0" w:type="dxa"/>
              <w:bottom w:w="57" w:type="dxa"/>
              <w:right w:w="0" w:type="dxa"/>
            </w:tcMar>
            <w:vAlign w:val="center"/>
          </w:tcPr>
          <w:p w:rsidR="005511B6" w:rsidRPr="004B7FFB" w:rsidRDefault="005511B6" w:rsidP="002C26D8">
            <w:pPr>
              <w:rPr>
                <w:rStyle w:val="Bold"/>
                <w:rFonts w:ascii="Calibri" w:hAnsi="Calibri" w:cs="Calibri"/>
                <w:b/>
                <w:color w:val="002B45"/>
              </w:rPr>
            </w:pPr>
            <w:r w:rsidRPr="004B7FFB">
              <w:rPr>
                <w:rStyle w:val="Bold"/>
                <w:rFonts w:ascii="Calibri" w:hAnsi="Calibri" w:cs="Calibri"/>
                <w:b/>
                <w:color w:val="002B45"/>
              </w:rPr>
              <w:t>Live event</w:t>
            </w:r>
          </w:p>
        </w:tc>
        <w:tc>
          <w:tcPr>
            <w:tcW w:w="5162" w:type="dxa"/>
            <w:gridSpan w:val="2"/>
            <w:tcMar>
              <w:top w:w="57" w:type="dxa"/>
              <w:left w:w="0" w:type="dxa"/>
              <w:bottom w:w="57" w:type="dxa"/>
              <w:right w:w="0" w:type="dxa"/>
            </w:tcMar>
            <w:vAlign w:val="center"/>
          </w:tcPr>
          <w:p w:rsidR="005511B6" w:rsidRPr="004B7FFB" w:rsidRDefault="005511B6" w:rsidP="002C26D8">
            <w:pPr>
              <w:rPr>
                <w:rStyle w:val="Bold"/>
                <w:rFonts w:ascii="Calibri" w:hAnsi="Calibri" w:cs="Calibri"/>
                <w:b/>
                <w:color w:val="002B45"/>
              </w:rPr>
            </w:pPr>
            <w:r w:rsidRPr="004B7FFB">
              <w:rPr>
                <w:rStyle w:val="Bold"/>
                <w:rFonts w:ascii="Calibri" w:hAnsi="Calibri" w:cs="Calibri"/>
                <w:b/>
                <w:color w:val="002B45"/>
              </w:rPr>
              <w:t>Replay facility available from Noon</w:t>
            </w:r>
          </w:p>
        </w:tc>
      </w:tr>
      <w:tr w:rsidR="004B7FFB" w:rsidRPr="004B7FFB" w:rsidTr="00E51A99">
        <w:tc>
          <w:tcPr>
            <w:tcW w:w="2168" w:type="dxa"/>
            <w:tcMar>
              <w:top w:w="57" w:type="dxa"/>
              <w:left w:w="0" w:type="dxa"/>
              <w:bottom w:w="57" w:type="dxa"/>
              <w:right w:w="0" w:type="dxa"/>
            </w:tcMar>
            <w:vAlign w:val="center"/>
          </w:tcPr>
          <w:p w:rsidR="004B7FFB" w:rsidRPr="004B7FFB" w:rsidRDefault="004B7FFB" w:rsidP="002C26D8">
            <w:pPr>
              <w:rPr>
                <w:rFonts w:ascii="Calibri" w:hAnsi="Calibri" w:cs="Calibri"/>
                <w:color w:val="002B45"/>
                <w:lang w:val="en-IE"/>
              </w:rPr>
            </w:pPr>
            <w:r w:rsidRPr="004B7FFB">
              <w:rPr>
                <w:rFonts w:ascii="Calibri" w:hAnsi="Calibri" w:cs="Calibri"/>
                <w:color w:val="002B45"/>
                <w:lang w:val="en-IE"/>
              </w:rPr>
              <w:t>UK Participants</w:t>
            </w:r>
          </w:p>
        </w:tc>
        <w:tc>
          <w:tcPr>
            <w:tcW w:w="2168" w:type="dxa"/>
            <w:tcMar>
              <w:top w:w="57" w:type="dxa"/>
              <w:left w:w="0" w:type="dxa"/>
              <w:bottom w:w="57" w:type="dxa"/>
              <w:right w:w="0" w:type="dxa"/>
            </w:tcMar>
            <w:vAlign w:val="center"/>
          </w:tcPr>
          <w:p w:rsidR="004B7FFB" w:rsidRPr="004B7FFB" w:rsidRDefault="004B7FFB">
            <w:pPr>
              <w:rPr>
                <w:rFonts w:ascii="Calibri" w:hAnsi="Calibri" w:cs="Calibri"/>
                <w:color w:val="002B45"/>
                <w:lang w:val="en-IE"/>
              </w:rPr>
            </w:pPr>
            <w:r w:rsidRPr="004B7FFB">
              <w:rPr>
                <w:rFonts w:ascii="Calibri" w:hAnsi="Calibri" w:cs="Calibri"/>
                <w:color w:val="002B45"/>
                <w:lang w:val="en-IE"/>
              </w:rPr>
              <w:t>020 3427 1911</w:t>
            </w:r>
          </w:p>
        </w:tc>
        <w:tc>
          <w:tcPr>
            <w:tcW w:w="2468" w:type="dxa"/>
            <w:tcMar>
              <w:top w:w="57" w:type="dxa"/>
              <w:left w:w="0" w:type="dxa"/>
              <w:bottom w:w="57" w:type="dxa"/>
              <w:right w:w="0" w:type="dxa"/>
            </w:tcMar>
            <w:vAlign w:val="center"/>
          </w:tcPr>
          <w:p w:rsidR="004B7FFB" w:rsidRPr="004B7FFB" w:rsidRDefault="004B7FFB">
            <w:pPr>
              <w:rPr>
                <w:rFonts w:ascii="Calibri" w:hAnsi="Calibri" w:cs="Calibri"/>
                <w:color w:val="002B45"/>
                <w:lang w:val="en-IE"/>
              </w:rPr>
            </w:pPr>
            <w:r w:rsidRPr="004B7FFB">
              <w:rPr>
                <w:rFonts w:ascii="Calibri" w:hAnsi="Calibri" w:cs="Calibri"/>
                <w:color w:val="002B45"/>
                <w:lang w:val="en-IE"/>
              </w:rPr>
              <w:t>UK Participants</w:t>
            </w:r>
          </w:p>
        </w:tc>
        <w:tc>
          <w:tcPr>
            <w:tcW w:w="2694" w:type="dxa"/>
            <w:tcMar>
              <w:top w:w="57" w:type="dxa"/>
              <w:left w:w="0" w:type="dxa"/>
              <w:bottom w:w="57" w:type="dxa"/>
              <w:right w:w="0" w:type="dxa"/>
            </w:tcMar>
            <w:vAlign w:val="center"/>
          </w:tcPr>
          <w:p w:rsidR="004B7FFB" w:rsidRPr="004B7FFB" w:rsidRDefault="004B7FFB">
            <w:pPr>
              <w:rPr>
                <w:rFonts w:ascii="Calibri" w:hAnsi="Calibri" w:cs="Calibri"/>
                <w:color w:val="002B45"/>
                <w:lang w:val="en-IE"/>
              </w:rPr>
            </w:pPr>
            <w:r w:rsidRPr="004B7FFB">
              <w:rPr>
                <w:rFonts w:ascii="Calibri" w:hAnsi="Calibri" w:cs="Calibri"/>
                <w:color w:val="002B45"/>
                <w:lang w:val="en-IE"/>
              </w:rPr>
              <w:t>020 3427 0598</w:t>
            </w:r>
          </w:p>
        </w:tc>
      </w:tr>
      <w:tr w:rsidR="004B7FFB" w:rsidRPr="004B7FFB" w:rsidTr="00E51A99">
        <w:tc>
          <w:tcPr>
            <w:tcW w:w="2168" w:type="dxa"/>
            <w:tcMar>
              <w:top w:w="57" w:type="dxa"/>
              <w:left w:w="0" w:type="dxa"/>
              <w:bottom w:w="57" w:type="dxa"/>
              <w:right w:w="0" w:type="dxa"/>
            </w:tcMar>
            <w:vAlign w:val="center"/>
          </w:tcPr>
          <w:p w:rsidR="004B7FFB" w:rsidRPr="004B7FFB" w:rsidRDefault="004B7FFB" w:rsidP="002C26D8">
            <w:pPr>
              <w:rPr>
                <w:rFonts w:ascii="Calibri" w:hAnsi="Calibri" w:cs="Calibri"/>
                <w:color w:val="002B45"/>
                <w:lang w:val="en-IE"/>
              </w:rPr>
            </w:pPr>
            <w:r w:rsidRPr="004B7FFB">
              <w:rPr>
                <w:rFonts w:ascii="Calibri" w:hAnsi="Calibri" w:cs="Calibri"/>
                <w:color w:val="002B45"/>
                <w:lang w:val="en-IE"/>
              </w:rPr>
              <w:t>Irish Participants</w:t>
            </w:r>
          </w:p>
        </w:tc>
        <w:tc>
          <w:tcPr>
            <w:tcW w:w="2168" w:type="dxa"/>
            <w:tcMar>
              <w:top w:w="57" w:type="dxa"/>
              <w:left w:w="0" w:type="dxa"/>
              <w:bottom w:w="57" w:type="dxa"/>
              <w:right w:w="0" w:type="dxa"/>
            </w:tcMar>
            <w:vAlign w:val="center"/>
          </w:tcPr>
          <w:p w:rsidR="004B7FFB" w:rsidRPr="004B7FFB" w:rsidRDefault="004B7FFB">
            <w:pPr>
              <w:rPr>
                <w:rFonts w:ascii="Calibri" w:hAnsi="Calibri" w:cs="Calibri"/>
                <w:color w:val="002B45"/>
                <w:lang w:val="en-IE"/>
              </w:rPr>
            </w:pPr>
            <w:r w:rsidRPr="004B7FFB">
              <w:rPr>
                <w:rFonts w:ascii="Calibri" w:hAnsi="Calibri" w:cs="Calibri"/>
                <w:color w:val="002B45"/>
                <w:lang w:val="en-IE"/>
              </w:rPr>
              <w:t>01 486 0916</w:t>
            </w:r>
          </w:p>
        </w:tc>
        <w:tc>
          <w:tcPr>
            <w:tcW w:w="2468" w:type="dxa"/>
            <w:tcMar>
              <w:top w:w="57" w:type="dxa"/>
              <w:left w:w="0" w:type="dxa"/>
              <w:bottom w:w="57" w:type="dxa"/>
              <w:right w:w="0" w:type="dxa"/>
            </w:tcMar>
            <w:vAlign w:val="center"/>
          </w:tcPr>
          <w:p w:rsidR="004B7FFB" w:rsidRPr="004B7FFB" w:rsidRDefault="004B7FFB">
            <w:pPr>
              <w:rPr>
                <w:rFonts w:ascii="Calibri" w:hAnsi="Calibri" w:cs="Calibri"/>
                <w:color w:val="002B45"/>
                <w:lang w:val="en-IE"/>
              </w:rPr>
            </w:pPr>
            <w:r w:rsidRPr="004B7FFB">
              <w:rPr>
                <w:rFonts w:ascii="Calibri" w:hAnsi="Calibri" w:cs="Calibri"/>
                <w:color w:val="002B45"/>
                <w:lang w:val="en-IE"/>
              </w:rPr>
              <w:t>Irish Participants</w:t>
            </w:r>
          </w:p>
        </w:tc>
        <w:tc>
          <w:tcPr>
            <w:tcW w:w="2694" w:type="dxa"/>
            <w:tcMar>
              <w:top w:w="57" w:type="dxa"/>
              <w:left w:w="0" w:type="dxa"/>
              <w:bottom w:w="57" w:type="dxa"/>
              <w:right w:w="0" w:type="dxa"/>
            </w:tcMar>
            <w:vAlign w:val="center"/>
          </w:tcPr>
          <w:p w:rsidR="004B7FFB" w:rsidRPr="004B7FFB" w:rsidRDefault="004B7FFB">
            <w:pPr>
              <w:rPr>
                <w:rFonts w:ascii="Calibri" w:hAnsi="Calibri" w:cs="Calibri"/>
                <w:color w:val="002B45"/>
                <w:lang w:val="en-IE"/>
              </w:rPr>
            </w:pPr>
            <w:r w:rsidRPr="004B7FFB">
              <w:rPr>
                <w:rFonts w:ascii="Calibri" w:hAnsi="Calibri" w:cs="Calibri"/>
                <w:color w:val="002B45"/>
                <w:lang w:val="en-IE"/>
              </w:rPr>
              <w:t>01 486 0902</w:t>
            </w:r>
          </w:p>
        </w:tc>
      </w:tr>
      <w:tr w:rsidR="005511B6" w:rsidRPr="00871692" w:rsidTr="00E51A99">
        <w:tc>
          <w:tcPr>
            <w:tcW w:w="2168" w:type="dxa"/>
            <w:tcMar>
              <w:top w:w="57" w:type="dxa"/>
              <w:left w:w="0" w:type="dxa"/>
              <w:bottom w:w="57" w:type="dxa"/>
              <w:right w:w="0" w:type="dxa"/>
            </w:tcMar>
            <w:vAlign w:val="center"/>
          </w:tcPr>
          <w:p w:rsidR="005511B6" w:rsidRPr="004B7FFB" w:rsidRDefault="005511B6" w:rsidP="002C26D8">
            <w:pPr>
              <w:rPr>
                <w:rFonts w:ascii="Calibri" w:hAnsi="Calibri" w:cs="Calibri"/>
                <w:color w:val="002B45"/>
                <w:lang w:val="en-IE"/>
              </w:rPr>
            </w:pPr>
          </w:p>
        </w:tc>
        <w:tc>
          <w:tcPr>
            <w:tcW w:w="2168" w:type="dxa"/>
            <w:tcMar>
              <w:top w:w="57" w:type="dxa"/>
              <w:left w:w="0" w:type="dxa"/>
              <w:bottom w:w="57" w:type="dxa"/>
              <w:right w:w="0" w:type="dxa"/>
            </w:tcMar>
            <w:vAlign w:val="center"/>
          </w:tcPr>
          <w:p w:rsidR="005511B6" w:rsidRPr="004B7FFB" w:rsidRDefault="005511B6" w:rsidP="002C26D8">
            <w:pPr>
              <w:rPr>
                <w:rFonts w:ascii="Calibri" w:hAnsi="Calibri" w:cs="Calibri"/>
                <w:color w:val="002B45"/>
                <w:lang w:val="en-IE"/>
              </w:rPr>
            </w:pPr>
          </w:p>
        </w:tc>
        <w:tc>
          <w:tcPr>
            <w:tcW w:w="2468" w:type="dxa"/>
            <w:tcMar>
              <w:top w:w="57" w:type="dxa"/>
              <w:left w:w="0" w:type="dxa"/>
              <w:bottom w:w="57" w:type="dxa"/>
              <w:right w:w="0" w:type="dxa"/>
            </w:tcMar>
            <w:vAlign w:val="center"/>
          </w:tcPr>
          <w:p w:rsidR="005511B6" w:rsidRPr="004B7FFB" w:rsidRDefault="005511B6" w:rsidP="002C26D8">
            <w:pPr>
              <w:rPr>
                <w:rFonts w:ascii="Calibri" w:hAnsi="Calibri" w:cs="Calibri"/>
                <w:color w:val="002B45"/>
                <w:lang w:val="en-IE"/>
              </w:rPr>
            </w:pPr>
            <w:r w:rsidRPr="004B7FFB">
              <w:rPr>
                <w:rFonts w:ascii="Calibri" w:hAnsi="Calibri" w:cs="Calibri"/>
                <w:color w:val="002B45"/>
                <w:lang w:val="en-IE"/>
              </w:rPr>
              <w:t>Access Code</w:t>
            </w:r>
          </w:p>
        </w:tc>
        <w:tc>
          <w:tcPr>
            <w:tcW w:w="2694" w:type="dxa"/>
            <w:tcMar>
              <w:top w:w="57" w:type="dxa"/>
              <w:left w:w="0" w:type="dxa"/>
              <w:bottom w:w="57" w:type="dxa"/>
              <w:right w:w="0" w:type="dxa"/>
            </w:tcMar>
            <w:vAlign w:val="center"/>
          </w:tcPr>
          <w:p w:rsidR="005511B6" w:rsidRPr="004B7FFB" w:rsidRDefault="004B7FFB" w:rsidP="002C26D8">
            <w:pPr>
              <w:rPr>
                <w:rFonts w:ascii="Calibri" w:hAnsi="Calibri" w:cs="Calibri"/>
                <w:color w:val="002B45"/>
                <w:lang w:val="en-IE"/>
              </w:rPr>
            </w:pPr>
            <w:r w:rsidRPr="004B7FFB">
              <w:rPr>
                <w:rFonts w:ascii="Calibri" w:hAnsi="Calibri" w:cs="Calibri"/>
                <w:color w:val="002B45"/>
                <w:lang w:val="en-IE"/>
              </w:rPr>
              <w:t>9265229</w:t>
            </w:r>
            <w:r w:rsidR="005511B6" w:rsidRPr="004B7FFB">
              <w:rPr>
                <w:rFonts w:ascii="Calibri" w:hAnsi="Calibri" w:cs="Calibri"/>
                <w:color w:val="002B45"/>
                <w:lang w:val="en-IE"/>
              </w:rPr>
              <w:t>#</w:t>
            </w:r>
          </w:p>
        </w:tc>
      </w:tr>
    </w:tbl>
    <w:p w:rsidR="005511B6" w:rsidRPr="00871692" w:rsidRDefault="00D735A0" w:rsidP="00E51A99">
      <w:pPr>
        <w:pStyle w:val="Sub-heading"/>
        <w:spacing w:before="60"/>
        <w:rPr>
          <w:rFonts w:ascii="Calibri" w:hAnsi="Calibri" w:cs="Calibri"/>
          <w:color w:val="5F5F5F"/>
          <w:sz w:val="19"/>
          <w:szCs w:val="24"/>
          <w:highlight w:val="yellow"/>
        </w:rPr>
      </w:pPr>
      <w:r>
        <w:rPr>
          <w:rFonts w:ascii="Calibri" w:hAnsi="Calibri" w:cs="Calibri"/>
          <w:color w:val="5F5F5F"/>
          <w:sz w:val="19"/>
          <w:szCs w:val="24"/>
        </w:rPr>
        <w:t>To join the live v</w:t>
      </w:r>
      <w:r w:rsidR="004B7FFB" w:rsidRPr="004B7FFB">
        <w:rPr>
          <w:rFonts w:ascii="Calibri" w:hAnsi="Calibri" w:cs="Calibri"/>
          <w:color w:val="5F5F5F"/>
          <w:sz w:val="19"/>
          <w:szCs w:val="24"/>
        </w:rPr>
        <w:t>ideo webcast, or play the on-demand version which will be available from noon on 12 February, you will need to have either Real Player or Windows Media Player installed on your computer</w:t>
      </w:r>
      <w:r w:rsidR="005511B6" w:rsidRPr="004B7FFB">
        <w:rPr>
          <w:rFonts w:ascii="Calibri" w:hAnsi="Calibri" w:cs="Calibri"/>
          <w:color w:val="5F5F5F"/>
          <w:sz w:val="19"/>
          <w:szCs w:val="24"/>
        </w:rPr>
        <w:t>.</w:t>
      </w:r>
    </w:p>
    <w:p w:rsidR="005511B6" w:rsidRPr="00FE6606" w:rsidRDefault="004B7FFB" w:rsidP="00E51A99">
      <w:pPr>
        <w:pStyle w:val="Sub-heading"/>
        <w:spacing w:before="240"/>
        <w:rPr>
          <w:rFonts w:ascii="Calibri" w:hAnsi="Calibri" w:cs="Calibri"/>
          <w:b/>
          <w:color w:val="002B45"/>
          <w:lang w:val="en-IE"/>
        </w:rPr>
      </w:pPr>
      <w:r w:rsidRPr="00FE6606">
        <w:rPr>
          <w:rFonts w:ascii="Calibri" w:hAnsi="Calibri" w:cs="Calibri"/>
          <w:b/>
          <w:color w:val="002B45"/>
          <w:lang w:val="en-IE"/>
        </w:rPr>
        <w:t>11.00 GMT</w:t>
      </w:r>
      <w:r w:rsidR="005511B6" w:rsidRPr="00FE6606">
        <w:rPr>
          <w:rFonts w:ascii="Calibri" w:hAnsi="Calibri" w:cs="Calibri"/>
          <w:b/>
          <w:color w:val="002B45"/>
          <w:lang w:val="en-IE"/>
        </w:rPr>
        <w:t xml:space="preserve"> – Press Conference Call</w:t>
      </w:r>
    </w:p>
    <w:p w:rsidR="005511B6" w:rsidRPr="00FE6606" w:rsidRDefault="005511B6" w:rsidP="005511B6">
      <w:pPr>
        <w:pStyle w:val="Sub-heading"/>
        <w:rPr>
          <w:rFonts w:ascii="Calibri" w:hAnsi="Calibri" w:cs="Calibri"/>
          <w:color w:val="5F5F5F"/>
          <w:sz w:val="19"/>
          <w:szCs w:val="24"/>
        </w:rPr>
      </w:pPr>
      <w:r w:rsidRPr="00FE6606">
        <w:rPr>
          <w:rFonts w:ascii="Calibri" w:hAnsi="Calibri" w:cs="Calibri"/>
          <w:color w:val="5F5F5F"/>
          <w:sz w:val="19"/>
          <w:szCs w:val="24"/>
        </w:rPr>
        <w:t>To access the call please dial the appropriate number below shortly before the call and use the access code. The telephone numbers and access code are:</w:t>
      </w:r>
    </w:p>
    <w:p w:rsidR="005511B6" w:rsidRPr="00FE6606" w:rsidRDefault="005511B6" w:rsidP="005511B6">
      <w:pPr>
        <w:pStyle w:val="Sub-heading"/>
        <w:rPr>
          <w:rFonts w:ascii="Calibri" w:hAnsi="Calibri" w:cs="Calibri"/>
          <w:color w:val="808080"/>
          <w:sz w:val="19"/>
          <w:szCs w:val="24"/>
        </w:rPr>
      </w:pPr>
    </w:p>
    <w:tbl>
      <w:tblPr>
        <w:tblW w:w="9518" w:type="dxa"/>
        <w:tblBorders>
          <w:top w:val="single" w:sz="4" w:space="0" w:color="A6A6A6"/>
          <w:bottom w:val="single" w:sz="4" w:space="0" w:color="A6A6A6"/>
          <w:insideH w:val="single" w:sz="4" w:space="0" w:color="A6A6A6"/>
        </w:tblBorders>
        <w:tblCellMar>
          <w:left w:w="0" w:type="dxa"/>
          <w:right w:w="0" w:type="dxa"/>
        </w:tblCellMar>
        <w:tblLook w:val="01E0" w:firstRow="1" w:lastRow="1" w:firstColumn="1" w:lastColumn="1" w:noHBand="0" w:noVBand="0"/>
      </w:tblPr>
      <w:tblGrid>
        <w:gridCol w:w="2160"/>
        <w:gridCol w:w="2093"/>
        <w:gridCol w:w="2551"/>
        <w:gridCol w:w="2694"/>
        <w:gridCol w:w="20"/>
      </w:tblGrid>
      <w:tr w:rsidR="005511B6" w:rsidRPr="00FE6606" w:rsidTr="00E51A99">
        <w:tc>
          <w:tcPr>
            <w:tcW w:w="2160" w:type="dxa"/>
            <w:tcMar>
              <w:top w:w="57" w:type="dxa"/>
              <w:left w:w="0" w:type="dxa"/>
              <w:bottom w:w="57" w:type="dxa"/>
              <w:right w:w="0" w:type="dxa"/>
            </w:tcMar>
            <w:vAlign w:val="center"/>
          </w:tcPr>
          <w:p w:rsidR="005511B6" w:rsidRPr="00FE6606" w:rsidRDefault="005511B6" w:rsidP="00FE6606">
            <w:pPr>
              <w:rPr>
                <w:rFonts w:ascii="Calibri" w:hAnsi="Calibri" w:cs="Calibri"/>
                <w:color w:val="002B45"/>
                <w:lang w:val="en-IE"/>
              </w:rPr>
            </w:pPr>
            <w:r w:rsidRPr="00FE6606">
              <w:rPr>
                <w:rFonts w:ascii="Calibri" w:hAnsi="Calibri" w:cs="Calibri"/>
                <w:color w:val="002B45"/>
                <w:lang w:val="en-IE"/>
              </w:rPr>
              <w:t xml:space="preserve">UK </w:t>
            </w:r>
            <w:r w:rsidR="00FE6606" w:rsidRPr="00FE6606">
              <w:rPr>
                <w:rFonts w:ascii="Calibri" w:hAnsi="Calibri" w:cs="Calibri"/>
                <w:color w:val="002B45"/>
                <w:lang w:val="en-IE"/>
              </w:rPr>
              <w:t>Toll Free</w:t>
            </w:r>
          </w:p>
        </w:tc>
        <w:tc>
          <w:tcPr>
            <w:tcW w:w="2093" w:type="dxa"/>
            <w:vAlign w:val="center"/>
          </w:tcPr>
          <w:p w:rsidR="005511B6" w:rsidRPr="00FE6606" w:rsidRDefault="005511B6" w:rsidP="002C26D8">
            <w:pPr>
              <w:rPr>
                <w:rFonts w:ascii="Calibri" w:hAnsi="Calibri" w:cs="Calibri"/>
                <w:color w:val="002B45"/>
                <w:lang w:val="en-IE"/>
              </w:rPr>
            </w:pPr>
            <w:r w:rsidRPr="00FE6606">
              <w:rPr>
                <w:rFonts w:ascii="Calibri" w:hAnsi="Calibri" w:cs="Calibri"/>
                <w:color w:val="002B45"/>
                <w:lang w:val="en-IE"/>
              </w:rPr>
              <w:t>0808 109 0700</w:t>
            </w:r>
          </w:p>
        </w:tc>
        <w:tc>
          <w:tcPr>
            <w:tcW w:w="2551" w:type="dxa"/>
            <w:vAlign w:val="center"/>
          </w:tcPr>
          <w:p w:rsidR="005511B6" w:rsidRPr="00FE6606" w:rsidRDefault="005511B6" w:rsidP="002C26D8">
            <w:pPr>
              <w:rPr>
                <w:rFonts w:ascii="Calibri" w:hAnsi="Calibri" w:cs="Calibri"/>
                <w:color w:val="002B45"/>
                <w:lang w:val="en-IE"/>
              </w:rPr>
            </w:pPr>
            <w:r w:rsidRPr="00FE6606">
              <w:rPr>
                <w:rFonts w:ascii="Calibri" w:hAnsi="Calibri" w:cs="Calibri"/>
                <w:color w:val="002B45"/>
                <w:lang w:val="en-IE"/>
              </w:rPr>
              <w:t>International Participants</w:t>
            </w:r>
          </w:p>
        </w:tc>
        <w:tc>
          <w:tcPr>
            <w:tcW w:w="2694" w:type="dxa"/>
          </w:tcPr>
          <w:p w:rsidR="005511B6" w:rsidRPr="00FE6606" w:rsidRDefault="005511B6" w:rsidP="002C26D8">
            <w:pPr>
              <w:rPr>
                <w:rFonts w:ascii="Calibri" w:hAnsi="Calibri" w:cs="Calibri"/>
                <w:color w:val="002B45"/>
                <w:lang w:val="en-IE"/>
              </w:rPr>
            </w:pPr>
            <w:r w:rsidRPr="00FE6606">
              <w:rPr>
                <w:rFonts w:ascii="Calibri" w:hAnsi="Calibri" w:cs="Calibri"/>
                <w:color w:val="002B45"/>
                <w:lang w:val="en-IE"/>
              </w:rPr>
              <w:t>+44 (0) 20 3003 2666</w:t>
            </w:r>
          </w:p>
        </w:tc>
        <w:tc>
          <w:tcPr>
            <w:tcW w:w="20" w:type="dxa"/>
          </w:tcPr>
          <w:p w:rsidR="005511B6" w:rsidRPr="00FE6606" w:rsidRDefault="005511B6" w:rsidP="002C26D8">
            <w:pPr>
              <w:rPr>
                <w:rStyle w:val="Bold"/>
                <w:rFonts w:ascii="Calibri" w:hAnsi="Calibri" w:cs="Calibri"/>
                <w:color w:val="002B45"/>
              </w:rPr>
            </w:pPr>
          </w:p>
        </w:tc>
      </w:tr>
      <w:tr w:rsidR="005511B6" w:rsidRPr="00FE6606" w:rsidTr="00E51A99">
        <w:trPr>
          <w:gridAfter w:val="1"/>
          <w:wAfter w:w="20" w:type="dxa"/>
        </w:trPr>
        <w:tc>
          <w:tcPr>
            <w:tcW w:w="2160" w:type="dxa"/>
            <w:tcMar>
              <w:top w:w="57" w:type="dxa"/>
              <w:left w:w="0" w:type="dxa"/>
              <w:bottom w:w="57" w:type="dxa"/>
              <w:right w:w="0" w:type="dxa"/>
            </w:tcMar>
          </w:tcPr>
          <w:p w:rsidR="005511B6" w:rsidRPr="00FE6606" w:rsidRDefault="005511B6" w:rsidP="002C26D8">
            <w:pPr>
              <w:rPr>
                <w:rFonts w:ascii="Calibri" w:hAnsi="Calibri" w:cs="Calibri"/>
                <w:color w:val="002B45"/>
                <w:lang w:val="en-IE"/>
              </w:rPr>
            </w:pPr>
            <w:r w:rsidRPr="00FE6606">
              <w:rPr>
                <w:rFonts w:ascii="Calibri" w:hAnsi="Calibri" w:cs="Calibri"/>
                <w:color w:val="002B45"/>
                <w:lang w:val="en-IE"/>
              </w:rPr>
              <w:t>UK Local Call</w:t>
            </w:r>
          </w:p>
        </w:tc>
        <w:tc>
          <w:tcPr>
            <w:tcW w:w="2093" w:type="dxa"/>
            <w:vAlign w:val="center"/>
          </w:tcPr>
          <w:p w:rsidR="005511B6" w:rsidRPr="00FE6606" w:rsidRDefault="005511B6" w:rsidP="002C26D8">
            <w:pPr>
              <w:rPr>
                <w:rFonts w:ascii="Calibri" w:hAnsi="Calibri" w:cs="Calibri"/>
                <w:color w:val="002B45"/>
                <w:lang w:val="en-IE"/>
              </w:rPr>
            </w:pPr>
            <w:r w:rsidRPr="00FE6606">
              <w:rPr>
                <w:rFonts w:ascii="Calibri" w:hAnsi="Calibri" w:cs="Calibri"/>
                <w:color w:val="002B45"/>
                <w:lang w:val="en-IE"/>
              </w:rPr>
              <w:t>020 3003 2666</w:t>
            </w:r>
          </w:p>
        </w:tc>
        <w:tc>
          <w:tcPr>
            <w:tcW w:w="2551" w:type="dxa"/>
            <w:vAlign w:val="center"/>
          </w:tcPr>
          <w:p w:rsidR="005511B6" w:rsidRPr="00FE6606" w:rsidRDefault="005511B6" w:rsidP="002C26D8">
            <w:pPr>
              <w:rPr>
                <w:rFonts w:ascii="Calibri" w:hAnsi="Calibri" w:cs="Calibri"/>
                <w:color w:val="002B45"/>
                <w:lang w:val="en-IE"/>
              </w:rPr>
            </w:pPr>
            <w:r w:rsidRPr="00FE6606">
              <w:rPr>
                <w:rFonts w:ascii="Calibri" w:hAnsi="Calibri" w:cs="Calibri"/>
                <w:color w:val="002B45"/>
                <w:lang w:val="en-IE"/>
              </w:rPr>
              <w:t>USA Toll Free</w:t>
            </w:r>
          </w:p>
        </w:tc>
        <w:tc>
          <w:tcPr>
            <w:tcW w:w="2694" w:type="dxa"/>
            <w:tcMar>
              <w:top w:w="57" w:type="dxa"/>
              <w:left w:w="0" w:type="dxa"/>
              <w:bottom w:w="57" w:type="dxa"/>
              <w:right w:w="0" w:type="dxa"/>
            </w:tcMar>
          </w:tcPr>
          <w:p w:rsidR="005511B6" w:rsidRPr="00FE6606" w:rsidRDefault="005511B6" w:rsidP="002C26D8">
            <w:pPr>
              <w:rPr>
                <w:rFonts w:ascii="Calibri" w:hAnsi="Calibri" w:cs="Calibri"/>
                <w:color w:val="002B45"/>
                <w:lang w:val="en-IE"/>
              </w:rPr>
            </w:pPr>
            <w:r w:rsidRPr="00FE6606">
              <w:rPr>
                <w:rFonts w:ascii="Calibri" w:hAnsi="Calibri" w:cs="Calibri"/>
                <w:color w:val="002B45"/>
                <w:lang w:val="en-IE"/>
              </w:rPr>
              <w:t>+1 866 966 5335</w:t>
            </w:r>
          </w:p>
        </w:tc>
      </w:tr>
      <w:tr w:rsidR="005511B6" w:rsidRPr="00871692" w:rsidTr="00E51A99">
        <w:trPr>
          <w:gridAfter w:val="1"/>
          <w:wAfter w:w="20" w:type="dxa"/>
        </w:trPr>
        <w:tc>
          <w:tcPr>
            <w:tcW w:w="2160" w:type="dxa"/>
            <w:tcMar>
              <w:top w:w="57" w:type="dxa"/>
              <w:left w:w="0" w:type="dxa"/>
              <w:bottom w:w="57" w:type="dxa"/>
              <w:right w:w="0" w:type="dxa"/>
            </w:tcMar>
          </w:tcPr>
          <w:p w:rsidR="005511B6" w:rsidRPr="00FE6606" w:rsidRDefault="005511B6" w:rsidP="00FE6606">
            <w:pPr>
              <w:rPr>
                <w:rFonts w:ascii="Calibri" w:hAnsi="Calibri" w:cs="Calibri"/>
                <w:color w:val="002B45"/>
                <w:lang w:val="en-IE"/>
              </w:rPr>
            </w:pPr>
            <w:r w:rsidRPr="00FE6606">
              <w:rPr>
                <w:rFonts w:ascii="Calibri" w:hAnsi="Calibri" w:cs="Calibri"/>
                <w:color w:val="002B45"/>
                <w:lang w:val="en-IE"/>
              </w:rPr>
              <w:t xml:space="preserve">Irish </w:t>
            </w:r>
            <w:r w:rsidR="00FE6606" w:rsidRPr="00FE6606">
              <w:rPr>
                <w:rFonts w:ascii="Calibri" w:hAnsi="Calibri" w:cs="Calibri"/>
                <w:color w:val="002B45"/>
                <w:lang w:val="en-IE"/>
              </w:rPr>
              <w:t>Toll</w:t>
            </w:r>
            <w:r w:rsidRPr="00FE6606">
              <w:rPr>
                <w:rFonts w:ascii="Calibri" w:hAnsi="Calibri" w:cs="Calibri"/>
                <w:color w:val="002B45"/>
                <w:lang w:val="en-IE"/>
              </w:rPr>
              <w:t xml:space="preserve"> </w:t>
            </w:r>
            <w:r w:rsidR="00FE6606" w:rsidRPr="00FE6606">
              <w:rPr>
                <w:rFonts w:ascii="Calibri" w:hAnsi="Calibri" w:cs="Calibri"/>
                <w:color w:val="002B45"/>
                <w:lang w:val="en-IE"/>
              </w:rPr>
              <w:t>Free</w:t>
            </w:r>
          </w:p>
        </w:tc>
        <w:tc>
          <w:tcPr>
            <w:tcW w:w="2093" w:type="dxa"/>
            <w:vAlign w:val="center"/>
          </w:tcPr>
          <w:p w:rsidR="005511B6" w:rsidRPr="00FE6606" w:rsidRDefault="005511B6" w:rsidP="002C26D8">
            <w:pPr>
              <w:rPr>
                <w:rFonts w:ascii="Calibri" w:hAnsi="Calibri" w:cs="Calibri"/>
                <w:color w:val="002B45"/>
                <w:lang w:val="en-IE"/>
              </w:rPr>
            </w:pPr>
            <w:r w:rsidRPr="00FE6606">
              <w:rPr>
                <w:rFonts w:ascii="Calibri" w:hAnsi="Calibri" w:cs="Calibri"/>
                <w:color w:val="002B45"/>
                <w:lang w:val="en-IE"/>
              </w:rPr>
              <w:t>1 800 930 488</w:t>
            </w:r>
          </w:p>
        </w:tc>
        <w:tc>
          <w:tcPr>
            <w:tcW w:w="2551" w:type="dxa"/>
          </w:tcPr>
          <w:p w:rsidR="005511B6" w:rsidRPr="00FE6606" w:rsidRDefault="005511B6" w:rsidP="002C26D8">
            <w:pPr>
              <w:rPr>
                <w:rFonts w:ascii="Calibri" w:hAnsi="Calibri" w:cs="Calibri"/>
                <w:color w:val="002B45"/>
                <w:lang w:val="en-IE"/>
              </w:rPr>
            </w:pPr>
            <w:r w:rsidRPr="00FE6606">
              <w:rPr>
                <w:rFonts w:ascii="Calibri" w:hAnsi="Calibri" w:cs="Calibri"/>
                <w:color w:val="002B45"/>
                <w:lang w:val="en-IE"/>
              </w:rPr>
              <w:t xml:space="preserve"> Access code    </w:t>
            </w:r>
          </w:p>
        </w:tc>
        <w:tc>
          <w:tcPr>
            <w:tcW w:w="2694" w:type="dxa"/>
            <w:tcMar>
              <w:top w:w="57" w:type="dxa"/>
              <w:left w:w="0" w:type="dxa"/>
              <w:bottom w:w="57" w:type="dxa"/>
              <w:right w:w="0" w:type="dxa"/>
            </w:tcMar>
          </w:tcPr>
          <w:p w:rsidR="005511B6" w:rsidRPr="00FE6606" w:rsidRDefault="00FE6606" w:rsidP="002C26D8">
            <w:pPr>
              <w:rPr>
                <w:rFonts w:ascii="Calibri" w:hAnsi="Calibri" w:cs="Calibri"/>
                <w:color w:val="002B45"/>
                <w:lang w:val="en-IE"/>
              </w:rPr>
            </w:pPr>
            <w:r w:rsidRPr="00FE6606">
              <w:rPr>
                <w:rFonts w:ascii="Calibri" w:hAnsi="Calibri" w:cs="Calibri"/>
                <w:color w:val="002B45"/>
                <w:lang w:val="en-IE"/>
              </w:rPr>
              <w:t>8465357</w:t>
            </w:r>
          </w:p>
        </w:tc>
      </w:tr>
    </w:tbl>
    <w:p w:rsidR="00FE6606" w:rsidRDefault="00FE6606" w:rsidP="005511B6">
      <w:pPr>
        <w:pStyle w:val="Sub-heading"/>
        <w:rPr>
          <w:rFonts w:ascii="Calibri" w:hAnsi="Calibri" w:cs="Calibri"/>
          <w:b/>
          <w:color w:val="002B45"/>
          <w:lang w:val="en-IE"/>
        </w:rPr>
      </w:pPr>
    </w:p>
    <w:p w:rsidR="005511B6" w:rsidRPr="004B7FFB" w:rsidRDefault="004B7FFB" w:rsidP="005511B6">
      <w:pPr>
        <w:pStyle w:val="Sub-heading"/>
        <w:rPr>
          <w:rFonts w:ascii="Calibri" w:hAnsi="Calibri" w:cs="Calibri"/>
          <w:b/>
          <w:color w:val="002B45"/>
          <w:lang w:val="en-IE"/>
        </w:rPr>
      </w:pPr>
      <w:r>
        <w:rPr>
          <w:rFonts w:ascii="Calibri" w:hAnsi="Calibri" w:cs="Calibri"/>
          <w:b/>
          <w:color w:val="002B45"/>
          <w:lang w:val="en-IE"/>
        </w:rPr>
        <w:t>15:00 GMT</w:t>
      </w:r>
      <w:r w:rsidR="005511B6" w:rsidRPr="004B7FFB">
        <w:rPr>
          <w:rFonts w:ascii="Calibri" w:hAnsi="Calibri" w:cs="Calibri"/>
          <w:b/>
          <w:color w:val="002B45"/>
          <w:lang w:val="en-IE"/>
        </w:rPr>
        <w:t xml:space="preserve"> - US Conference Call</w:t>
      </w:r>
    </w:p>
    <w:p w:rsidR="005511B6" w:rsidRPr="004B7FFB" w:rsidRDefault="004B7FFB" w:rsidP="0005571B">
      <w:pPr>
        <w:pStyle w:val="Sub-heading"/>
        <w:spacing w:after="240"/>
        <w:rPr>
          <w:rFonts w:ascii="Calibri" w:hAnsi="Calibri" w:cs="Calibri"/>
          <w:color w:val="5F5F5F"/>
          <w:sz w:val="19"/>
          <w:szCs w:val="24"/>
        </w:rPr>
      </w:pPr>
      <w:r w:rsidRPr="004B7FFB">
        <w:rPr>
          <w:rFonts w:ascii="Calibri" w:hAnsi="Calibri" w:cs="Calibri"/>
          <w:color w:val="5F5F5F"/>
          <w:sz w:val="19"/>
          <w:szCs w:val="24"/>
        </w:rPr>
        <w:t>To access the call please dial the appropriate number below shortly before the call and ask for the</w:t>
      </w:r>
      <w:r>
        <w:rPr>
          <w:rFonts w:ascii="Calibri" w:hAnsi="Calibri" w:cs="Calibri"/>
          <w:color w:val="5F5F5F"/>
          <w:sz w:val="19"/>
          <w:szCs w:val="24"/>
        </w:rPr>
        <w:t xml:space="preserve"> Tullow Oil plc conference call</w:t>
      </w:r>
      <w:r w:rsidR="005511B6" w:rsidRPr="004B7FFB">
        <w:rPr>
          <w:rFonts w:ascii="Calibri" w:hAnsi="Calibri" w:cs="Calibri"/>
          <w:color w:val="5F5F5F"/>
          <w:sz w:val="19"/>
          <w:szCs w:val="24"/>
        </w:rPr>
        <w:t xml:space="preserve">. </w:t>
      </w:r>
    </w:p>
    <w:tbl>
      <w:tblPr>
        <w:tblW w:w="0" w:type="auto"/>
        <w:tblBorders>
          <w:top w:val="single" w:sz="4" w:space="0" w:color="A6A6A6"/>
          <w:bottom w:val="single" w:sz="4" w:space="0" w:color="A6A6A6"/>
          <w:insideH w:val="single" w:sz="4" w:space="0" w:color="A6A6A6"/>
        </w:tblBorders>
        <w:tblCellMar>
          <w:left w:w="0" w:type="dxa"/>
          <w:right w:w="0" w:type="dxa"/>
        </w:tblCellMar>
        <w:tblLook w:val="01E0" w:firstRow="1" w:lastRow="1" w:firstColumn="1" w:lastColumn="1" w:noHBand="0" w:noVBand="0"/>
      </w:tblPr>
      <w:tblGrid>
        <w:gridCol w:w="2099"/>
        <w:gridCol w:w="2084"/>
        <w:gridCol w:w="2065"/>
        <w:gridCol w:w="3250"/>
      </w:tblGrid>
      <w:tr w:rsidR="005511B6" w:rsidRPr="004B7FFB" w:rsidTr="00E51A99">
        <w:tc>
          <w:tcPr>
            <w:tcW w:w="4183" w:type="dxa"/>
            <w:gridSpan w:val="2"/>
            <w:tcMar>
              <w:top w:w="57" w:type="dxa"/>
              <w:left w:w="0" w:type="dxa"/>
              <w:bottom w:w="57" w:type="dxa"/>
              <w:right w:w="0" w:type="dxa"/>
            </w:tcMar>
            <w:vAlign w:val="center"/>
          </w:tcPr>
          <w:p w:rsidR="005511B6" w:rsidRPr="004B7FFB" w:rsidRDefault="005511B6" w:rsidP="002C26D8">
            <w:pPr>
              <w:rPr>
                <w:rStyle w:val="Bold"/>
                <w:rFonts w:ascii="Calibri" w:hAnsi="Calibri" w:cs="Calibri"/>
                <w:b/>
                <w:color w:val="002B45"/>
              </w:rPr>
            </w:pPr>
            <w:r w:rsidRPr="004B7FFB">
              <w:rPr>
                <w:rStyle w:val="Bold"/>
                <w:rFonts w:ascii="Calibri" w:hAnsi="Calibri" w:cs="Calibri"/>
                <w:b/>
                <w:color w:val="002B45"/>
              </w:rPr>
              <w:t>Live Event</w:t>
            </w:r>
          </w:p>
        </w:tc>
        <w:tc>
          <w:tcPr>
            <w:tcW w:w="5315" w:type="dxa"/>
            <w:gridSpan w:val="2"/>
            <w:tcMar>
              <w:top w:w="57" w:type="dxa"/>
              <w:left w:w="0" w:type="dxa"/>
              <w:bottom w:w="57" w:type="dxa"/>
              <w:right w:w="0" w:type="dxa"/>
            </w:tcMar>
            <w:vAlign w:val="center"/>
          </w:tcPr>
          <w:p w:rsidR="005511B6" w:rsidRPr="004B7FFB" w:rsidRDefault="005511B6" w:rsidP="002C26D8">
            <w:pPr>
              <w:rPr>
                <w:rStyle w:val="Bold"/>
                <w:rFonts w:ascii="Calibri" w:hAnsi="Calibri" w:cs="Calibri"/>
                <w:b/>
                <w:color w:val="002B45"/>
              </w:rPr>
            </w:pPr>
          </w:p>
        </w:tc>
      </w:tr>
      <w:tr w:rsidR="009E3F59" w:rsidRPr="004B7FFB" w:rsidTr="00ED6C10">
        <w:tc>
          <w:tcPr>
            <w:tcW w:w="2099" w:type="dxa"/>
            <w:tcMar>
              <w:top w:w="57" w:type="dxa"/>
              <w:left w:w="0" w:type="dxa"/>
              <w:bottom w:w="57" w:type="dxa"/>
              <w:right w:w="0" w:type="dxa"/>
            </w:tcMar>
            <w:vAlign w:val="center"/>
          </w:tcPr>
          <w:p w:rsidR="009E3F59" w:rsidRPr="004B7FFB" w:rsidRDefault="009E3F59" w:rsidP="002C26D8">
            <w:pPr>
              <w:rPr>
                <w:rFonts w:ascii="Calibri" w:hAnsi="Calibri" w:cs="Calibri"/>
                <w:color w:val="002B45"/>
                <w:lang w:val="en-IE"/>
              </w:rPr>
            </w:pPr>
            <w:r w:rsidRPr="004B7FFB">
              <w:rPr>
                <w:rFonts w:ascii="Calibri" w:hAnsi="Calibri" w:cs="Calibri"/>
                <w:color w:val="002B45"/>
                <w:lang w:val="en-IE"/>
              </w:rPr>
              <w:t>Domestic Toll Free</w:t>
            </w:r>
          </w:p>
        </w:tc>
        <w:tc>
          <w:tcPr>
            <w:tcW w:w="2084" w:type="dxa"/>
            <w:tcMar>
              <w:top w:w="57" w:type="dxa"/>
              <w:left w:w="0" w:type="dxa"/>
              <w:bottom w:w="57" w:type="dxa"/>
              <w:right w:w="0" w:type="dxa"/>
            </w:tcMar>
            <w:vAlign w:val="center"/>
          </w:tcPr>
          <w:p w:rsidR="009E3F59" w:rsidRPr="004B7FFB" w:rsidRDefault="009E3F59" w:rsidP="002C26D8">
            <w:pPr>
              <w:rPr>
                <w:rFonts w:ascii="Calibri" w:hAnsi="Calibri" w:cs="Calibri"/>
                <w:color w:val="002B45"/>
                <w:lang w:val="en-IE"/>
              </w:rPr>
            </w:pPr>
            <w:r w:rsidRPr="004B7FFB">
              <w:rPr>
                <w:rFonts w:ascii="Calibri" w:hAnsi="Calibri" w:cs="Calibri"/>
                <w:color w:val="002B45"/>
                <w:lang w:val="en-IE"/>
              </w:rPr>
              <w:t>+1 877 2</w:t>
            </w:r>
            <w:r>
              <w:rPr>
                <w:rFonts w:ascii="Calibri" w:hAnsi="Calibri" w:cs="Calibri"/>
                <w:color w:val="002B45"/>
                <w:lang w:val="en-IE"/>
              </w:rPr>
              <w:t>80 1254</w:t>
            </w:r>
          </w:p>
        </w:tc>
        <w:tc>
          <w:tcPr>
            <w:tcW w:w="2065" w:type="dxa"/>
            <w:tcMar>
              <w:top w:w="57" w:type="dxa"/>
              <w:left w:w="0" w:type="dxa"/>
              <w:bottom w:w="57" w:type="dxa"/>
              <w:right w:w="0" w:type="dxa"/>
            </w:tcMar>
          </w:tcPr>
          <w:p w:rsidR="009E3F59" w:rsidRPr="004B7FFB" w:rsidRDefault="009E3F59" w:rsidP="00ED6C10">
            <w:pPr>
              <w:rPr>
                <w:rFonts w:ascii="Calibri" w:hAnsi="Calibri" w:cs="Calibri"/>
                <w:color w:val="002B45"/>
                <w:lang w:val="en-IE"/>
              </w:rPr>
            </w:pPr>
            <w:r w:rsidRPr="004B7FFB">
              <w:rPr>
                <w:rFonts w:ascii="Calibri" w:hAnsi="Calibri" w:cs="Calibri"/>
                <w:color w:val="002B45"/>
                <w:lang w:val="en-IE"/>
              </w:rPr>
              <w:t xml:space="preserve"> Access code    </w:t>
            </w:r>
          </w:p>
        </w:tc>
        <w:tc>
          <w:tcPr>
            <w:tcW w:w="3250" w:type="dxa"/>
            <w:tcMar>
              <w:top w:w="57" w:type="dxa"/>
              <w:left w:w="0" w:type="dxa"/>
              <w:bottom w:w="57" w:type="dxa"/>
              <w:right w:w="0" w:type="dxa"/>
            </w:tcMar>
          </w:tcPr>
          <w:p w:rsidR="009E3F59" w:rsidRPr="004B7FFB" w:rsidRDefault="009E3F59" w:rsidP="00ED6C10">
            <w:pPr>
              <w:rPr>
                <w:rFonts w:ascii="Calibri" w:hAnsi="Calibri" w:cs="Calibri"/>
                <w:color w:val="002B45"/>
                <w:lang w:val="en-IE"/>
              </w:rPr>
            </w:pPr>
            <w:r>
              <w:rPr>
                <w:rFonts w:ascii="Calibri" w:hAnsi="Calibri" w:cs="Calibri"/>
                <w:color w:val="002B45"/>
                <w:lang w:val="en-IE"/>
              </w:rPr>
              <w:t>3689299</w:t>
            </w:r>
          </w:p>
        </w:tc>
      </w:tr>
      <w:tr w:rsidR="005511B6" w:rsidRPr="004B7FFB" w:rsidTr="00E51A99">
        <w:tc>
          <w:tcPr>
            <w:tcW w:w="2099" w:type="dxa"/>
            <w:tcMar>
              <w:top w:w="57" w:type="dxa"/>
              <w:left w:w="0" w:type="dxa"/>
              <w:bottom w:w="57" w:type="dxa"/>
              <w:right w:w="0" w:type="dxa"/>
            </w:tcMar>
            <w:vAlign w:val="center"/>
          </w:tcPr>
          <w:p w:rsidR="005511B6" w:rsidRPr="004B7FFB" w:rsidRDefault="005511B6" w:rsidP="002C26D8">
            <w:pPr>
              <w:rPr>
                <w:rFonts w:ascii="Calibri" w:hAnsi="Calibri" w:cs="Calibri"/>
                <w:color w:val="002B45"/>
                <w:lang w:val="en-IE"/>
              </w:rPr>
            </w:pPr>
            <w:r w:rsidRPr="004B7FFB">
              <w:rPr>
                <w:rFonts w:ascii="Calibri" w:hAnsi="Calibri" w:cs="Calibri"/>
                <w:color w:val="002B45"/>
                <w:lang w:val="en-IE"/>
              </w:rPr>
              <w:t>Toll</w:t>
            </w:r>
          </w:p>
        </w:tc>
        <w:tc>
          <w:tcPr>
            <w:tcW w:w="2084" w:type="dxa"/>
            <w:tcMar>
              <w:top w:w="57" w:type="dxa"/>
              <w:left w:w="0" w:type="dxa"/>
              <w:bottom w:w="57" w:type="dxa"/>
              <w:right w:w="0" w:type="dxa"/>
            </w:tcMar>
            <w:vAlign w:val="center"/>
          </w:tcPr>
          <w:p w:rsidR="005511B6" w:rsidRPr="004B7FFB" w:rsidRDefault="005511B6" w:rsidP="00CE72A0">
            <w:pPr>
              <w:rPr>
                <w:rFonts w:ascii="Calibri" w:hAnsi="Calibri" w:cs="Calibri"/>
                <w:color w:val="002B45"/>
                <w:lang w:val="en-IE"/>
              </w:rPr>
            </w:pPr>
            <w:r w:rsidRPr="004B7FFB">
              <w:rPr>
                <w:rFonts w:ascii="Calibri" w:hAnsi="Calibri" w:cs="Calibri"/>
                <w:color w:val="002B45"/>
                <w:lang w:val="en-IE"/>
              </w:rPr>
              <w:t xml:space="preserve">+1 </w:t>
            </w:r>
            <w:r w:rsidR="004B7FFB">
              <w:rPr>
                <w:rFonts w:ascii="Calibri" w:hAnsi="Calibri" w:cs="Calibri"/>
                <w:color w:val="002B45"/>
                <w:lang w:val="en-IE"/>
              </w:rPr>
              <w:t>646 254 3366</w:t>
            </w:r>
          </w:p>
        </w:tc>
        <w:tc>
          <w:tcPr>
            <w:tcW w:w="2065" w:type="dxa"/>
            <w:tcMar>
              <w:top w:w="57" w:type="dxa"/>
              <w:left w:w="0" w:type="dxa"/>
              <w:bottom w:w="57" w:type="dxa"/>
              <w:right w:w="0" w:type="dxa"/>
            </w:tcMar>
            <w:vAlign w:val="center"/>
          </w:tcPr>
          <w:p w:rsidR="005511B6" w:rsidRPr="004B7FFB" w:rsidRDefault="005511B6" w:rsidP="002C26D8">
            <w:pPr>
              <w:rPr>
                <w:rFonts w:ascii="Calibri" w:hAnsi="Calibri" w:cs="Calibri"/>
                <w:color w:val="002B45"/>
                <w:lang w:val="en-IE"/>
              </w:rPr>
            </w:pPr>
          </w:p>
        </w:tc>
        <w:tc>
          <w:tcPr>
            <w:tcW w:w="3250" w:type="dxa"/>
            <w:tcMar>
              <w:top w:w="57" w:type="dxa"/>
              <w:left w:w="0" w:type="dxa"/>
              <w:bottom w:w="57" w:type="dxa"/>
              <w:right w:w="0" w:type="dxa"/>
            </w:tcMar>
            <w:vAlign w:val="center"/>
          </w:tcPr>
          <w:p w:rsidR="005511B6" w:rsidRPr="004B7FFB" w:rsidRDefault="005511B6" w:rsidP="002C26D8">
            <w:pPr>
              <w:rPr>
                <w:rFonts w:ascii="Calibri" w:hAnsi="Calibri" w:cs="Calibri"/>
                <w:color w:val="002B45"/>
                <w:lang w:val="en-IE"/>
              </w:rPr>
            </w:pPr>
          </w:p>
        </w:tc>
      </w:tr>
    </w:tbl>
    <w:p w:rsidR="007152F7" w:rsidRDefault="007152F7" w:rsidP="005511B6">
      <w:pPr>
        <w:rPr>
          <w:rFonts w:ascii="Calibri" w:hAnsi="Calibri" w:cs="Calibri"/>
        </w:rPr>
      </w:pPr>
    </w:p>
    <w:p w:rsidR="003374EE" w:rsidRPr="00381659" w:rsidRDefault="003374EE" w:rsidP="003374EE">
      <w:pPr>
        <w:spacing w:after="100"/>
        <w:rPr>
          <w:rFonts w:asciiTheme="minorHAnsi" w:hAnsiTheme="minorHAnsi" w:cstheme="minorHAnsi"/>
          <w:b/>
          <w:i/>
          <w:iCs/>
          <w:color w:val="002B45"/>
          <w:sz w:val="22"/>
          <w:szCs w:val="22"/>
        </w:rPr>
      </w:pPr>
      <w:r w:rsidRPr="00381659">
        <w:rPr>
          <w:rFonts w:asciiTheme="minorHAnsi" w:hAnsiTheme="minorHAnsi" w:cstheme="minorHAnsi"/>
          <w:b/>
          <w:color w:val="991F36"/>
          <w:sz w:val="22"/>
          <w:szCs w:val="22"/>
        </w:rPr>
        <w:t>FOR FURTHER INFORMATION CONTACT:</w:t>
      </w:r>
    </w:p>
    <w:tbl>
      <w:tblPr>
        <w:tblW w:w="9498" w:type="dxa"/>
        <w:tblInd w:w="108"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ook w:val="01E0" w:firstRow="1" w:lastRow="1" w:firstColumn="1" w:lastColumn="1" w:noHBand="0" w:noVBand="0"/>
      </w:tblPr>
      <w:tblGrid>
        <w:gridCol w:w="3166"/>
        <w:gridCol w:w="3166"/>
        <w:gridCol w:w="3166"/>
      </w:tblGrid>
      <w:tr w:rsidR="003374EE" w:rsidRPr="00381659" w:rsidTr="003374EE">
        <w:tc>
          <w:tcPr>
            <w:tcW w:w="3166" w:type="dxa"/>
          </w:tcPr>
          <w:p w:rsidR="003374EE" w:rsidRPr="00381659" w:rsidRDefault="003374EE" w:rsidP="00B34934">
            <w:pPr>
              <w:spacing w:after="40"/>
              <w:rPr>
                <w:rFonts w:asciiTheme="minorHAnsi" w:hAnsiTheme="minorHAnsi" w:cstheme="minorHAnsi"/>
                <w:b/>
                <w:color w:val="00305C"/>
                <w:szCs w:val="19"/>
              </w:rPr>
            </w:pPr>
            <w:r w:rsidRPr="00381659">
              <w:rPr>
                <w:rFonts w:asciiTheme="minorHAnsi" w:hAnsiTheme="minorHAnsi" w:cstheme="minorHAnsi"/>
                <w:b/>
                <w:color w:val="00305C"/>
                <w:szCs w:val="19"/>
              </w:rPr>
              <w:t xml:space="preserve">Tullow Oil plc </w:t>
            </w:r>
          </w:p>
          <w:p w:rsidR="003374EE" w:rsidRPr="00381659" w:rsidRDefault="003374EE" w:rsidP="00B34934">
            <w:pPr>
              <w:spacing w:after="40"/>
              <w:rPr>
                <w:rFonts w:asciiTheme="minorHAnsi" w:hAnsiTheme="minorHAnsi" w:cstheme="minorHAnsi"/>
                <w:b/>
                <w:color w:val="00305C"/>
                <w:szCs w:val="19"/>
              </w:rPr>
            </w:pPr>
            <w:r w:rsidRPr="00381659">
              <w:rPr>
                <w:rFonts w:asciiTheme="minorHAnsi" w:hAnsiTheme="minorHAnsi" w:cstheme="minorHAnsi"/>
                <w:color w:val="00305C"/>
                <w:szCs w:val="19"/>
              </w:rPr>
              <w:t>(London)</w:t>
            </w:r>
          </w:p>
          <w:p w:rsidR="003374EE" w:rsidRPr="00381659" w:rsidRDefault="003374EE" w:rsidP="00B34934">
            <w:pPr>
              <w:spacing w:after="40"/>
              <w:rPr>
                <w:rFonts w:asciiTheme="minorHAnsi" w:hAnsiTheme="minorHAnsi" w:cstheme="minorHAnsi"/>
                <w:color w:val="00305C"/>
                <w:szCs w:val="19"/>
              </w:rPr>
            </w:pPr>
            <w:r w:rsidRPr="00381659">
              <w:rPr>
                <w:rFonts w:asciiTheme="minorHAnsi" w:hAnsiTheme="minorHAnsi" w:cstheme="minorHAnsi"/>
                <w:color w:val="00305C"/>
                <w:szCs w:val="19"/>
              </w:rPr>
              <w:t>(+44 20 3249 9000)</w:t>
            </w:r>
          </w:p>
          <w:p w:rsidR="003374EE" w:rsidRPr="00381659" w:rsidRDefault="003374EE" w:rsidP="00B34934">
            <w:pPr>
              <w:spacing w:after="40"/>
              <w:rPr>
                <w:rFonts w:asciiTheme="minorHAnsi" w:hAnsiTheme="minorHAnsi" w:cstheme="minorHAnsi"/>
                <w:color w:val="00305C"/>
                <w:szCs w:val="19"/>
              </w:rPr>
            </w:pPr>
            <w:r w:rsidRPr="00381659">
              <w:rPr>
                <w:rFonts w:asciiTheme="minorHAnsi" w:hAnsiTheme="minorHAnsi" w:cstheme="minorHAnsi"/>
                <w:color w:val="00305C"/>
                <w:szCs w:val="19"/>
              </w:rPr>
              <w:t>Chris Perry (Investor Relations)</w:t>
            </w:r>
          </w:p>
          <w:p w:rsidR="003374EE" w:rsidRPr="00381659" w:rsidRDefault="003374EE" w:rsidP="00B34934">
            <w:pPr>
              <w:spacing w:after="40"/>
              <w:rPr>
                <w:rFonts w:asciiTheme="minorHAnsi" w:hAnsiTheme="minorHAnsi" w:cstheme="minorHAnsi"/>
                <w:color w:val="00305C"/>
                <w:szCs w:val="19"/>
              </w:rPr>
            </w:pPr>
            <w:r w:rsidRPr="00381659">
              <w:rPr>
                <w:rFonts w:asciiTheme="minorHAnsi" w:hAnsiTheme="minorHAnsi" w:cstheme="minorHAnsi"/>
                <w:color w:val="00305C"/>
                <w:szCs w:val="19"/>
              </w:rPr>
              <w:t>James Arnold (Investor Relations)</w:t>
            </w:r>
          </w:p>
          <w:p w:rsidR="003374EE" w:rsidRPr="00381659" w:rsidRDefault="003374EE" w:rsidP="00B34934">
            <w:pPr>
              <w:spacing w:after="40"/>
              <w:rPr>
                <w:rFonts w:asciiTheme="minorHAnsi" w:hAnsiTheme="minorHAnsi" w:cstheme="minorHAnsi"/>
                <w:color w:val="00305C"/>
                <w:szCs w:val="19"/>
                <w:lang w:eastAsia="en-GB"/>
              </w:rPr>
            </w:pPr>
            <w:r w:rsidRPr="00381659">
              <w:rPr>
                <w:rFonts w:asciiTheme="minorHAnsi" w:hAnsiTheme="minorHAnsi" w:cstheme="minorHAnsi"/>
                <w:color w:val="00305C"/>
                <w:szCs w:val="19"/>
              </w:rPr>
              <w:t>George Cazenove (Media Relations)</w:t>
            </w:r>
          </w:p>
        </w:tc>
        <w:tc>
          <w:tcPr>
            <w:tcW w:w="3166" w:type="dxa"/>
          </w:tcPr>
          <w:p w:rsidR="003374EE" w:rsidRPr="00381659" w:rsidRDefault="003374EE" w:rsidP="00B34934">
            <w:pPr>
              <w:spacing w:after="40"/>
              <w:rPr>
                <w:rFonts w:asciiTheme="minorHAnsi" w:hAnsiTheme="minorHAnsi" w:cstheme="minorHAnsi"/>
                <w:b/>
                <w:color w:val="00305C"/>
                <w:szCs w:val="19"/>
              </w:rPr>
            </w:pPr>
            <w:r w:rsidRPr="00381659">
              <w:rPr>
                <w:rFonts w:asciiTheme="minorHAnsi" w:hAnsiTheme="minorHAnsi" w:cstheme="minorHAnsi"/>
                <w:b/>
                <w:color w:val="00305C"/>
                <w:szCs w:val="19"/>
              </w:rPr>
              <w:t>Citigate Dewe Rogerson</w:t>
            </w:r>
          </w:p>
          <w:p w:rsidR="003374EE" w:rsidRPr="00381659" w:rsidRDefault="003374EE" w:rsidP="00B34934">
            <w:pPr>
              <w:spacing w:after="40"/>
              <w:rPr>
                <w:rFonts w:asciiTheme="minorHAnsi" w:hAnsiTheme="minorHAnsi" w:cstheme="minorHAnsi"/>
                <w:b/>
                <w:color w:val="00305C"/>
                <w:szCs w:val="19"/>
              </w:rPr>
            </w:pPr>
            <w:r w:rsidRPr="00381659">
              <w:rPr>
                <w:rFonts w:asciiTheme="minorHAnsi" w:hAnsiTheme="minorHAnsi" w:cstheme="minorHAnsi"/>
                <w:color w:val="00305C"/>
                <w:szCs w:val="19"/>
              </w:rPr>
              <w:t>(London)</w:t>
            </w:r>
            <w:r w:rsidRPr="00381659">
              <w:rPr>
                <w:rFonts w:asciiTheme="minorHAnsi" w:hAnsiTheme="minorHAnsi" w:cstheme="minorHAnsi"/>
                <w:b/>
                <w:color w:val="00305C"/>
                <w:szCs w:val="19"/>
              </w:rPr>
              <w:t xml:space="preserve"> </w:t>
            </w:r>
          </w:p>
          <w:p w:rsidR="003374EE" w:rsidRPr="00381659" w:rsidRDefault="003374EE" w:rsidP="00B34934">
            <w:pPr>
              <w:spacing w:after="40"/>
              <w:rPr>
                <w:rFonts w:asciiTheme="minorHAnsi" w:hAnsiTheme="minorHAnsi" w:cstheme="minorHAnsi"/>
                <w:color w:val="00305C"/>
                <w:szCs w:val="19"/>
              </w:rPr>
            </w:pPr>
            <w:r w:rsidRPr="00381659">
              <w:rPr>
                <w:rFonts w:asciiTheme="minorHAnsi" w:hAnsiTheme="minorHAnsi" w:cstheme="minorHAnsi"/>
                <w:color w:val="00305C"/>
                <w:szCs w:val="19"/>
              </w:rPr>
              <w:t xml:space="preserve">(+44 207 638 9571) </w:t>
            </w:r>
          </w:p>
          <w:p w:rsidR="003374EE" w:rsidRPr="00381659" w:rsidRDefault="003374EE" w:rsidP="00B34934">
            <w:pPr>
              <w:spacing w:after="40"/>
              <w:rPr>
                <w:rFonts w:asciiTheme="minorHAnsi" w:hAnsiTheme="minorHAnsi" w:cstheme="minorHAnsi"/>
                <w:color w:val="00305C"/>
                <w:szCs w:val="19"/>
              </w:rPr>
            </w:pPr>
            <w:r w:rsidRPr="00381659">
              <w:rPr>
                <w:rFonts w:asciiTheme="minorHAnsi" w:hAnsiTheme="minorHAnsi" w:cstheme="minorHAnsi"/>
                <w:color w:val="00305C"/>
                <w:szCs w:val="19"/>
              </w:rPr>
              <w:t>Martin Jackson</w:t>
            </w:r>
          </w:p>
          <w:p w:rsidR="003374EE" w:rsidRPr="00381659" w:rsidRDefault="003374EE" w:rsidP="00B34934">
            <w:pPr>
              <w:spacing w:after="40"/>
              <w:rPr>
                <w:rFonts w:asciiTheme="minorHAnsi" w:hAnsiTheme="minorHAnsi" w:cstheme="minorHAnsi"/>
                <w:color w:val="00305C"/>
                <w:szCs w:val="19"/>
              </w:rPr>
            </w:pPr>
            <w:r w:rsidRPr="00381659">
              <w:rPr>
                <w:rFonts w:asciiTheme="minorHAnsi" w:hAnsiTheme="minorHAnsi" w:cstheme="minorHAnsi"/>
                <w:color w:val="00305C"/>
                <w:szCs w:val="19"/>
                <w:lang w:eastAsia="en-GB"/>
              </w:rPr>
              <w:t>Priscilla Garcia</w:t>
            </w:r>
          </w:p>
        </w:tc>
        <w:tc>
          <w:tcPr>
            <w:tcW w:w="3166" w:type="dxa"/>
          </w:tcPr>
          <w:p w:rsidR="003374EE" w:rsidRPr="00381659" w:rsidRDefault="003374EE" w:rsidP="00B34934">
            <w:pPr>
              <w:spacing w:after="40"/>
              <w:rPr>
                <w:rFonts w:asciiTheme="minorHAnsi" w:hAnsiTheme="minorHAnsi" w:cstheme="minorHAnsi"/>
                <w:b/>
                <w:color w:val="00305C"/>
                <w:szCs w:val="19"/>
              </w:rPr>
            </w:pPr>
            <w:r w:rsidRPr="00381659">
              <w:rPr>
                <w:rFonts w:asciiTheme="minorHAnsi" w:hAnsiTheme="minorHAnsi" w:cstheme="minorHAnsi"/>
                <w:b/>
                <w:color w:val="00305C"/>
                <w:szCs w:val="19"/>
              </w:rPr>
              <w:t xml:space="preserve">Murray Consultants </w:t>
            </w:r>
          </w:p>
          <w:p w:rsidR="003374EE" w:rsidRPr="00381659" w:rsidRDefault="003374EE" w:rsidP="00B34934">
            <w:pPr>
              <w:spacing w:after="40"/>
              <w:rPr>
                <w:rFonts w:asciiTheme="minorHAnsi" w:hAnsiTheme="minorHAnsi" w:cstheme="minorHAnsi"/>
                <w:color w:val="00305C"/>
                <w:szCs w:val="19"/>
              </w:rPr>
            </w:pPr>
            <w:r w:rsidRPr="00381659">
              <w:rPr>
                <w:rFonts w:asciiTheme="minorHAnsi" w:hAnsiTheme="minorHAnsi" w:cstheme="minorHAnsi"/>
                <w:color w:val="00305C"/>
                <w:szCs w:val="19"/>
              </w:rPr>
              <w:t>(Dublin)</w:t>
            </w:r>
          </w:p>
          <w:p w:rsidR="003374EE" w:rsidRPr="00381659" w:rsidRDefault="003374EE" w:rsidP="00B34934">
            <w:pPr>
              <w:spacing w:after="40"/>
              <w:rPr>
                <w:rFonts w:asciiTheme="minorHAnsi" w:hAnsiTheme="minorHAnsi" w:cstheme="minorHAnsi"/>
                <w:color w:val="00305C"/>
                <w:szCs w:val="19"/>
              </w:rPr>
            </w:pPr>
            <w:r w:rsidRPr="00381659">
              <w:rPr>
                <w:rFonts w:asciiTheme="minorHAnsi" w:hAnsiTheme="minorHAnsi" w:cstheme="minorHAnsi"/>
                <w:color w:val="00305C"/>
                <w:szCs w:val="19"/>
              </w:rPr>
              <w:t xml:space="preserve">(+353 1 498 0300) </w:t>
            </w:r>
          </w:p>
          <w:p w:rsidR="003374EE" w:rsidRPr="00381659" w:rsidRDefault="003374EE" w:rsidP="00B34934">
            <w:pPr>
              <w:spacing w:after="40"/>
              <w:rPr>
                <w:rFonts w:asciiTheme="minorHAnsi" w:hAnsiTheme="minorHAnsi" w:cstheme="minorHAnsi"/>
                <w:color w:val="00305C"/>
                <w:szCs w:val="19"/>
              </w:rPr>
            </w:pPr>
            <w:r w:rsidRPr="00381659">
              <w:rPr>
                <w:rFonts w:asciiTheme="minorHAnsi" w:hAnsiTheme="minorHAnsi" w:cstheme="minorHAnsi"/>
                <w:color w:val="00305C"/>
                <w:szCs w:val="19"/>
              </w:rPr>
              <w:t>Ed Micheau</w:t>
            </w:r>
          </w:p>
          <w:p w:rsidR="003374EE" w:rsidRPr="00381659" w:rsidRDefault="003374EE" w:rsidP="00B34934">
            <w:pPr>
              <w:spacing w:after="40"/>
              <w:rPr>
                <w:rFonts w:asciiTheme="minorHAnsi" w:hAnsiTheme="minorHAnsi" w:cstheme="minorHAnsi"/>
                <w:color w:val="00305C"/>
                <w:szCs w:val="19"/>
              </w:rPr>
            </w:pPr>
            <w:r w:rsidRPr="00381659">
              <w:rPr>
                <w:rFonts w:asciiTheme="minorHAnsi" w:hAnsiTheme="minorHAnsi" w:cstheme="minorHAnsi"/>
                <w:color w:val="00305C"/>
                <w:szCs w:val="19"/>
              </w:rPr>
              <w:t>Joe Heron</w:t>
            </w:r>
          </w:p>
        </w:tc>
      </w:tr>
    </w:tbl>
    <w:p w:rsidR="003374EE" w:rsidRPr="00381659" w:rsidRDefault="003374EE" w:rsidP="003374EE">
      <w:pPr>
        <w:rPr>
          <w:rFonts w:asciiTheme="minorHAnsi" w:hAnsiTheme="minorHAnsi" w:cstheme="minorHAnsi"/>
          <w:b/>
          <w:color w:val="991F36"/>
          <w:szCs w:val="19"/>
        </w:rPr>
      </w:pPr>
    </w:p>
    <w:p w:rsidR="003374EE" w:rsidRPr="00381659" w:rsidRDefault="003374EE" w:rsidP="003374EE">
      <w:pPr>
        <w:spacing w:before="240" w:after="60"/>
        <w:rPr>
          <w:rFonts w:asciiTheme="minorHAnsi" w:hAnsiTheme="minorHAnsi"/>
          <w:b/>
          <w:color w:val="00305C"/>
          <w:sz w:val="22"/>
          <w:szCs w:val="22"/>
        </w:rPr>
      </w:pPr>
      <w:r w:rsidRPr="00381659">
        <w:rPr>
          <w:rFonts w:asciiTheme="minorHAnsi" w:hAnsiTheme="minorHAnsi"/>
          <w:b/>
          <w:color w:val="00305C"/>
          <w:sz w:val="22"/>
          <w:szCs w:val="22"/>
        </w:rPr>
        <w:t>Follow Tullow on:</w:t>
      </w:r>
    </w:p>
    <w:p w:rsidR="000A60D4" w:rsidRPr="009E3F59" w:rsidRDefault="003374EE" w:rsidP="00744AF7">
      <w:pPr>
        <w:spacing w:beforeLines="30" w:before="72"/>
        <w:rPr>
          <w:rFonts w:asciiTheme="minorHAnsi" w:hAnsiTheme="minorHAnsi" w:cstheme="minorHAnsi"/>
          <w:color w:val="5F5F5F"/>
          <w:szCs w:val="19"/>
        </w:rPr>
      </w:pPr>
      <w:r w:rsidRPr="00381659">
        <w:rPr>
          <w:rFonts w:asciiTheme="minorHAnsi" w:hAnsiTheme="minorHAnsi" w:cstheme="minorHAnsi"/>
          <w:color w:val="5F5F5F"/>
          <w:szCs w:val="19"/>
        </w:rPr>
        <w:t>Twitter:</w:t>
      </w:r>
      <w:r w:rsidRPr="00381659">
        <w:rPr>
          <w:rFonts w:asciiTheme="minorHAnsi" w:hAnsiTheme="minorHAnsi" w:cstheme="minorHAnsi"/>
          <w:color w:val="5F5F5F"/>
          <w:szCs w:val="19"/>
          <w:lang w:val="en-US"/>
        </w:rPr>
        <w:t xml:space="preserve"> </w:t>
      </w:r>
      <w:hyperlink r:id="rId14" w:history="1">
        <w:r w:rsidRPr="00381659">
          <w:rPr>
            <w:rFonts w:asciiTheme="minorHAnsi" w:hAnsiTheme="minorHAnsi" w:cstheme="minorHAnsi"/>
            <w:color w:val="5F5F5F"/>
            <w:szCs w:val="19"/>
            <w:u w:val="single"/>
          </w:rPr>
          <w:t>www.twitter.com/TullowOilplc</w:t>
        </w:r>
      </w:hyperlink>
      <w:r w:rsidRPr="00381659">
        <w:rPr>
          <w:rFonts w:asciiTheme="minorHAnsi" w:hAnsiTheme="minorHAnsi" w:cstheme="minorHAnsi"/>
          <w:color w:val="5F5F5F"/>
          <w:szCs w:val="19"/>
        </w:rPr>
        <w:t xml:space="preserve"> </w:t>
      </w:r>
      <w:r w:rsidRPr="00381659">
        <w:rPr>
          <w:rFonts w:asciiTheme="minorHAnsi" w:hAnsiTheme="minorHAnsi" w:cstheme="minorHAnsi"/>
          <w:color w:val="5F5F5F"/>
          <w:szCs w:val="19"/>
        </w:rPr>
        <w:tab/>
      </w:r>
      <w:r w:rsidRPr="00381659">
        <w:rPr>
          <w:rFonts w:asciiTheme="minorHAnsi" w:hAnsiTheme="minorHAnsi" w:cstheme="minorHAnsi"/>
          <w:color w:val="5F5F5F"/>
          <w:szCs w:val="19"/>
        </w:rPr>
        <w:tab/>
      </w:r>
      <w:r w:rsidRPr="00381659">
        <w:rPr>
          <w:rFonts w:asciiTheme="minorHAnsi" w:hAnsiTheme="minorHAnsi" w:cstheme="minorHAnsi"/>
          <w:color w:val="5F5F5F"/>
          <w:szCs w:val="19"/>
        </w:rPr>
        <w:tab/>
      </w:r>
      <w:r w:rsidR="009E3F59">
        <w:rPr>
          <w:rFonts w:asciiTheme="minorHAnsi" w:hAnsiTheme="minorHAnsi" w:cstheme="minorHAnsi"/>
          <w:color w:val="5F5F5F"/>
          <w:szCs w:val="19"/>
        </w:rPr>
        <w:t xml:space="preserve">                                       </w:t>
      </w:r>
      <w:r w:rsidR="00BC0F44">
        <w:rPr>
          <w:rFonts w:asciiTheme="minorHAnsi" w:hAnsiTheme="minorHAnsi" w:cstheme="minorHAnsi"/>
          <w:color w:val="5F5F5F"/>
          <w:szCs w:val="19"/>
        </w:rPr>
        <w:t>You</w:t>
      </w:r>
      <w:r w:rsidRPr="00381659">
        <w:rPr>
          <w:rFonts w:asciiTheme="minorHAnsi" w:hAnsiTheme="minorHAnsi" w:cstheme="minorHAnsi"/>
          <w:color w:val="5F5F5F"/>
          <w:szCs w:val="19"/>
        </w:rPr>
        <w:t>Tube:</w:t>
      </w:r>
      <w:r w:rsidRPr="00381659">
        <w:rPr>
          <w:rFonts w:asciiTheme="minorHAnsi" w:hAnsiTheme="minorHAnsi" w:cstheme="minorHAnsi"/>
          <w:color w:val="5F5F5F"/>
          <w:szCs w:val="19"/>
          <w:lang w:val="en-US"/>
        </w:rPr>
        <w:t xml:space="preserve"> </w:t>
      </w:r>
      <w:hyperlink r:id="rId15" w:history="1">
        <w:r w:rsidRPr="00381659">
          <w:rPr>
            <w:rFonts w:asciiTheme="minorHAnsi" w:hAnsiTheme="minorHAnsi" w:cstheme="minorHAnsi"/>
            <w:color w:val="5F5F5F"/>
            <w:szCs w:val="19"/>
            <w:u w:val="single"/>
          </w:rPr>
          <w:t>www.youtube.com/TullowOilplc</w:t>
        </w:r>
      </w:hyperlink>
      <w:r w:rsidRPr="00381659">
        <w:rPr>
          <w:rFonts w:asciiTheme="minorHAnsi" w:hAnsiTheme="minorHAnsi" w:cstheme="minorHAnsi"/>
          <w:color w:val="5F5F5F"/>
          <w:szCs w:val="19"/>
          <w:lang w:val="en-US"/>
        </w:rPr>
        <w:t xml:space="preserve"> </w:t>
      </w:r>
    </w:p>
    <w:p w:rsidR="000A60D4" w:rsidRPr="009E3F59" w:rsidRDefault="003374EE" w:rsidP="00744AF7">
      <w:pPr>
        <w:spacing w:beforeLines="30" w:before="72"/>
        <w:rPr>
          <w:rFonts w:asciiTheme="minorHAnsi" w:hAnsiTheme="minorHAnsi" w:cstheme="minorHAnsi"/>
          <w:color w:val="5F5F5F"/>
          <w:szCs w:val="19"/>
          <w:lang w:val="en-US"/>
        </w:rPr>
      </w:pPr>
      <w:r w:rsidRPr="00381659">
        <w:rPr>
          <w:rFonts w:asciiTheme="minorHAnsi" w:hAnsiTheme="minorHAnsi" w:cstheme="minorHAnsi"/>
          <w:color w:val="5F5F5F"/>
          <w:szCs w:val="19"/>
        </w:rPr>
        <w:t>Facebook:</w:t>
      </w:r>
      <w:r w:rsidRPr="00381659">
        <w:rPr>
          <w:rFonts w:asciiTheme="minorHAnsi" w:hAnsiTheme="minorHAnsi" w:cstheme="minorHAnsi"/>
          <w:color w:val="5F5F5F"/>
          <w:szCs w:val="19"/>
          <w:lang w:val="en-US"/>
        </w:rPr>
        <w:t xml:space="preserve"> </w:t>
      </w:r>
      <w:hyperlink r:id="rId16" w:history="1">
        <w:r w:rsidRPr="00381659">
          <w:rPr>
            <w:rFonts w:asciiTheme="minorHAnsi" w:hAnsiTheme="minorHAnsi" w:cstheme="minorHAnsi"/>
            <w:color w:val="5F5F5F"/>
            <w:szCs w:val="19"/>
            <w:u w:val="single"/>
          </w:rPr>
          <w:t>www.facebook.com/TullowOilplc</w:t>
        </w:r>
      </w:hyperlink>
      <w:r w:rsidRPr="00381659">
        <w:rPr>
          <w:rFonts w:asciiTheme="minorHAnsi" w:hAnsiTheme="minorHAnsi" w:cstheme="minorHAnsi"/>
          <w:color w:val="5F5F5F"/>
          <w:szCs w:val="19"/>
          <w:lang w:val="en-US"/>
        </w:rPr>
        <w:t xml:space="preserve"> </w:t>
      </w:r>
      <w:r w:rsidRPr="00381659">
        <w:rPr>
          <w:rFonts w:asciiTheme="minorHAnsi" w:hAnsiTheme="minorHAnsi" w:cstheme="minorHAnsi"/>
          <w:color w:val="5F5F5F"/>
          <w:szCs w:val="19"/>
          <w:lang w:val="en-US"/>
        </w:rPr>
        <w:tab/>
      </w:r>
      <w:r w:rsidRPr="00381659">
        <w:rPr>
          <w:rFonts w:asciiTheme="minorHAnsi" w:hAnsiTheme="minorHAnsi" w:cstheme="minorHAnsi"/>
          <w:color w:val="5F5F5F"/>
          <w:szCs w:val="19"/>
          <w:lang w:val="en-US"/>
        </w:rPr>
        <w:tab/>
      </w:r>
      <w:r w:rsidRPr="00381659">
        <w:rPr>
          <w:rFonts w:asciiTheme="minorHAnsi" w:hAnsiTheme="minorHAnsi" w:cstheme="minorHAnsi"/>
          <w:color w:val="5F5F5F"/>
          <w:szCs w:val="19"/>
          <w:lang w:val="en-US"/>
        </w:rPr>
        <w:tab/>
      </w:r>
      <w:r w:rsidR="009E3F59">
        <w:rPr>
          <w:rFonts w:asciiTheme="minorHAnsi" w:hAnsiTheme="minorHAnsi" w:cstheme="minorHAnsi"/>
          <w:color w:val="5F5F5F"/>
          <w:szCs w:val="19"/>
          <w:lang w:val="en-US"/>
        </w:rPr>
        <w:t xml:space="preserve">                                </w:t>
      </w:r>
      <w:r w:rsidRPr="00381659">
        <w:rPr>
          <w:rFonts w:asciiTheme="minorHAnsi" w:hAnsiTheme="minorHAnsi" w:cstheme="minorHAnsi"/>
          <w:color w:val="5F5F5F"/>
          <w:szCs w:val="19"/>
        </w:rPr>
        <w:t>LinkedIn:</w:t>
      </w:r>
      <w:r w:rsidRPr="00381659">
        <w:rPr>
          <w:rFonts w:asciiTheme="minorHAnsi" w:hAnsiTheme="minorHAnsi" w:cstheme="minorHAnsi"/>
          <w:color w:val="5F5F5F"/>
          <w:szCs w:val="19"/>
          <w:lang w:val="en-US"/>
        </w:rPr>
        <w:t xml:space="preserve"> </w:t>
      </w:r>
      <w:hyperlink r:id="rId17" w:history="1">
        <w:r w:rsidRPr="00381659">
          <w:rPr>
            <w:rFonts w:asciiTheme="minorHAnsi" w:hAnsiTheme="minorHAnsi" w:cstheme="minorHAnsi"/>
            <w:color w:val="5F5F5F"/>
            <w:szCs w:val="19"/>
            <w:u w:val="single"/>
          </w:rPr>
          <w:t>www.linkedin.com/company/Tullow-Oil</w:t>
        </w:r>
      </w:hyperlink>
    </w:p>
    <w:p w:rsidR="003374EE" w:rsidRPr="009E3F59" w:rsidRDefault="003374EE" w:rsidP="009E3F59">
      <w:pPr>
        <w:spacing w:beforeLines="30" w:before="72"/>
        <w:rPr>
          <w:rFonts w:asciiTheme="minorHAnsi" w:hAnsiTheme="minorHAnsi" w:cstheme="minorHAnsi"/>
          <w:color w:val="5F5F5F"/>
          <w:szCs w:val="19"/>
        </w:rPr>
      </w:pPr>
      <w:r w:rsidRPr="00381659">
        <w:rPr>
          <w:rFonts w:asciiTheme="minorHAnsi" w:hAnsiTheme="minorHAnsi" w:cstheme="minorHAnsi"/>
          <w:color w:val="5F5F5F"/>
          <w:szCs w:val="19"/>
        </w:rPr>
        <w:t>IR App:</w:t>
      </w:r>
      <w:r w:rsidRPr="00381659">
        <w:rPr>
          <w:rFonts w:asciiTheme="minorHAnsi" w:hAnsiTheme="minorHAnsi" w:cstheme="minorHAnsi"/>
          <w:color w:val="5F5F5F"/>
          <w:szCs w:val="19"/>
          <w:lang w:val="en-US"/>
        </w:rPr>
        <w:t xml:space="preserve"> </w:t>
      </w:r>
      <w:hyperlink r:id="rId18" w:history="1">
        <w:r w:rsidRPr="00381659">
          <w:rPr>
            <w:rStyle w:val="Hyperlink"/>
            <w:rFonts w:asciiTheme="minorHAnsi" w:hAnsiTheme="minorHAnsi" w:cstheme="minorHAnsi"/>
            <w:color w:val="5F5F5F"/>
            <w:szCs w:val="19"/>
            <w:lang w:val="en-US"/>
          </w:rPr>
          <w:t>bit.ly/TullowApp</w:t>
        </w:r>
      </w:hyperlink>
      <w:r w:rsidRPr="00381659">
        <w:rPr>
          <w:rFonts w:asciiTheme="minorHAnsi" w:hAnsiTheme="minorHAnsi" w:cstheme="minorHAnsi"/>
          <w:color w:val="5F5F5F"/>
          <w:szCs w:val="19"/>
          <w:lang w:val="en-US"/>
        </w:rPr>
        <w:t xml:space="preserve"> </w:t>
      </w:r>
      <w:r w:rsidRPr="00381659">
        <w:rPr>
          <w:rFonts w:asciiTheme="minorHAnsi" w:hAnsiTheme="minorHAnsi" w:cstheme="minorHAnsi"/>
          <w:color w:val="5F5F5F"/>
          <w:szCs w:val="19"/>
        </w:rPr>
        <w:tab/>
      </w:r>
      <w:r w:rsidRPr="00381659">
        <w:rPr>
          <w:rFonts w:asciiTheme="minorHAnsi" w:hAnsiTheme="minorHAnsi" w:cstheme="minorHAnsi"/>
          <w:color w:val="5F5F5F"/>
          <w:szCs w:val="19"/>
        </w:rPr>
        <w:tab/>
      </w:r>
      <w:r w:rsidRPr="00381659">
        <w:rPr>
          <w:rFonts w:asciiTheme="minorHAnsi" w:hAnsiTheme="minorHAnsi" w:cstheme="minorHAnsi"/>
          <w:color w:val="5F5F5F"/>
          <w:szCs w:val="19"/>
        </w:rPr>
        <w:tab/>
      </w:r>
      <w:r w:rsidRPr="00381659">
        <w:rPr>
          <w:rFonts w:asciiTheme="minorHAnsi" w:hAnsiTheme="minorHAnsi" w:cstheme="minorHAnsi"/>
          <w:color w:val="5F5F5F"/>
          <w:szCs w:val="19"/>
        </w:rPr>
        <w:tab/>
      </w:r>
      <w:r w:rsidRPr="00381659">
        <w:rPr>
          <w:rFonts w:asciiTheme="minorHAnsi" w:hAnsiTheme="minorHAnsi" w:cstheme="minorHAnsi"/>
          <w:color w:val="5F5F5F"/>
          <w:szCs w:val="19"/>
        </w:rPr>
        <w:tab/>
      </w:r>
      <w:r w:rsidR="009E3F59">
        <w:rPr>
          <w:rFonts w:asciiTheme="minorHAnsi" w:hAnsiTheme="minorHAnsi" w:cstheme="minorHAnsi"/>
          <w:color w:val="5F5F5F"/>
          <w:szCs w:val="19"/>
        </w:rPr>
        <w:t xml:space="preserve">                                                                 </w:t>
      </w:r>
      <w:r w:rsidRPr="00381659">
        <w:rPr>
          <w:rFonts w:asciiTheme="minorHAnsi" w:hAnsiTheme="minorHAnsi" w:cstheme="minorHAnsi"/>
          <w:color w:val="5F5F5F"/>
          <w:szCs w:val="19"/>
        </w:rPr>
        <w:t>Website:</w:t>
      </w:r>
      <w:r w:rsidRPr="00381659">
        <w:rPr>
          <w:rFonts w:asciiTheme="minorHAnsi" w:hAnsiTheme="minorHAnsi" w:cstheme="minorHAnsi"/>
          <w:color w:val="5F5F5F"/>
          <w:szCs w:val="19"/>
          <w:lang w:val="en-US"/>
        </w:rPr>
        <w:t xml:space="preserve"> </w:t>
      </w:r>
      <w:hyperlink r:id="rId19" w:history="1">
        <w:r w:rsidRPr="00381659">
          <w:rPr>
            <w:rStyle w:val="Hyperlink"/>
            <w:rFonts w:asciiTheme="minorHAnsi" w:hAnsiTheme="minorHAnsi" w:cstheme="minorHAnsi"/>
            <w:color w:val="5F5F5F"/>
            <w:szCs w:val="19"/>
            <w:lang w:val="en-US"/>
          </w:rPr>
          <w:t>www.tullowoil.com</w:t>
        </w:r>
      </w:hyperlink>
      <w:r w:rsidRPr="00381659">
        <w:rPr>
          <w:rFonts w:asciiTheme="minorHAnsi" w:hAnsiTheme="minorHAnsi" w:cstheme="minorHAnsi"/>
          <w:color w:val="1F497D"/>
          <w:szCs w:val="19"/>
          <w:lang w:val="en-US"/>
        </w:rPr>
        <w:t xml:space="preserve">  </w:t>
      </w:r>
    </w:p>
    <w:sectPr w:rsidR="003374EE" w:rsidRPr="009E3F59" w:rsidSect="007152F7">
      <w:footerReference w:type="even" r:id="rId20"/>
      <w:footerReference w:type="default" r:id="rId21"/>
      <w:pgSz w:w="11906" w:h="16838" w:code="9"/>
      <w:pgMar w:top="851" w:right="1274" w:bottom="1134" w:left="1134" w:header="709" w:footer="34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34676" w:rsidRDefault="00434676">
      <w:r>
        <w:separator/>
      </w:r>
    </w:p>
    <w:p w:rsidR="00434676" w:rsidRDefault="00434676"/>
    <w:p w:rsidR="00434676" w:rsidRDefault="00434676"/>
    <w:p w:rsidR="00434676" w:rsidRDefault="00434676"/>
    <w:p w:rsidR="00434676" w:rsidRDefault="00434676"/>
  </w:endnote>
  <w:endnote w:type="continuationSeparator" w:id="0">
    <w:p w:rsidR="00434676" w:rsidRDefault="00434676">
      <w:r>
        <w:continuationSeparator/>
      </w:r>
    </w:p>
    <w:p w:rsidR="00434676" w:rsidRDefault="00434676"/>
    <w:p w:rsidR="00434676" w:rsidRDefault="00434676"/>
    <w:p w:rsidR="00434676" w:rsidRDefault="00434676"/>
    <w:p w:rsidR="00434676" w:rsidRDefault="0043467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Franklin Gothic Demi">
    <w:panose1 w:val="020B07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DINOT-Light">
    <w:altName w:val="MS Mincho"/>
    <w:panose1 w:val="00000000000000000000"/>
    <w:charset w:val="00"/>
    <w:family w:val="modern"/>
    <w:notTrueType/>
    <w:pitch w:val="variable"/>
    <w:sig w:usb0="800000AF" w:usb1="4000206A" w:usb2="00000000" w:usb3="00000000" w:csb0="00000001" w:csb1="00000000"/>
  </w:font>
  <w:font w:name="Calibri">
    <w:panose1 w:val="020F0502020204030204"/>
    <w:charset w:val="00"/>
    <w:family w:val="swiss"/>
    <w:pitch w:val="variable"/>
    <w:sig w:usb0="E00002FF" w:usb1="4000ACFF" w:usb2="00000001" w:usb3="00000000" w:csb0="0000019F" w:csb1="00000000"/>
  </w:font>
  <w:font w:name="DINOT-Medium">
    <w:panose1 w:val="00000000000000000000"/>
    <w:charset w:val="00"/>
    <w:family w:val="modern"/>
    <w:notTrueType/>
    <w:pitch w:val="variable"/>
    <w:sig w:usb0="800000AF" w:usb1="4000206A" w:usb2="00000000" w:usb3="00000000" w:csb0="00000001" w:csb1="00000000"/>
  </w:font>
  <w:font w:name="DIN OT Light">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34676" w:rsidRDefault="00434676">
    <w:pPr>
      <w:pStyle w:val="Footer"/>
      <w:framePr w:wrap="around" w:vAnchor="text" w:hAnchor="margin" w:xAlign="right" w:y="1"/>
      <w:ind w:right="0"/>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26</w:t>
    </w:r>
    <w:r>
      <w:rPr>
        <w:rStyle w:val="PageNumber"/>
      </w:rPr>
      <w:fldChar w:fldCharType="end"/>
    </w:r>
  </w:p>
  <w:p w:rsidR="00434676" w:rsidRDefault="00434676">
    <w:pPr>
      <w:pStyle w:val="Footer"/>
      <w:ind w:left="5103" w:firstLine="709"/>
      <w:rPr>
        <w:rFonts w:ascii="Franklin Gothic Book" w:hAnsi="Franklin Gothic Book"/>
        <w:color w:val="002B45"/>
        <w:sz w:val="14"/>
        <w:szCs w:val="14"/>
      </w:rPr>
    </w:pPr>
    <w:r>
      <w:rPr>
        <w:color w:val="002B45"/>
      </w:rPr>
      <w:tab/>
    </w:r>
    <w:r>
      <w:rPr>
        <w:color w:val="002B45"/>
      </w:rPr>
      <w:tab/>
      <w:t xml:space="preserve">Tullow Oil plc </w:t>
    </w:r>
    <w:r>
      <w:rPr>
        <w:rFonts w:ascii="Franklin Gothic Book" w:hAnsi="Franklin Gothic Book"/>
        <w:color w:val="943634"/>
        <w:szCs w:val="16"/>
      </w:rPr>
      <w:t xml:space="preserve">2008 Results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inorHAnsi" w:hAnsiTheme="minorHAnsi"/>
        <w:sz w:val="18"/>
        <w:szCs w:val="18"/>
      </w:rPr>
      <w:id w:val="-285506432"/>
      <w:docPartObj>
        <w:docPartGallery w:val="Page Numbers (Bottom of Page)"/>
        <w:docPartUnique/>
      </w:docPartObj>
    </w:sdtPr>
    <w:sdtEndPr/>
    <w:sdtContent>
      <w:sdt>
        <w:sdtPr>
          <w:rPr>
            <w:rFonts w:asciiTheme="minorHAnsi" w:hAnsiTheme="minorHAnsi"/>
            <w:sz w:val="18"/>
            <w:szCs w:val="18"/>
          </w:rPr>
          <w:id w:val="98381352"/>
          <w:docPartObj>
            <w:docPartGallery w:val="Page Numbers (Top of Page)"/>
            <w:docPartUnique/>
          </w:docPartObj>
        </w:sdtPr>
        <w:sdtEndPr/>
        <w:sdtContent>
          <w:p w:rsidR="00434676" w:rsidRPr="00F83E0B" w:rsidRDefault="0026122B" w:rsidP="00F83E0B">
            <w:pPr>
              <w:pStyle w:val="Footer"/>
              <w:ind w:left="0" w:right="-1"/>
              <w:rPr>
                <w:rFonts w:asciiTheme="minorHAnsi" w:hAnsiTheme="minorHAnsi"/>
                <w:sz w:val="18"/>
                <w:szCs w:val="18"/>
              </w:rPr>
            </w:pPr>
            <w:r>
              <w:rPr>
                <w:rFonts w:asciiTheme="minorHAnsi" w:hAnsiTheme="minorHAnsi"/>
                <w:noProof/>
                <w:color w:val="00305C"/>
                <w:sz w:val="18"/>
                <w:szCs w:val="18"/>
                <w:lang w:eastAsia="en-GB"/>
              </w:rPr>
              <mc:AlternateContent>
                <mc:Choice Requires="wps">
                  <w:drawing>
                    <wp:anchor distT="0" distB="0" distL="114300" distR="114300" simplePos="0" relativeHeight="251658240" behindDoc="0" locked="0" layoutInCell="1" allowOverlap="1">
                      <wp:simplePos x="0" y="0"/>
                      <wp:positionH relativeFrom="column">
                        <wp:posOffset>-83820</wp:posOffset>
                      </wp:positionH>
                      <wp:positionV relativeFrom="paragraph">
                        <wp:posOffset>-43815</wp:posOffset>
                      </wp:positionV>
                      <wp:extent cx="3832860" cy="301625"/>
                      <wp:effectExtent l="0" t="0" r="0" b="3175"/>
                      <wp:wrapNone/>
                      <wp:docPr id="3"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32860"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34676" w:rsidRPr="00A7282B" w:rsidRDefault="00434676" w:rsidP="00F83E0B">
                                  <w:pPr>
                                    <w:rPr>
                                      <w:rFonts w:asciiTheme="minorHAnsi" w:hAnsiTheme="minorHAnsi"/>
                                      <w:color w:val="5F5F5F"/>
                                    </w:rPr>
                                  </w:pPr>
                                  <w:r w:rsidRPr="00A7282B">
                                    <w:rPr>
                                      <w:rFonts w:asciiTheme="minorHAnsi" w:hAnsiTheme="minorHAnsi"/>
                                      <w:b/>
                                      <w:color w:val="00305C"/>
                                      <w:szCs w:val="19"/>
                                    </w:rPr>
                                    <w:t xml:space="preserve">Tullow Oil plc </w:t>
                                  </w:r>
                                  <w:r>
                                    <w:rPr>
                                      <w:rFonts w:asciiTheme="minorHAnsi" w:hAnsiTheme="minorHAnsi"/>
                                      <w:b/>
                                      <w:color w:val="5F5F5F"/>
                                      <w:szCs w:val="19"/>
                                    </w:rPr>
                                    <w:t>–</w:t>
                                  </w:r>
                                  <w:r w:rsidRPr="00A7282B">
                                    <w:rPr>
                                      <w:rFonts w:asciiTheme="minorHAnsi" w:hAnsiTheme="minorHAnsi"/>
                                      <w:color w:val="5F5F5F"/>
                                      <w:szCs w:val="19"/>
                                    </w:rPr>
                                    <w:t xml:space="preserve"> </w:t>
                                  </w:r>
                                  <w:r>
                                    <w:rPr>
                                      <w:rFonts w:asciiTheme="minorHAnsi" w:hAnsiTheme="minorHAnsi"/>
                                      <w:color w:val="5F5F5F"/>
                                      <w:szCs w:val="19"/>
                                    </w:rPr>
                                    <w:t>2013 Full Year Results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6.6pt;margin-top:-3.45pt;width:301.8pt;height:23.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" filled="f" stroked="f">
                      <v:textbox>
                        <w:txbxContent>
                          <w:p w:rsidR="00434676" w:rsidRPr="00A7282B" w:rsidRDefault="00434676" w:rsidP="00F83E0B">
                            <w:pPr>
                              <w:rPr>
                                <w:rFonts w:asciiTheme="minorHAnsi" w:hAnsiTheme="minorHAnsi"/>
                                <w:color w:val="5F5F5F"/>
                              </w:rPr>
                            </w:pPr>
                            <w:r w:rsidRPr="00A7282B">
                              <w:rPr>
                                <w:rFonts w:asciiTheme="minorHAnsi" w:hAnsiTheme="minorHAnsi"/>
                                <w:b/>
                                <w:color w:val="00305C"/>
                                <w:szCs w:val="19"/>
                              </w:rPr>
                              <w:t xml:space="preserve">Tullow Oil plc </w:t>
                            </w:r>
                            <w:r>
                              <w:rPr>
                                <w:rFonts w:asciiTheme="minorHAnsi" w:hAnsiTheme="minorHAnsi"/>
                                <w:b/>
                                <w:color w:val="5F5F5F"/>
                                <w:szCs w:val="19"/>
                              </w:rPr>
                              <w:t>–</w:t>
                            </w:r>
                            <w:r w:rsidRPr="00A7282B">
                              <w:rPr>
                                <w:rFonts w:asciiTheme="minorHAnsi" w:hAnsiTheme="minorHAnsi"/>
                                <w:color w:val="5F5F5F"/>
                                <w:szCs w:val="19"/>
                              </w:rPr>
                              <w:t xml:space="preserve"> </w:t>
                            </w:r>
                            <w:r>
                              <w:rPr>
                                <w:rFonts w:asciiTheme="minorHAnsi" w:hAnsiTheme="minorHAnsi"/>
                                <w:color w:val="5F5F5F"/>
                                <w:szCs w:val="19"/>
                              </w:rPr>
                              <w:t>2013 Full Year Results</w:t>
                            </w:r>
                          </w:p>
                        </w:txbxContent>
                      </v:textbox>
                    </v:shape>
                  </w:pict>
                </mc:Fallback>
              </mc:AlternateContent>
            </w:r>
            <w:r w:rsidR="00434676" w:rsidRPr="000C3FB5">
              <w:rPr>
                <w:rFonts w:asciiTheme="minorHAnsi" w:hAnsiTheme="minorHAnsi"/>
                <w:color w:val="00305C"/>
                <w:sz w:val="18"/>
                <w:szCs w:val="18"/>
              </w:rPr>
              <w:t xml:space="preserve">Page </w:t>
            </w:r>
            <w:r w:rsidR="00434676" w:rsidRPr="000C3FB5">
              <w:rPr>
                <w:rFonts w:asciiTheme="minorHAnsi" w:hAnsiTheme="minorHAnsi"/>
                <w:b/>
                <w:bCs/>
                <w:color w:val="00305C"/>
                <w:sz w:val="18"/>
                <w:szCs w:val="18"/>
              </w:rPr>
              <w:fldChar w:fldCharType="begin"/>
            </w:r>
            <w:r w:rsidR="00434676" w:rsidRPr="000C3FB5">
              <w:rPr>
                <w:rFonts w:asciiTheme="minorHAnsi" w:hAnsiTheme="minorHAnsi"/>
                <w:b/>
                <w:bCs/>
                <w:color w:val="00305C"/>
                <w:sz w:val="18"/>
                <w:szCs w:val="18"/>
              </w:rPr>
              <w:instrText xml:space="preserve"> PAGE </w:instrText>
            </w:r>
            <w:r w:rsidR="00434676" w:rsidRPr="000C3FB5">
              <w:rPr>
                <w:rFonts w:asciiTheme="minorHAnsi" w:hAnsiTheme="minorHAnsi"/>
                <w:b/>
                <w:bCs/>
                <w:color w:val="00305C"/>
                <w:sz w:val="18"/>
                <w:szCs w:val="18"/>
              </w:rPr>
              <w:fldChar w:fldCharType="separate"/>
            </w:r>
            <w:r w:rsidR="00523A48">
              <w:rPr>
                <w:rFonts w:asciiTheme="minorHAnsi" w:hAnsiTheme="minorHAnsi"/>
                <w:b/>
                <w:bCs/>
                <w:noProof/>
                <w:color w:val="00305C"/>
                <w:sz w:val="18"/>
                <w:szCs w:val="18"/>
              </w:rPr>
              <w:t>2</w:t>
            </w:r>
            <w:r w:rsidR="00434676" w:rsidRPr="000C3FB5">
              <w:rPr>
                <w:rFonts w:asciiTheme="minorHAnsi" w:hAnsiTheme="minorHAnsi"/>
                <w:b/>
                <w:bCs/>
                <w:color w:val="00305C"/>
                <w:sz w:val="18"/>
                <w:szCs w:val="18"/>
              </w:rPr>
              <w:fldChar w:fldCharType="end"/>
            </w:r>
            <w:r w:rsidR="00434676" w:rsidRPr="000C3FB5">
              <w:rPr>
                <w:rFonts w:asciiTheme="minorHAnsi" w:hAnsiTheme="minorHAnsi"/>
                <w:color w:val="00305C"/>
                <w:sz w:val="18"/>
                <w:szCs w:val="18"/>
              </w:rPr>
              <w:t xml:space="preserve"> of </w:t>
            </w:r>
            <w:r w:rsidR="00434676" w:rsidRPr="000C3FB5">
              <w:rPr>
                <w:rFonts w:asciiTheme="minorHAnsi" w:hAnsiTheme="minorHAnsi"/>
                <w:b/>
                <w:bCs/>
                <w:color w:val="00305C"/>
                <w:sz w:val="18"/>
                <w:szCs w:val="18"/>
              </w:rPr>
              <w:fldChar w:fldCharType="begin"/>
            </w:r>
            <w:r w:rsidR="00434676" w:rsidRPr="000C3FB5">
              <w:rPr>
                <w:rFonts w:asciiTheme="minorHAnsi" w:hAnsiTheme="minorHAnsi"/>
                <w:b/>
                <w:bCs/>
                <w:color w:val="00305C"/>
                <w:sz w:val="18"/>
                <w:szCs w:val="18"/>
              </w:rPr>
              <w:instrText xml:space="preserve"> NUMPAGES  </w:instrText>
            </w:r>
            <w:r w:rsidR="00434676" w:rsidRPr="000C3FB5">
              <w:rPr>
                <w:rFonts w:asciiTheme="minorHAnsi" w:hAnsiTheme="minorHAnsi"/>
                <w:b/>
                <w:bCs/>
                <w:color w:val="00305C"/>
                <w:sz w:val="18"/>
                <w:szCs w:val="18"/>
              </w:rPr>
              <w:fldChar w:fldCharType="separate"/>
            </w:r>
            <w:r w:rsidR="00523A48">
              <w:rPr>
                <w:rFonts w:asciiTheme="minorHAnsi" w:hAnsiTheme="minorHAnsi"/>
                <w:b/>
                <w:bCs/>
                <w:noProof/>
                <w:color w:val="00305C"/>
                <w:sz w:val="18"/>
                <w:szCs w:val="18"/>
              </w:rPr>
              <w:t>27</w:t>
            </w:r>
            <w:r w:rsidR="00434676" w:rsidRPr="000C3FB5">
              <w:rPr>
                <w:rFonts w:asciiTheme="minorHAnsi" w:hAnsiTheme="minorHAnsi"/>
                <w:b/>
                <w:bCs/>
                <w:color w:val="00305C"/>
                <w:sz w:val="18"/>
                <w:szCs w:val="18"/>
              </w:rPr>
              <w:fldChar w:fldCharType="end"/>
            </w:r>
          </w:p>
        </w:sdtContent>
      </w:sdt>
    </w:sdtContent>
  </w:sdt>
  <w:p w:rsidR="00434676" w:rsidRPr="00BB411D" w:rsidRDefault="00434676">
    <w:pPr>
      <w:pStyle w:val="Footer"/>
      <w:ind w:left="5103" w:firstLine="709"/>
      <w:rPr>
        <w:rFonts w:asciiTheme="minorHAnsi" w:hAnsiTheme="minorHAnsi" w:cstheme="minorHAnsi"/>
        <w:color w:val="002B45"/>
        <w:szCs w:val="16"/>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34676" w:rsidRDefault="00434676">
    <w:pPr>
      <w:pStyle w:val="Footer"/>
      <w:framePr w:wrap="around" w:vAnchor="text" w:hAnchor="margin" w:xAlign="right" w:y="1"/>
      <w:ind w:right="0"/>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26</w:t>
    </w:r>
    <w:r>
      <w:rPr>
        <w:rStyle w:val="PageNumber"/>
      </w:rPr>
      <w:fldChar w:fldCharType="end"/>
    </w:r>
  </w:p>
  <w:p w:rsidR="00434676" w:rsidRDefault="00434676">
    <w:pPr>
      <w:pStyle w:val="Footer"/>
      <w:ind w:left="5103" w:firstLine="709"/>
      <w:rPr>
        <w:rFonts w:ascii="Franklin Gothic Book" w:hAnsi="Franklin Gothic Book"/>
        <w:color w:val="002B45"/>
        <w:sz w:val="14"/>
        <w:szCs w:val="14"/>
      </w:rPr>
    </w:pPr>
    <w:r>
      <w:rPr>
        <w:color w:val="002B45"/>
      </w:rPr>
      <w:tab/>
    </w:r>
    <w:r>
      <w:rPr>
        <w:color w:val="002B45"/>
      </w:rPr>
      <w:tab/>
      <w:t xml:space="preserve">Tullow Oil plc </w:t>
    </w:r>
    <w:r>
      <w:rPr>
        <w:rFonts w:ascii="Franklin Gothic Book" w:hAnsi="Franklin Gothic Book"/>
        <w:color w:val="943634"/>
        <w:szCs w:val="16"/>
      </w:rPr>
      <w:t xml:space="preserve">2008 Results </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inorHAnsi" w:hAnsiTheme="minorHAnsi"/>
        <w:sz w:val="18"/>
        <w:szCs w:val="18"/>
      </w:rPr>
      <w:id w:val="-1271164424"/>
      <w:docPartObj>
        <w:docPartGallery w:val="Page Numbers (Bottom of Page)"/>
        <w:docPartUnique/>
      </w:docPartObj>
    </w:sdtPr>
    <w:sdtEndPr/>
    <w:sdtContent>
      <w:sdt>
        <w:sdtPr>
          <w:rPr>
            <w:rFonts w:asciiTheme="minorHAnsi" w:hAnsiTheme="minorHAnsi"/>
            <w:sz w:val="18"/>
            <w:szCs w:val="18"/>
          </w:rPr>
          <w:id w:val="738056189"/>
          <w:docPartObj>
            <w:docPartGallery w:val="Page Numbers (Top of Page)"/>
            <w:docPartUnique/>
          </w:docPartObj>
        </w:sdtPr>
        <w:sdtEndPr/>
        <w:sdtContent>
          <w:p w:rsidR="00434676" w:rsidRPr="004F290B" w:rsidRDefault="0026122B" w:rsidP="004F290B">
            <w:pPr>
              <w:pStyle w:val="Footer"/>
              <w:ind w:right="-2"/>
              <w:rPr>
                <w:rFonts w:asciiTheme="minorHAnsi" w:hAnsiTheme="minorHAnsi"/>
                <w:sz w:val="18"/>
                <w:szCs w:val="18"/>
              </w:rPr>
            </w:pPr>
            <w:r>
              <w:rPr>
                <w:rFonts w:asciiTheme="minorHAnsi" w:hAnsiTheme="minorHAnsi" w:cstheme="minorHAnsi"/>
                <w:noProof/>
                <w:color w:val="00305C"/>
                <w:szCs w:val="16"/>
                <w:lang w:eastAsia="en-GB"/>
              </w:rPr>
              <mc:AlternateContent>
                <mc:Choice Requires="wps">
                  <w:drawing>
                    <wp:anchor distT="0" distB="0" distL="114300" distR="114300" simplePos="0" relativeHeight="251659264" behindDoc="0" locked="0" layoutInCell="1" allowOverlap="1">
                      <wp:simplePos x="0" y="0"/>
                      <wp:positionH relativeFrom="column">
                        <wp:posOffset>-82550</wp:posOffset>
                      </wp:positionH>
                      <wp:positionV relativeFrom="paragraph">
                        <wp:posOffset>-55245</wp:posOffset>
                      </wp:positionV>
                      <wp:extent cx="3832860" cy="301625"/>
                      <wp:effectExtent l="0" t="0" r="0" b="3175"/>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32860"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34676" w:rsidRPr="00A7282B" w:rsidRDefault="00434676" w:rsidP="004F290B">
                                  <w:pPr>
                                    <w:rPr>
                                      <w:rFonts w:asciiTheme="minorHAnsi" w:hAnsiTheme="minorHAnsi"/>
                                      <w:color w:val="5F5F5F"/>
                                    </w:rPr>
                                  </w:pPr>
                                  <w:r w:rsidRPr="00A7282B">
                                    <w:rPr>
                                      <w:rFonts w:asciiTheme="minorHAnsi" w:hAnsiTheme="minorHAnsi"/>
                                      <w:b/>
                                      <w:color w:val="00305C"/>
                                      <w:szCs w:val="19"/>
                                    </w:rPr>
                                    <w:t xml:space="preserve">Tullow Oil plc </w:t>
                                  </w:r>
                                  <w:r>
                                    <w:rPr>
                                      <w:rFonts w:asciiTheme="minorHAnsi" w:hAnsiTheme="minorHAnsi"/>
                                      <w:b/>
                                      <w:color w:val="5F5F5F"/>
                                      <w:szCs w:val="19"/>
                                    </w:rPr>
                                    <w:t>–</w:t>
                                  </w:r>
                                  <w:r w:rsidRPr="00A7282B">
                                    <w:rPr>
                                      <w:rFonts w:asciiTheme="minorHAnsi" w:hAnsiTheme="minorHAnsi"/>
                                      <w:color w:val="5F5F5F"/>
                                      <w:szCs w:val="19"/>
                                    </w:rPr>
                                    <w:t xml:space="preserve"> </w:t>
                                  </w:r>
                                  <w:r>
                                    <w:rPr>
                                      <w:rFonts w:asciiTheme="minorHAnsi" w:hAnsiTheme="minorHAnsi"/>
                                      <w:color w:val="5F5F5F"/>
                                      <w:szCs w:val="19"/>
                                    </w:rPr>
                                    <w:t>2013 Full Year Results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7" type="#_x0000_t202" style="position:absolute;left:0;text-align:left;margin-left:-6.5pt;margin-top:-4.35pt;width:301.8pt;height:23.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" filled="f" stroked="f">
                      <v:textbox>
                        <w:txbxContent>
                          <w:p w:rsidR="00434676" w:rsidRPr="00A7282B" w:rsidRDefault="00434676" w:rsidP="004F290B">
                            <w:pPr>
                              <w:rPr>
                                <w:rFonts w:asciiTheme="minorHAnsi" w:hAnsiTheme="minorHAnsi"/>
                                <w:color w:val="5F5F5F"/>
                              </w:rPr>
                            </w:pPr>
                            <w:r w:rsidRPr="00A7282B">
                              <w:rPr>
                                <w:rFonts w:asciiTheme="minorHAnsi" w:hAnsiTheme="minorHAnsi"/>
                                <w:b/>
                                <w:color w:val="00305C"/>
                                <w:szCs w:val="19"/>
                              </w:rPr>
                              <w:t xml:space="preserve">Tullow Oil plc </w:t>
                            </w:r>
                            <w:r>
                              <w:rPr>
                                <w:rFonts w:asciiTheme="minorHAnsi" w:hAnsiTheme="minorHAnsi"/>
                                <w:b/>
                                <w:color w:val="5F5F5F"/>
                                <w:szCs w:val="19"/>
                              </w:rPr>
                              <w:t>–</w:t>
                            </w:r>
                            <w:r w:rsidRPr="00A7282B">
                              <w:rPr>
                                <w:rFonts w:asciiTheme="minorHAnsi" w:hAnsiTheme="minorHAnsi"/>
                                <w:color w:val="5F5F5F"/>
                                <w:szCs w:val="19"/>
                              </w:rPr>
                              <w:t xml:space="preserve"> </w:t>
                            </w:r>
                            <w:r>
                              <w:rPr>
                                <w:rFonts w:asciiTheme="minorHAnsi" w:hAnsiTheme="minorHAnsi"/>
                                <w:color w:val="5F5F5F"/>
                                <w:szCs w:val="19"/>
                              </w:rPr>
                              <w:t>2013 Full Year Results</w:t>
                            </w:r>
                          </w:p>
                        </w:txbxContent>
                      </v:textbox>
                    </v:shape>
                  </w:pict>
                </mc:Fallback>
              </mc:AlternateContent>
            </w:r>
            <w:r w:rsidR="00434676" w:rsidRPr="000C3FB5">
              <w:rPr>
                <w:rFonts w:asciiTheme="minorHAnsi" w:hAnsiTheme="minorHAnsi"/>
                <w:color w:val="00305C"/>
                <w:sz w:val="18"/>
                <w:szCs w:val="18"/>
              </w:rPr>
              <w:t xml:space="preserve">Page </w:t>
            </w:r>
            <w:r w:rsidR="00434676" w:rsidRPr="000C3FB5">
              <w:rPr>
                <w:rFonts w:asciiTheme="minorHAnsi" w:hAnsiTheme="minorHAnsi"/>
                <w:b/>
                <w:bCs/>
                <w:color w:val="00305C"/>
                <w:sz w:val="18"/>
                <w:szCs w:val="18"/>
              </w:rPr>
              <w:fldChar w:fldCharType="begin"/>
            </w:r>
            <w:r w:rsidR="00434676" w:rsidRPr="000C3FB5">
              <w:rPr>
                <w:rFonts w:asciiTheme="minorHAnsi" w:hAnsiTheme="minorHAnsi"/>
                <w:b/>
                <w:bCs/>
                <w:color w:val="00305C"/>
                <w:sz w:val="18"/>
                <w:szCs w:val="18"/>
              </w:rPr>
              <w:instrText xml:space="preserve"> PAGE </w:instrText>
            </w:r>
            <w:r w:rsidR="00434676" w:rsidRPr="000C3FB5">
              <w:rPr>
                <w:rFonts w:asciiTheme="minorHAnsi" w:hAnsiTheme="minorHAnsi"/>
                <w:b/>
                <w:bCs/>
                <w:color w:val="00305C"/>
                <w:sz w:val="18"/>
                <w:szCs w:val="18"/>
              </w:rPr>
              <w:fldChar w:fldCharType="separate"/>
            </w:r>
            <w:r w:rsidR="00523A48">
              <w:rPr>
                <w:rFonts w:asciiTheme="minorHAnsi" w:hAnsiTheme="minorHAnsi"/>
                <w:b/>
                <w:bCs/>
                <w:noProof/>
                <w:color w:val="00305C"/>
                <w:sz w:val="18"/>
                <w:szCs w:val="18"/>
              </w:rPr>
              <w:t>21</w:t>
            </w:r>
            <w:r w:rsidR="00434676" w:rsidRPr="000C3FB5">
              <w:rPr>
                <w:rFonts w:asciiTheme="minorHAnsi" w:hAnsiTheme="minorHAnsi"/>
                <w:b/>
                <w:bCs/>
                <w:color w:val="00305C"/>
                <w:sz w:val="18"/>
                <w:szCs w:val="18"/>
              </w:rPr>
              <w:fldChar w:fldCharType="end"/>
            </w:r>
            <w:r w:rsidR="00434676" w:rsidRPr="000C3FB5">
              <w:rPr>
                <w:rFonts w:asciiTheme="minorHAnsi" w:hAnsiTheme="minorHAnsi"/>
                <w:color w:val="00305C"/>
                <w:sz w:val="18"/>
                <w:szCs w:val="18"/>
              </w:rPr>
              <w:t xml:space="preserve"> of </w:t>
            </w:r>
            <w:r w:rsidR="00434676" w:rsidRPr="000C3FB5">
              <w:rPr>
                <w:rFonts w:asciiTheme="minorHAnsi" w:hAnsiTheme="minorHAnsi"/>
                <w:b/>
                <w:bCs/>
                <w:color w:val="00305C"/>
                <w:sz w:val="18"/>
                <w:szCs w:val="18"/>
              </w:rPr>
              <w:fldChar w:fldCharType="begin"/>
            </w:r>
            <w:r w:rsidR="00434676" w:rsidRPr="000C3FB5">
              <w:rPr>
                <w:rFonts w:asciiTheme="minorHAnsi" w:hAnsiTheme="minorHAnsi"/>
                <w:b/>
                <w:bCs/>
                <w:color w:val="00305C"/>
                <w:sz w:val="18"/>
                <w:szCs w:val="18"/>
              </w:rPr>
              <w:instrText xml:space="preserve"> NUMPAGES  </w:instrText>
            </w:r>
            <w:r w:rsidR="00434676" w:rsidRPr="000C3FB5">
              <w:rPr>
                <w:rFonts w:asciiTheme="minorHAnsi" w:hAnsiTheme="minorHAnsi"/>
                <w:b/>
                <w:bCs/>
                <w:color w:val="00305C"/>
                <w:sz w:val="18"/>
                <w:szCs w:val="18"/>
              </w:rPr>
              <w:fldChar w:fldCharType="separate"/>
            </w:r>
            <w:r w:rsidR="00523A48">
              <w:rPr>
                <w:rFonts w:asciiTheme="minorHAnsi" w:hAnsiTheme="minorHAnsi"/>
                <w:b/>
                <w:bCs/>
                <w:noProof/>
                <w:color w:val="00305C"/>
                <w:sz w:val="18"/>
                <w:szCs w:val="18"/>
              </w:rPr>
              <w:t>27</w:t>
            </w:r>
            <w:r w:rsidR="00434676" w:rsidRPr="000C3FB5">
              <w:rPr>
                <w:rFonts w:asciiTheme="minorHAnsi" w:hAnsiTheme="minorHAnsi"/>
                <w:b/>
                <w:bCs/>
                <w:color w:val="00305C"/>
                <w:sz w:val="18"/>
                <w:szCs w:val="18"/>
              </w:rPr>
              <w:fldChar w:fldCharType="end"/>
            </w:r>
          </w:p>
        </w:sdtContent>
      </w:sdt>
    </w:sdtContent>
  </w:sdt>
  <w:p w:rsidR="00434676" w:rsidRPr="00BB411D" w:rsidRDefault="00434676" w:rsidP="004F290B">
    <w:pPr>
      <w:pStyle w:val="Footer"/>
      <w:ind w:left="5103" w:firstLine="709"/>
      <w:jc w:val="center"/>
      <w:rPr>
        <w:rFonts w:asciiTheme="minorHAnsi" w:hAnsiTheme="minorHAnsi" w:cstheme="minorHAnsi"/>
        <w:color w:val="002B45"/>
        <w:szCs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34676" w:rsidRDefault="00434676">
      <w:r>
        <w:separator/>
      </w:r>
    </w:p>
    <w:p w:rsidR="00434676" w:rsidRDefault="00434676"/>
    <w:p w:rsidR="00434676" w:rsidRDefault="00434676"/>
    <w:p w:rsidR="00434676" w:rsidRDefault="00434676"/>
    <w:p w:rsidR="00434676" w:rsidRDefault="00434676"/>
  </w:footnote>
  <w:footnote w:type="continuationSeparator" w:id="0">
    <w:p w:rsidR="00434676" w:rsidRDefault="00434676">
      <w:r>
        <w:continuationSeparator/>
      </w:r>
    </w:p>
    <w:p w:rsidR="00434676" w:rsidRDefault="00434676"/>
    <w:p w:rsidR="00434676" w:rsidRDefault="00434676"/>
    <w:p w:rsidR="00434676" w:rsidRDefault="00434676"/>
    <w:p w:rsidR="00434676" w:rsidRDefault="00434676"/>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6127BE"/>
    <w:multiLevelType w:val="hybridMultilevel"/>
    <w:tmpl w:val="CBA627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6B546FB"/>
    <w:multiLevelType w:val="hybridMultilevel"/>
    <w:tmpl w:val="AA0E8A68"/>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2">
    <w:nsid w:val="1B2226A8"/>
    <w:multiLevelType w:val="hybridMultilevel"/>
    <w:tmpl w:val="57A854D2"/>
    <w:lvl w:ilvl="0" w:tplc="7CE6133C">
      <w:start w:val="1"/>
      <w:numFmt w:val="decimal"/>
      <w:lvlText w:val="%1."/>
      <w:lvlJc w:val="left"/>
      <w:pPr>
        <w:tabs>
          <w:tab w:val="num" w:pos="360"/>
        </w:tabs>
        <w:ind w:left="360" w:hanging="360"/>
      </w:pPr>
      <w:rPr>
        <w:rFonts w:hint="default"/>
        <w:b/>
        <w:i w:val="0"/>
        <w:color w:val="00305C"/>
        <w:sz w:val="22"/>
        <w:szCs w:val="22"/>
      </w:rPr>
    </w:lvl>
    <w:lvl w:ilvl="1" w:tplc="04090019">
      <w:start w:val="1"/>
      <w:numFmt w:val="lowerLetter"/>
      <w:lvlText w:val="%2."/>
      <w:lvlJc w:val="left"/>
      <w:pPr>
        <w:tabs>
          <w:tab w:val="num" w:pos="-3238"/>
        </w:tabs>
        <w:ind w:left="-3238" w:hanging="360"/>
      </w:pPr>
    </w:lvl>
    <w:lvl w:ilvl="2" w:tplc="0409001B" w:tentative="1">
      <w:start w:val="1"/>
      <w:numFmt w:val="lowerRoman"/>
      <w:lvlText w:val="%3."/>
      <w:lvlJc w:val="right"/>
      <w:pPr>
        <w:tabs>
          <w:tab w:val="num" w:pos="-2518"/>
        </w:tabs>
        <w:ind w:left="-2518" w:hanging="180"/>
      </w:pPr>
    </w:lvl>
    <w:lvl w:ilvl="3" w:tplc="0409000F" w:tentative="1">
      <w:start w:val="1"/>
      <w:numFmt w:val="decimal"/>
      <w:lvlText w:val="%4."/>
      <w:lvlJc w:val="left"/>
      <w:pPr>
        <w:tabs>
          <w:tab w:val="num" w:pos="-1798"/>
        </w:tabs>
        <w:ind w:left="-1798" w:hanging="360"/>
      </w:pPr>
    </w:lvl>
    <w:lvl w:ilvl="4" w:tplc="04090019" w:tentative="1">
      <w:start w:val="1"/>
      <w:numFmt w:val="lowerLetter"/>
      <w:lvlText w:val="%5."/>
      <w:lvlJc w:val="left"/>
      <w:pPr>
        <w:tabs>
          <w:tab w:val="num" w:pos="-1078"/>
        </w:tabs>
        <w:ind w:left="-1078" w:hanging="360"/>
      </w:pPr>
    </w:lvl>
    <w:lvl w:ilvl="5" w:tplc="0409001B" w:tentative="1">
      <w:start w:val="1"/>
      <w:numFmt w:val="lowerRoman"/>
      <w:lvlText w:val="%6."/>
      <w:lvlJc w:val="right"/>
      <w:pPr>
        <w:tabs>
          <w:tab w:val="num" w:pos="-358"/>
        </w:tabs>
        <w:ind w:left="-358" w:hanging="180"/>
      </w:pPr>
    </w:lvl>
    <w:lvl w:ilvl="6" w:tplc="0409000F" w:tentative="1">
      <w:start w:val="1"/>
      <w:numFmt w:val="decimal"/>
      <w:lvlText w:val="%7."/>
      <w:lvlJc w:val="left"/>
      <w:pPr>
        <w:tabs>
          <w:tab w:val="num" w:pos="362"/>
        </w:tabs>
        <w:ind w:left="362" w:hanging="360"/>
      </w:pPr>
    </w:lvl>
    <w:lvl w:ilvl="7" w:tplc="04090019" w:tentative="1">
      <w:start w:val="1"/>
      <w:numFmt w:val="lowerLetter"/>
      <w:lvlText w:val="%8."/>
      <w:lvlJc w:val="left"/>
      <w:pPr>
        <w:tabs>
          <w:tab w:val="num" w:pos="1082"/>
        </w:tabs>
        <w:ind w:left="1082" w:hanging="360"/>
      </w:pPr>
    </w:lvl>
    <w:lvl w:ilvl="8" w:tplc="0409001B" w:tentative="1">
      <w:start w:val="1"/>
      <w:numFmt w:val="lowerRoman"/>
      <w:lvlText w:val="%9."/>
      <w:lvlJc w:val="right"/>
      <w:pPr>
        <w:tabs>
          <w:tab w:val="num" w:pos="1802"/>
        </w:tabs>
        <w:ind w:left="1802" w:hanging="180"/>
      </w:pPr>
    </w:lvl>
  </w:abstractNum>
  <w:abstractNum w:abstractNumId="3">
    <w:nsid w:val="22E0280B"/>
    <w:multiLevelType w:val="hybridMultilevel"/>
    <w:tmpl w:val="FF40EA30"/>
    <w:lvl w:ilvl="0" w:tplc="F7AAC842">
      <w:start w:val="1"/>
      <w:numFmt w:val="bullet"/>
      <w:lvlText w:val=""/>
      <w:lvlJc w:val="left"/>
      <w:pPr>
        <w:tabs>
          <w:tab w:val="num" w:pos="715"/>
        </w:tabs>
        <w:ind w:left="715" w:hanging="360"/>
      </w:pPr>
      <w:rPr>
        <w:rFonts w:ascii="Symbol" w:hAnsi="Symbol" w:hint="default"/>
        <w:color w:val="943634"/>
      </w:rPr>
    </w:lvl>
    <w:lvl w:ilvl="1" w:tplc="18090001">
      <w:start w:val="1"/>
      <w:numFmt w:val="bullet"/>
      <w:lvlText w:val=""/>
      <w:lvlJc w:val="left"/>
      <w:pPr>
        <w:tabs>
          <w:tab w:val="num" w:pos="1435"/>
        </w:tabs>
        <w:ind w:left="1435" w:hanging="360"/>
      </w:pPr>
      <w:rPr>
        <w:rFonts w:ascii="Symbol" w:hAnsi="Symbol" w:hint="default"/>
      </w:rPr>
    </w:lvl>
    <w:lvl w:ilvl="2" w:tplc="0409001B" w:tentative="1">
      <w:start w:val="1"/>
      <w:numFmt w:val="lowerRoman"/>
      <w:lvlText w:val="%3."/>
      <w:lvlJc w:val="right"/>
      <w:pPr>
        <w:tabs>
          <w:tab w:val="num" w:pos="2155"/>
        </w:tabs>
        <w:ind w:left="2155" w:hanging="180"/>
      </w:pPr>
    </w:lvl>
    <w:lvl w:ilvl="3" w:tplc="0409000F" w:tentative="1">
      <w:start w:val="1"/>
      <w:numFmt w:val="decimal"/>
      <w:lvlText w:val="%4."/>
      <w:lvlJc w:val="left"/>
      <w:pPr>
        <w:tabs>
          <w:tab w:val="num" w:pos="2875"/>
        </w:tabs>
        <w:ind w:left="2875" w:hanging="360"/>
      </w:pPr>
    </w:lvl>
    <w:lvl w:ilvl="4" w:tplc="04090019" w:tentative="1">
      <w:start w:val="1"/>
      <w:numFmt w:val="lowerLetter"/>
      <w:lvlText w:val="%5."/>
      <w:lvlJc w:val="left"/>
      <w:pPr>
        <w:tabs>
          <w:tab w:val="num" w:pos="3595"/>
        </w:tabs>
        <w:ind w:left="3595" w:hanging="360"/>
      </w:pPr>
    </w:lvl>
    <w:lvl w:ilvl="5" w:tplc="0409001B" w:tentative="1">
      <w:start w:val="1"/>
      <w:numFmt w:val="lowerRoman"/>
      <w:lvlText w:val="%6."/>
      <w:lvlJc w:val="right"/>
      <w:pPr>
        <w:tabs>
          <w:tab w:val="num" w:pos="4315"/>
        </w:tabs>
        <w:ind w:left="4315" w:hanging="180"/>
      </w:pPr>
    </w:lvl>
    <w:lvl w:ilvl="6" w:tplc="0409000F" w:tentative="1">
      <w:start w:val="1"/>
      <w:numFmt w:val="decimal"/>
      <w:lvlText w:val="%7."/>
      <w:lvlJc w:val="left"/>
      <w:pPr>
        <w:tabs>
          <w:tab w:val="num" w:pos="5035"/>
        </w:tabs>
        <w:ind w:left="5035" w:hanging="360"/>
      </w:pPr>
    </w:lvl>
    <w:lvl w:ilvl="7" w:tplc="04090019" w:tentative="1">
      <w:start w:val="1"/>
      <w:numFmt w:val="lowerLetter"/>
      <w:lvlText w:val="%8."/>
      <w:lvlJc w:val="left"/>
      <w:pPr>
        <w:tabs>
          <w:tab w:val="num" w:pos="5755"/>
        </w:tabs>
        <w:ind w:left="5755" w:hanging="360"/>
      </w:pPr>
    </w:lvl>
    <w:lvl w:ilvl="8" w:tplc="0409001B" w:tentative="1">
      <w:start w:val="1"/>
      <w:numFmt w:val="lowerRoman"/>
      <w:lvlText w:val="%9."/>
      <w:lvlJc w:val="right"/>
      <w:pPr>
        <w:tabs>
          <w:tab w:val="num" w:pos="6475"/>
        </w:tabs>
        <w:ind w:left="6475" w:hanging="180"/>
      </w:pPr>
    </w:lvl>
  </w:abstractNum>
  <w:abstractNum w:abstractNumId="4">
    <w:nsid w:val="243F35E5"/>
    <w:multiLevelType w:val="hybridMultilevel"/>
    <w:tmpl w:val="C4D255FA"/>
    <w:lvl w:ilvl="0" w:tplc="D1B2550E">
      <w:start w:val="1"/>
      <w:numFmt w:val="decimal"/>
      <w:lvlText w:val="%1."/>
      <w:lvlJc w:val="left"/>
      <w:pPr>
        <w:tabs>
          <w:tab w:val="num" w:pos="360"/>
        </w:tabs>
        <w:ind w:left="360" w:hanging="360"/>
      </w:pPr>
      <w:rPr>
        <w:vertAlign w:val="superscrip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
    <w:nsid w:val="2C8220A8"/>
    <w:multiLevelType w:val="hybridMultilevel"/>
    <w:tmpl w:val="E154F772"/>
    <w:lvl w:ilvl="0" w:tplc="88BC21FA">
      <w:start w:val="1"/>
      <w:numFmt w:val="decimal"/>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9842C43"/>
    <w:multiLevelType w:val="hybridMultilevel"/>
    <w:tmpl w:val="846C9C6C"/>
    <w:lvl w:ilvl="0" w:tplc="18090001">
      <w:start w:val="1"/>
      <w:numFmt w:val="bullet"/>
      <w:lvlText w:val=""/>
      <w:lvlJc w:val="left"/>
      <w:pPr>
        <w:ind w:left="718" w:hanging="360"/>
      </w:pPr>
      <w:rPr>
        <w:rFonts w:ascii="Symbol" w:hAnsi="Symbol" w:hint="default"/>
      </w:rPr>
    </w:lvl>
    <w:lvl w:ilvl="1" w:tplc="18090003" w:tentative="1">
      <w:start w:val="1"/>
      <w:numFmt w:val="bullet"/>
      <w:lvlText w:val="o"/>
      <w:lvlJc w:val="left"/>
      <w:pPr>
        <w:ind w:left="1438" w:hanging="360"/>
      </w:pPr>
      <w:rPr>
        <w:rFonts w:ascii="Courier New" w:hAnsi="Courier New" w:cs="Courier New" w:hint="default"/>
      </w:rPr>
    </w:lvl>
    <w:lvl w:ilvl="2" w:tplc="18090005" w:tentative="1">
      <w:start w:val="1"/>
      <w:numFmt w:val="bullet"/>
      <w:lvlText w:val=""/>
      <w:lvlJc w:val="left"/>
      <w:pPr>
        <w:ind w:left="2158" w:hanging="360"/>
      </w:pPr>
      <w:rPr>
        <w:rFonts w:ascii="Wingdings" w:hAnsi="Wingdings" w:hint="default"/>
      </w:rPr>
    </w:lvl>
    <w:lvl w:ilvl="3" w:tplc="18090001" w:tentative="1">
      <w:start w:val="1"/>
      <w:numFmt w:val="bullet"/>
      <w:lvlText w:val=""/>
      <w:lvlJc w:val="left"/>
      <w:pPr>
        <w:ind w:left="2878" w:hanging="360"/>
      </w:pPr>
      <w:rPr>
        <w:rFonts w:ascii="Symbol" w:hAnsi="Symbol" w:hint="default"/>
      </w:rPr>
    </w:lvl>
    <w:lvl w:ilvl="4" w:tplc="18090003" w:tentative="1">
      <w:start w:val="1"/>
      <w:numFmt w:val="bullet"/>
      <w:lvlText w:val="o"/>
      <w:lvlJc w:val="left"/>
      <w:pPr>
        <w:ind w:left="3598" w:hanging="360"/>
      </w:pPr>
      <w:rPr>
        <w:rFonts w:ascii="Courier New" w:hAnsi="Courier New" w:cs="Courier New" w:hint="default"/>
      </w:rPr>
    </w:lvl>
    <w:lvl w:ilvl="5" w:tplc="18090005" w:tentative="1">
      <w:start w:val="1"/>
      <w:numFmt w:val="bullet"/>
      <w:lvlText w:val=""/>
      <w:lvlJc w:val="left"/>
      <w:pPr>
        <w:ind w:left="4318" w:hanging="360"/>
      </w:pPr>
      <w:rPr>
        <w:rFonts w:ascii="Wingdings" w:hAnsi="Wingdings" w:hint="default"/>
      </w:rPr>
    </w:lvl>
    <w:lvl w:ilvl="6" w:tplc="18090001" w:tentative="1">
      <w:start w:val="1"/>
      <w:numFmt w:val="bullet"/>
      <w:lvlText w:val=""/>
      <w:lvlJc w:val="left"/>
      <w:pPr>
        <w:ind w:left="5038" w:hanging="360"/>
      </w:pPr>
      <w:rPr>
        <w:rFonts w:ascii="Symbol" w:hAnsi="Symbol" w:hint="default"/>
      </w:rPr>
    </w:lvl>
    <w:lvl w:ilvl="7" w:tplc="18090003" w:tentative="1">
      <w:start w:val="1"/>
      <w:numFmt w:val="bullet"/>
      <w:lvlText w:val="o"/>
      <w:lvlJc w:val="left"/>
      <w:pPr>
        <w:ind w:left="5758" w:hanging="360"/>
      </w:pPr>
      <w:rPr>
        <w:rFonts w:ascii="Courier New" w:hAnsi="Courier New" w:cs="Courier New" w:hint="default"/>
      </w:rPr>
    </w:lvl>
    <w:lvl w:ilvl="8" w:tplc="18090005" w:tentative="1">
      <w:start w:val="1"/>
      <w:numFmt w:val="bullet"/>
      <w:lvlText w:val=""/>
      <w:lvlJc w:val="left"/>
      <w:pPr>
        <w:ind w:left="6478" w:hanging="360"/>
      </w:pPr>
      <w:rPr>
        <w:rFonts w:ascii="Wingdings" w:hAnsi="Wingdings" w:hint="default"/>
      </w:rPr>
    </w:lvl>
  </w:abstractNum>
  <w:abstractNum w:abstractNumId="7">
    <w:nsid w:val="44121D2C"/>
    <w:multiLevelType w:val="hybridMultilevel"/>
    <w:tmpl w:val="45FC467A"/>
    <w:lvl w:ilvl="0" w:tplc="32A06C5C">
      <w:start w:val="1"/>
      <w:numFmt w:val="decimal"/>
      <w:lvlText w:val="%1."/>
      <w:lvlJc w:val="left"/>
      <w:pPr>
        <w:ind w:left="720" w:hanging="360"/>
      </w:pPr>
      <w:rPr>
        <w:i/>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B4B407E"/>
    <w:multiLevelType w:val="hybridMultilevel"/>
    <w:tmpl w:val="19DC8EAC"/>
    <w:lvl w:ilvl="0" w:tplc="0809000F">
      <w:start w:val="1"/>
      <w:numFmt w:val="decimal"/>
      <w:lvlText w:val="%1."/>
      <w:lvlJc w:val="left"/>
      <w:pPr>
        <w:ind w:left="717" w:hanging="360"/>
      </w:pPr>
      <w:rPr>
        <w:rFonts w:hint="default"/>
      </w:rPr>
    </w:lvl>
    <w:lvl w:ilvl="1" w:tplc="08090019" w:tentative="1">
      <w:start w:val="1"/>
      <w:numFmt w:val="lowerLetter"/>
      <w:lvlText w:val="%2."/>
      <w:lvlJc w:val="left"/>
      <w:pPr>
        <w:ind w:left="1437" w:hanging="360"/>
      </w:pPr>
    </w:lvl>
    <w:lvl w:ilvl="2" w:tplc="0809001B" w:tentative="1">
      <w:start w:val="1"/>
      <w:numFmt w:val="lowerRoman"/>
      <w:lvlText w:val="%3."/>
      <w:lvlJc w:val="right"/>
      <w:pPr>
        <w:ind w:left="2157" w:hanging="180"/>
      </w:pPr>
    </w:lvl>
    <w:lvl w:ilvl="3" w:tplc="0809000F" w:tentative="1">
      <w:start w:val="1"/>
      <w:numFmt w:val="decimal"/>
      <w:lvlText w:val="%4."/>
      <w:lvlJc w:val="left"/>
      <w:pPr>
        <w:ind w:left="2877" w:hanging="360"/>
      </w:pPr>
    </w:lvl>
    <w:lvl w:ilvl="4" w:tplc="08090019" w:tentative="1">
      <w:start w:val="1"/>
      <w:numFmt w:val="lowerLetter"/>
      <w:lvlText w:val="%5."/>
      <w:lvlJc w:val="left"/>
      <w:pPr>
        <w:ind w:left="3597" w:hanging="360"/>
      </w:pPr>
    </w:lvl>
    <w:lvl w:ilvl="5" w:tplc="0809001B" w:tentative="1">
      <w:start w:val="1"/>
      <w:numFmt w:val="lowerRoman"/>
      <w:lvlText w:val="%6."/>
      <w:lvlJc w:val="right"/>
      <w:pPr>
        <w:ind w:left="4317" w:hanging="180"/>
      </w:pPr>
    </w:lvl>
    <w:lvl w:ilvl="6" w:tplc="0809000F" w:tentative="1">
      <w:start w:val="1"/>
      <w:numFmt w:val="decimal"/>
      <w:lvlText w:val="%7."/>
      <w:lvlJc w:val="left"/>
      <w:pPr>
        <w:ind w:left="5037" w:hanging="360"/>
      </w:pPr>
    </w:lvl>
    <w:lvl w:ilvl="7" w:tplc="08090019" w:tentative="1">
      <w:start w:val="1"/>
      <w:numFmt w:val="lowerLetter"/>
      <w:lvlText w:val="%8."/>
      <w:lvlJc w:val="left"/>
      <w:pPr>
        <w:ind w:left="5757" w:hanging="360"/>
      </w:pPr>
    </w:lvl>
    <w:lvl w:ilvl="8" w:tplc="0809001B" w:tentative="1">
      <w:start w:val="1"/>
      <w:numFmt w:val="lowerRoman"/>
      <w:lvlText w:val="%9."/>
      <w:lvlJc w:val="right"/>
      <w:pPr>
        <w:ind w:left="6477" w:hanging="180"/>
      </w:pPr>
    </w:lvl>
  </w:abstractNum>
  <w:abstractNum w:abstractNumId="9">
    <w:nsid w:val="4D6B4387"/>
    <w:multiLevelType w:val="hybridMultilevel"/>
    <w:tmpl w:val="C582B0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60880A5F"/>
    <w:multiLevelType w:val="hybridMultilevel"/>
    <w:tmpl w:val="C4D255FA"/>
    <w:lvl w:ilvl="0" w:tplc="D1B2550E">
      <w:start w:val="1"/>
      <w:numFmt w:val="decimal"/>
      <w:lvlText w:val="%1."/>
      <w:lvlJc w:val="left"/>
      <w:pPr>
        <w:tabs>
          <w:tab w:val="num" w:pos="360"/>
        </w:tabs>
        <w:ind w:left="360" w:hanging="360"/>
      </w:pPr>
      <w:rPr>
        <w:vertAlign w:val="superscrip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1">
    <w:nsid w:val="64DB79C0"/>
    <w:multiLevelType w:val="multilevel"/>
    <w:tmpl w:val="4F38793C"/>
    <w:styleLink w:val="StyleBulletedSymbolsymbolCustomColorRGB1371276Left1"/>
    <w:lvl w:ilvl="0">
      <w:start w:val="1"/>
      <w:numFmt w:val="bullet"/>
      <w:lvlText w:val=""/>
      <w:lvlJc w:val="left"/>
      <w:pPr>
        <w:tabs>
          <w:tab w:val="num" w:pos="397"/>
        </w:tabs>
        <w:ind w:left="722" w:hanging="360"/>
      </w:pPr>
      <w:rPr>
        <w:rFonts w:ascii="Symbol" w:hAnsi="Symbol"/>
        <w:color w:val="002B45"/>
        <w:sz w:val="19"/>
      </w:rPr>
    </w:lvl>
    <w:lvl w:ilvl="1">
      <w:start w:val="1"/>
      <w:numFmt w:val="bullet"/>
      <w:lvlText w:val="o"/>
      <w:lvlJc w:val="left"/>
      <w:pPr>
        <w:ind w:left="1442" w:hanging="360"/>
      </w:pPr>
      <w:rPr>
        <w:rFonts w:ascii="Courier New" w:hAnsi="Courier New" w:cs="Courier New" w:hint="default"/>
      </w:rPr>
    </w:lvl>
    <w:lvl w:ilvl="2">
      <w:start w:val="1"/>
      <w:numFmt w:val="bullet"/>
      <w:lvlText w:val=""/>
      <w:lvlJc w:val="left"/>
      <w:pPr>
        <w:ind w:left="2162" w:hanging="360"/>
      </w:pPr>
      <w:rPr>
        <w:rFonts w:ascii="Wingdings" w:hAnsi="Wingdings" w:hint="default"/>
      </w:rPr>
    </w:lvl>
    <w:lvl w:ilvl="3">
      <w:start w:val="1"/>
      <w:numFmt w:val="bullet"/>
      <w:lvlText w:val=""/>
      <w:lvlJc w:val="left"/>
      <w:pPr>
        <w:ind w:left="2882" w:hanging="360"/>
      </w:pPr>
      <w:rPr>
        <w:rFonts w:ascii="Symbol" w:hAnsi="Symbol" w:hint="default"/>
      </w:rPr>
    </w:lvl>
    <w:lvl w:ilvl="4">
      <w:start w:val="1"/>
      <w:numFmt w:val="bullet"/>
      <w:lvlText w:val="o"/>
      <w:lvlJc w:val="left"/>
      <w:pPr>
        <w:ind w:left="3602" w:hanging="360"/>
      </w:pPr>
      <w:rPr>
        <w:rFonts w:ascii="Courier New" w:hAnsi="Courier New" w:cs="Courier New" w:hint="default"/>
      </w:rPr>
    </w:lvl>
    <w:lvl w:ilvl="5">
      <w:start w:val="1"/>
      <w:numFmt w:val="bullet"/>
      <w:lvlText w:val=""/>
      <w:lvlJc w:val="left"/>
      <w:pPr>
        <w:ind w:left="4322" w:hanging="360"/>
      </w:pPr>
      <w:rPr>
        <w:rFonts w:ascii="Wingdings" w:hAnsi="Wingdings" w:hint="default"/>
      </w:rPr>
    </w:lvl>
    <w:lvl w:ilvl="6">
      <w:start w:val="1"/>
      <w:numFmt w:val="bullet"/>
      <w:lvlText w:val=""/>
      <w:lvlJc w:val="left"/>
      <w:pPr>
        <w:ind w:left="5042" w:hanging="360"/>
      </w:pPr>
      <w:rPr>
        <w:rFonts w:ascii="Symbol" w:hAnsi="Symbol" w:hint="default"/>
      </w:rPr>
    </w:lvl>
    <w:lvl w:ilvl="7">
      <w:start w:val="1"/>
      <w:numFmt w:val="bullet"/>
      <w:lvlText w:val="o"/>
      <w:lvlJc w:val="left"/>
      <w:pPr>
        <w:ind w:left="5762" w:hanging="360"/>
      </w:pPr>
      <w:rPr>
        <w:rFonts w:ascii="Courier New" w:hAnsi="Courier New" w:cs="Courier New" w:hint="default"/>
      </w:rPr>
    </w:lvl>
    <w:lvl w:ilvl="8">
      <w:start w:val="1"/>
      <w:numFmt w:val="bullet"/>
      <w:lvlText w:val=""/>
      <w:lvlJc w:val="left"/>
      <w:pPr>
        <w:ind w:left="6482" w:hanging="360"/>
      </w:pPr>
      <w:rPr>
        <w:rFonts w:ascii="Wingdings" w:hAnsi="Wingdings" w:hint="default"/>
      </w:rPr>
    </w:lvl>
  </w:abstractNum>
  <w:abstractNum w:abstractNumId="12">
    <w:nsid w:val="68890A98"/>
    <w:multiLevelType w:val="multilevel"/>
    <w:tmpl w:val="4F38793C"/>
    <w:styleLink w:val="StyleBulletedSymbolsymbolCustomColorRGB1371276Left2"/>
    <w:lvl w:ilvl="0">
      <w:start w:val="1"/>
      <w:numFmt w:val="bullet"/>
      <w:lvlText w:val=""/>
      <w:lvlJc w:val="left"/>
      <w:pPr>
        <w:tabs>
          <w:tab w:val="num" w:pos="397"/>
        </w:tabs>
        <w:ind w:left="722" w:hanging="360"/>
      </w:pPr>
      <w:rPr>
        <w:rFonts w:ascii="Symbol" w:hAnsi="Symbol"/>
        <w:color w:val="002B45"/>
        <w:sz w:val="19"/>
      </w:rPr>
    </w:lvl>
    <w:lvl w:ilvl="1">
      <w:start w:val="1"/>
      <w:numFmt w:val="bullet"/>
      <w:lvlText w:val="o"/>
      <w:lvlJc w:val="left"/>
      <w:pPr>
        <w:ind w:left="1442" w:hanging="360"/>
      </w:pPr>
      <w:rPr>
        <w:rFonts w:ascii="Courier New" w:hAnsi="Courier New" w:cs="Courier New" w:hint="default"/>
      </w:rPr>
    </w:lvl>
    <w:lvl w:ilvl="2">
      <w:start w:val="1"/>
      <w:numFmt w:val="bullet"/>
      <w:lvlText w:val=""/>
      <w:lvlJc w:val="left"/>
      <w:pPr>
        <w:ind w:left="2162" w:hanging="360"/>
      </w:pPr>
      <w:rPr>
        <w:rFonts w:ascii="Wingdings" w:hAnsi="Wingdings" w:hint="default"/>
      </w:rPr>
    </w:lvl>
    <w:lvl w:ilvl="3">
      <w:start w:val="1"/>
      <w:numFmt w:val="bullet"/>
      <w:lvlText w:val=""/>
      <w:lvlJc w:val="left"/>
      <w:pPr>
        <w:ind w:left="2882" w:hanging="360"/>
      </w:pPr>
      <w:rPr>
        <w:rFonts w:ascii="Symbol" w:hAnsi="Symbol" w:hint="default"/>
      </w:rPr>
    </w:lvl>
    <w:lvl w:ilvl="4">
      <w:start w:val="1"/>
      <w:numFmt w:val="bullet"/>
      <w:lvlText w:val="o"/>
      <w:lvlJc w:val="left"/>
      <w:pPr>
        <w:ind w:left="3602" w:hanging="360"/>
      </w:pPr>
      <w:rPr>
        <w:rFonts w:ascii="Courier New" w:hAnsi="Courier New" w:cs="Courier New" w:hint="default"/>
      </w:rPr>
    </w:lvl>
    <w:lvl w:ilvl="5">
      <w:start w:val="1"/>
      <w:numFmt w:val="bullet"/>
      <w:lvlText w:val=""/>
      <w:lvlJc w:val="left"/>
      <w:pPr>
        <w:ind w:left="4322" w:hanging="360"/>
      </w:pPr>
      <w:rPr>
        <w:rFonts w:ascii="Wingdings" w:hAnsi="Wingdings" w:hint="default"/>
      </w:rPr>
    </w:lvl>
    <w:lvl w:ilvl="6">
      <w:start w:val="1"/>
      <w:numFmt w:val="bullet"/>
      <w:lvlText w:val=""/>
      <w:lvlJc w:val="left"/>
      <w:pPr>
        <w:ind w:left="5042" w:hanging="360"/>
      </w:pPr>
      <w:rPr>
        <w:rFonts w:ascii="Symbol" w:hAnsi="Symbol" w:hint="default"/>
      </w:rPr>
    </w:lvl>
    <w:lvl w:ilvl="7">
      <w:start w:val="1"/>
      <w:numFmt w:val="bullet"/>
      <w:lvlText w:val="o"/>
      <w:lvlJc w:val="left"/>
      <w:pPr>
        <w:ind w:left="5762" w:hanging="360"/>
      </w:pPr>
      <w:rPr>
        <w:rFonts w:ascii="Courier New" w:hAnsi="Courier New" w:cs="Courier New" w:hint="default"/>
      </w:rPr>
    </w:lvl>
    <w:lvl w:ilvl="8">
      <w:start w:val="1"/>
      <w:numFmt w:val="bullet"/>
      <w:lvlText w:val=""/>
      <w:lvlJc w:val="left"/>
      <w:pPr>
        <w:ind w:left="6482" w:hanging="360"/>
      </w:pPr>
      <w:rPr>
        <w:rFonts w:ascii="Wingdings" w:hAnsi="Wingdings" w:hint="default"/>
      </w:rPr>
    </w:lvl>
  </w:abstractNum>
  <w:abstractNum w:abstractNumId="13">
    <w:nsid w:val="69180311"/>
    <w:multiLevelType w:val="hybridMultilevel"/>
    <w:tmpl w:val="C8F286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AA87F02"/>
    <w:multiLevelType w:val="multilevel"/>
    <w:tmpl w:val="4F38793C"/>
    <w:styleLink w:val="StyleBulletedSymbolsymbolCustomColorRGB1371276Left"/>
    <w:lvl w:ilvl="0">
      <w:start w:val="1"/>
      <w:numFmt w:val="bullet"/>
      <w:lvlText w:val=""/>
      <w:lvlJc w:val="left"/>
      <w:pPr>
        <w:tabs>
          <w:tab w:val="num" w:pos="397"/>
        </w:tabs>
        <w:ind w:left="722" w:hanging="360"/>
      </w:pPr>
      <w:rPr>
        <w:rFonts w:ascii="Symbol" w:hAnsi="Symbol"/>
        <w:color w:val="002B45"/>
        <w:sz w:val="19"/>
      </w:rPr>
    </w:lvl>
    <w:lvl w:ilvl="1">
      <w:start w:val="1"/>
      <w:numFmt w:val="bullet"/>
      <w:lvlText w:val="o"/>
      <w:lvlJc w:val="left"/>
      <w:pPr>
        <w:ind w:left="1442" w:hanging="360"/>
      </w:pPr>
      <w:rPr>
        <w:rFonts w:ascii="Courier New" w:hAnsi="Courier New" w:cs="Courier New" w:hint="default"/>
      </w:rPr>
    </w:lvl>
    <w:lvl w:ilvl="2">
      <w:start w:val="1"/>
      <w:numFmt w:val="bullet"/>
      <w:lvlText w:val=""/>
      <w:lvlJc w:val="left"/>
      <w:pPr>
        <w:ind w:left="2162" w:hanging="360"/>
      </w:pPr>
      <w:rPr>
        <w:rFonts w:ascii="Wingdings" w:hAnsi="Wingdings" w:hint="default"/>
      </w:rPr>
    </w:lvl>
    <w:lvl w:ilvl="3">
      <w:start w:val="1"/>
      <w:numFmt w:val="bullet"/>
      <w:lvlText w:val=""/>
      <w:lvlJc w:val="left"/>
      <w:pPr>
        <w:ind w:left="2882" w:hanging="360"/>
      </w:pPr>
      <w:rPr>
        <w:rFonts w:ascii="Symbol" w:hAnsi="Symbol" w:hint="default"/>
      </w:rPr>
    </w:lvl>
    <w:lvl w:ilvl="4">
      <w:start w:val="1"/>
      <w:numFmt w:val="bullet"/>
      <w:lvlText w:val="o"/>
      <w:lvlJc w:val="left"/>
      <w:pPr>
        <w:ind w:left="3602" w:hanging="360"/>
      </w:pPr>
      <w:rPr>
        <w:rFonts w:ascii="Courier New" w:hAnsi="Courier New" w:cs="Courier New" w:hint="default"/>
      </w:rPr>
    </w:lvl>
    <w:lvl w:ilvl="5">
      <w:start w:val="1"/>
      <w:numFmt w:val="bullet"/>
      <w:lvlText w:val=""/>
      <w:lvlJc w:val="left"/>
      <w:pPr>
        <w:ind w:left="4322" w:hanging="360"/>
      </w:pPr>
      <w:rPr>
        <w:rFonts w:ascii="Wingdings" w:hAnsi="Wingdings" w:hint="default"/>
      </w:rPr>
    </w:lvl>
    <w:lvl w:ilvl="6">
      <w:start w:val="1"/>
      <w:numFmt w:val="bullet"/>
      <w:lvlText w:val=""/>
      <w:lvlJc w:val="left"/>
      <w:pPr>
        <w:ind w:left="5042" w:hanging="360"/>
      </w:pPr>
      <w:rPr>
        <w:rFonts w:ascii="Symbol" w:hAnsi="Symbol" w:hint="default"/>
      </w:rPr>
    </w:lvl>
    <w:lvl w:ilvl="7">
      <w:start w:val="1"/>
      <w:numFmt w:val="bullet"/>
      <w:lvlText w:val="o"/>
      <w:lvlJc w:val="left"/>
      <w:pPr>
        <w:ind w:left="5762" w:hanging="360"/>
      </w:pPr>
      <w:rPr>
        <w:rFonts w:ascii="Courier New" w:hAnsi="Courier New" w:cs="Courier New" w:hint="default"/>
      </w:rPr>
    </w:lvl>
    <w:lvl w:ilvl="8">
      <w:start w:val="1"/>
      <w:numFmt w:val="bullet"/>
      <w:lvlText w:val=""/>
      <w:lvlJc w:val="left"/>
      <w:pPr>
        <w:ind w:left="6482" w:hanging="360"/>
      </w:pPr>
      <w:rPr>
        <w:rFonts w:ascii="Wingdings" w:hAnsi="Wingdings" w:hint="default"/>
      </w:rPr>
    </w:lvl>
  </w:abstractNum>
  <w:abstractNum w:abstractNumId="15">
    <w:nsid w:val="711D47C1"/>
    <w:multiLevelType w:val="multilevel"/>
    <w:tmpl w:val="11D43942"/>
    <w:styleLink w:val="Style2"/>
    <w:lvl w:ilvl="0">
      <w:start w:val="1"/>
      <w:numFmt w:val="lowerLetter"/>
      <w:lvlText w:val="%1"/>
      <w:lvlJc w:val="left"/>
      <w:pPr>
        <w:ind w:left="720" w:hanging="360"/>
      </w:pPr>
      <w:rPr>
        <w:rFonts w:ascii="Times New Roman" w:hAnsi="Times New Roman"/>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6">
    <w:nsid w:val="7BFD6AAB"/>
    <w:multiLevelType w:val="hybridMultilevel"/>
    <w:tmpl w:val="CDD88D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1"/>
  </w:num>
  <w:num w:numId="3">
    <w:abstractNumId w:val="12"/>
  </w:num>
  <w:num w:numId="4">
    <w:abstractNumId w:val="15"/>
  </w:num>
  <w:num w:numId="5">
    <w:abstractNumId w:val="3"/>
  </w:num>
  <w:num w:numId="6">
    <w:abstractNumId w:val="2"/>
  </w:num>
  <w:num w:numId="7">
    <w:abstractNumId w:val="6"/>
  </w:num>
  <w:num w:numId="8">
    <w:abstractNumId w:val="10"/>
  </w:num>
  <w:num w:numId="9">
    <w:abstractNumId w:val="8"/>
  </w:num>
  <w:num w:numId="10">
    <w:abstractNumId w:val="9"/>
  </w:num>
  <w:num w:numId="11">
    <w:abstractNumId w:val="4"/>
  </w:num>
  <w:num w:numId="12">
    <w:abstractNumId w:val="1"/>
  </w:num>
  <w:num w:numId="13">
    <w:abstractNumId w:val="0"/>
  </w:num>
  <w:num w:numId="14">
    <w:abstractNumId w:val="7"/>
  </w:num>
  <w:num w:numId="15">
    <w:abstractNumId w:val="5"/>
  </w:num>
  <w:num w:numId="16">
    <w:abstractNumId w:val="16"/>
  </w:num>
  <w:num w:numId="17">
    <w:abstractNumId w:val="13"/>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0"/>
  <w:drawingGridHorizontalSpacing w:val="95"/>
  <w:displayHorizontalDrawingGridEvery w:val="2"/>
  <w:noPunctuationKerning/>
  <w:characterSpacingControl w:val="doNotCompress"/>
  <w:hdrShapeDefaults>
    <o:shapedefaults v:ext="edit" spidmax="2053">
      <o:colormru v:ext="edit" colors="#bfbfb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40C7"/>
    <w:rsid w:val="00000E0B"/>
    <w:rsid w:val="000037E0"/>
    <w:rsid w:val="00004BFB"/>
    <w:rsid w:val="000052DF"/>
    <w:rsid w:val="00005D54"/>
    <w:rsid w:val="00010124"/>
    <w:rsid w:val="00010D87"/>
    <w:rsid w:val="00011974"/>
    <w:rsid w:val="00015027"/>
    <w:rsid w:val="0001704A"/>
    <w:rsid w:val="00017948"/>
    <w:rsid w:val="000227BE"/>
    <w:rsid w:val="00023E39"/>
    <w:rsid w:val="000250F5"/>
    <w:rsid w:val="00031D23"/>
    <w:rsid w:val="000327B4"/>
    <w:rsid w:val="00037F06"/>
    <w:rsid w:val="000404E2"/>
    <w:rsid w:val="00040E69"/>
    <w:rsid w:val="00042C66"/>
    <w:rsid w:val="0004366B"/>
    <w:rsid w:val="00046D4C"/>
    <w:rsid w:val="00051058"/>
    <w:rsid w:val="00053C21"/>
    <w:rsid w:val="00055593"/>
    <w:rsid w:val="0005571B"/>
    <w:rsid w:val="00055ADB"/>
    <w:rsid w:val="00056904"/>
    <w:rsid w:val="00057995"/>
    <w:rsid w:val="00060CAF"/>
    <w:rsid w:val="000618C4"/>
    <w:rsid w:val="00062BE1"/>
    <w:rsid w:val="00063A1B"/>
    <w:rsid w:val="00064816"/>
    <w:rsid w:val="000650B4"/>
    <w:rsid w:val="0006750E"/>
    <w:rsid w:val="00071606"/>
    <w:rsid w:val="00071DC9"/>
    <w:rsid w:val="00071FEC"/>
    <w:rsid w:val="000720D7"/>
    <w:rsid w:val="00072765"/>
    <w:rsid w:val="00072E24"/>
    <w:rsid w:val="00074ED0"/>
    <w:rsid w:val="0007592F"/>
    <w:rsid w:val="000763C5"/>
    <w:rsid w:val="000773C5"/>
    <w:rsid w:val="0007770E"/>
    <w:rsid w:val="000807B4"/>
    <w:rsid w:val="00080E0B"/>
    <w:rsid w:val="000817EC"/>
    <w:rsid w:val="0008271A"/>
    <w:rsid w:val="00082939"/>
    <w:rsid w:val="000838EC"/>
    <w:rsid w:val="00084A4B"/>
    <w:rsid w:val="00084C0A"/>
    <w:rsid w:val="00084DDA"/>
    <w:rsid w:val="00085149"/>
    <w:rsid w:val="000852B7"/>
    <w:rsid w:val="00086E22"/>
    <w:rsid w:val="0009369F"/>
    <w:rsid w:val="00096E47"/>
    <w:rsid w:val="0009708C"/>
    <w:rsid w:val="00097616"/>
    <w:rsid w:val="000A0717"/>
    <w:rsid w:val="000A2282"/>
    <w:rsid w:val="000A29A5"/>
    <w:rsid w:val="000A3F3E"/>
    <w:rsid w:val="000A569C"/>
    <w:rsid w:val="000A5FC2"/>
    <w:rsid w:val="000A60D4"/>
    <w:rsid w:val="000A66F8"/>
    <w:rsid w:val="000A7150"/>
    <w:rsid w:val="000B03CB"/>
    <w:rsid w:val="000B117A"/>
    <w:rsid w:val="000B3CBE"/>
    <w:rsid w:val="000C0788"/>
    <w:rsid w:val="000C1762"/>
    <w:rsid w:val="000C3E1D"/>
    <w:rsid w:val="000C3FB5"/>
    <w:rsid w:val="000C4A1C"/>
    <w:rsid w:val="000C4C05"/>
    <w:rsid w:val="000C5568"/>
    <w:rsid w:val="000C6DA8"/>
    <w:rsid w:val="000C791C"/>
    <w:rsid w:val="000D15C1"/>
    <w:rsid w:val="000D64A3"/>
    <w:rsid w:val="000D6BBD"/>
    <w:rsid w:val="000D6BF3"/>
    <w:rsid w:val="000D6DA0"/>
    <w:rsid w:val="000D770A"/>
    <w:rsid w:val="000E2D65"/>
    <w:rsid w:val="000E3E9E"/>
    <w:rsid w:val="000E5976"/>
    <w:rsid w:val="000E6ABD"/>
    <w:rsid w:val="000F0A05"/>
    <w:rsid w:val="000F3897"/>
    <w:rsid w:val="000F534A"/>
    <w:rsid w:val="000F54BD"/>
    <w:rsid w:val="000F54EF"/>
    <w:rsid w:val="000F56DE"/>
    <w:rsid w:val="000F5AB7"/>
    <w:rsid w:val="000F77B8"/>
    <w:rsid w:val="0010058F"/>
    <w:rsid w:val="00104F83"/>
    <w:rsid w:val="0010580B"/>
    <w:rsid w:val="0010659F"/>
    <w:rsid w:val="00107E15"/>
    <w:rsid w:val="00107F2D"/>
    <w:rsid w:val="00110285"/>
    <w:rsid w:val="001110CE"/>
    <w:rsid w:val="0011175E"/>
    <w:rsid w:val="00113846"/>
    <w:rsid w:val="00114C7D"/>
    <w:rsid w:val="00115383"/>
    <w:rsid w:val="00117448"/>
    <w:rsid w:val="00117CFC"/>
    <w:rsid w:val="001244F2"/>
    <w:rsid w:val="00125BD7"/>
    <w:rsid w:val="00125D27"/>
    <w:rsid w:val="0013095A"/>
    <w:rsid w:val="00131EFA"/>
    <w:rsid w:val="00133568"/>
    <w:rsid w:val="0013440A"/>
    <w:rsid w:val="00134E10"/>
    <w:rsid w:val="001352ED"/>
    <w:rsid w:val="00135651"/>
    <w:rsid w:val="00135693"/>
    <w:rsid w:val="00135CD7"/>
    <w:rsid w:val="001368A1"/>
    <w:rsid w:val="00136DA8"/>
    <w:rsid w:val="001411C1"/>
    <w:rsid w:val="00141A54"/>
    <w:rsid w:val="001453C4"/>
    <w:rsid w:val="001453F4"/>
    <w:rsid w:val="00146D2B"/>
    <w:rsid w:val="00153E39"/>
    <w:rsid w:val="00157F0A"/>
    <w:rsid w:val="00160F10"/>
    <w:rsid w:val="001637AE"/>
    <w:rsid w:val="001647CB"/>
    <w:rsid w:val="00166401"/>
    <w:rsid w:val="001667BE"/>
    <w:rsid w:val="0016716A"/>
    <w:rsid w:val="001676F4"/>
    <w:rsid w:val="00171EC7"/>
    <w:rsid w:val="00172FA1"/>
    <w:rsid w:val="00175B33"/>
    <w:rsid w:val="001808A9"/>
    <w:rsid w:val="00180BFE"/>
    <w:rsid w:val="00181484"/>
    <w:rsid w:val="00184CC0"/>
    <w:rsid w:val="00185E21"/>
    <w:rsid w:val="00190AB7"/>
    <w:rsid w:val="00190E2E"/>
    <w:rsid w:val="0019676B"/>
    <w:rsid w:val="00196A02"/>
    <w:rsid w:val="001A0AC4"/>
    <w:rsid w:val="001A0EDC"/>
    <w:rsid w:val="001A112D"/>
    <w:rsid w:val="001A4A33"/>
    <w:rsid w:val="001A4FFD"/>
    <w:rsid w:val="001A7A3E"/>
    <w:rsid w:val="001B0610"/>
    <w:rsid w:val="001B0DC3"/>
    <w:rsid w:val="001B1733"/>
    <w:rsid w:val="001B44B7"/>
    <w:rsid w:val="001B494F"/>
    <w:rsid w:val="001B4F1F"/>
    <w:rsid w:val="001C0185"/>
    <w:rsid w:val="001C027D"/>
    <w:rsid w:val="001C378E"/>
    <w:rsid w:val="001C5471"/>
    <w:rsid w:val="001C54FC"/>
    <w:rsid w:val="001C5F85"/>
    <w:rsid w:val="001C6048"/>
    <w:rsid w:val="001D03FE"/>
    <w:rsid w:val="001D1C16"/>
    <w:rsid w:val="001D21CA"/>
    <w:rsid w:val="001D2B82"/>
    <w:rsid w:val="001D7EF1"/>
    <w:rsid w:val="001E09B7"/>
    <w:rsid w:val="001E14A6"/>
    <w:rsid w:val="001E18C9"/>
    <w:rsid w:val="001F11CA"/>
    <w:rsid w:val="001F1EC3"/>
    <w:rsid w:val="001F3658"/>
    <w:rsid w:val="001F4632"/>
    <w:rsid w:val="001F59AD"/>
    <w:rsid w:val="001F668F"/>
    <w:rsid w:val="002018BE"/>
    <w:rsid w:val="00201D5B"/>
    <w:rsid w:val="0020249A"/>
    <w:rsid w:val="0020430A"/>
    <w:rsid w:val="0020494B"/>
    <w:rsid w:val="00205F0B"/>
    <w:rsid w:val="0020745B"/>
    <w:rsid w:val="00207BCE"/>
    <w:rsid w:val="002106F9"/>
    <w:rsid w:val="00211BD7"/>
    <w:rsid w:val="00212D74"/>
    <w:rsid w:val="002138E9"/>
    <w:rsid w:val="0021430E"/>
    <w:rsid w:val="00216B83"/>
    <w:rsid w:val="0022077C"/>
    <w:rsid w:val="002213F1"/>
    <w:rsid w:val="002228A3"/>
    <w:rsid w:val="00222DDD"/>
    <w:rsid w:val="002241D5"/>
    <w:rsid w:val="0022643B"/>
    <w:rsid w:val="00227E0A"/>
    <w:rsid w:val="00231FEA"/>
    <w:rsid w:val="0023377C"/>
    <w:rsid w:val="002347D5"/>
    <w:rsid w:val="00237E94"/>
    <w:rsid w:val="00241771"/>
    <w:rsid w:val="00241E19"/>
    <w:rsid w:val="00242F12"/>
    <w:rsid w:val="00243EA8"/>
    <w:rsid w:val="00245E83"/>
    <w:rsid w:val="0024697F"/>
    <w:rsid w:val="00246D43"/>
    <w:rsid w:val="00253AA5"/>
    <w:rsid w:val="00254582"/>
    <w:rsid w:val="00255645"/>
    <w:rsid w:val="00255EFF"/>
    <w:rsid w:val="002560F5"/>
    <w:rsid w:val="0025731A"/>
    <w:rsid w:val="00257E82"/>
    <w:rsid w:val="0026016D"/>
    <w:rsid w:val="002609A5"/>
    <w:rsid w:val="00260A72"/>
    <w:rsid w:val="0026122B"/>
    <w:rsid w:val="00263A06"/>
    <w:rsid w:val="00264017"/>
    <w:rsid w:val="0026713C"/>
    <w:rsid w:val="00267D80"/>
    <w:rsid w:val="002747A7"/>
    <w:rsid w:val="00275A57"/>
    <w:rsid w:val="002768C3"/>
    <w:rsid w:val="0027721B"/>
    <w:rsid w:val="00280AF6"/>
    <w:rsid w:val="00281E94"/>
    <w:rsid w:val="0028730B"/>
    <w:rsid w:val="00287528"/>
    <w:rsid w:val="002900D6"/>
    <w:rsid w:val="00292173"/>
    <w:rsid w:val="00292D7E"/>
    <w:rsid w:val="00293CEB"/>
    <w:rsid w:val="0029458F"/>
    <w:rsid w:val="00297163"/>
    <w:rsid w:val="002A1A62"/>
    <w:rsid w:val="002A1E33"/>
    <w:rsid w:val="002A28F0"/>
    <w:rsid w:val="002A404E"/>
    <w:rsid w:val="002A5BF4"/>
    <w:rsid w:val="002A6330"/>
    <w:rsid w:val="002A7E82"/>
    <w:rsid w:val="002B00BD"/>
    <w:rsid w:val="002B2272"/>
    <w:rsid w:val="002B229D"/>
    <w:rsid w:val="002B2312"/>
    <w:rsid w:val="002B32D8"/>
    <w:rsid w:val="002B417D"/>
    <w:rsid w:val="002B4D63"/>
    <w:rsid w:val="002B653C"/>
    <w:rsid w:val="002B6A3F"/>
    <w:rsid w:val="002B6E73"/>
    <w:rsid w:val="002B7623"/>
    <w:rsid w:val="002C21A9"/>
    <w:rsid w:val="002C26D8"/>
    <w:rsid w:val="002C2FD5"/>
    <w:rsid w:val="002C5FF5"/>
    <w:rsid w:val="002D2975"/>
    <w:rsid w:val="002D351C"/>
    <w:rsid w:val="002D6EC6"/>
    <w:rsid w:val="002D72AE"/>
    <w:rsid w:val="002E17B1"/>
    <w:rsid w:val="002E1B87"/>
    <w:rsid w:val="002E25C4"/>
    <w:rsid w:val="002E27A5"/>
    <w:rsid w:val="002E2E46"/>
    <w:rsid w:val="002E39FE"/>
    <w:rsid w:val="002E54B7"/>
    <w:rsid w:val="002F2CFD"/>
    <w:rsid w:val="002F54EB"/>
    <w:rsid w:val="003016D1"/>
    <w:rsid w:val="00301EF9"/>
    <w:rsid w:val="00302DE9"/>
    <w:rsid w:val="00303E49"/>
    <w:rsid w:val="00305682"/>
    <w:rsid w:val="00306BC9"/>
    <w:rsid w:val="0031126E"/>
    <w:rsid w:val="00311928"/>
    <w:rsid w:val="00312A04"/>
    <w:rsid w:val="0031323C"/>
    <w:rsid w:val="00313D98"/>
    <w:rsid w:val="003218DA"/>
    <w:rsid w:val="00321CBF"/>
    <w:rsid w:val="00324445"/>
    <w:rsid w:val="00326654"/>
    <w:rsid w:val="003270DB"/>
    <w:rsid w:val="0032710C"/>
    <w:rsid w:val="003278E5"/>
    <w:rsid w:val="003314E4"/>
    <w:rsid w:val="003316E4"/>
    <w:rsid w:val="00331F1D"/>
    <w:rsid w:val="00332125"/>
    <w:rsid w:val="00332281"/>
    <w:rsid w:val="00333194"/>
    <w:rsid w:val="00334D94"/>
    <w:rsid w:val="003374EE"/>
    <w:rsid w:val="00340753"/>
    <w:rsid w:val="003425E4"/>
    <w:rsid w:val="00342EA0"/>
    <w:rsid w:val="003437CF"/>
    <w:rsid w:val="00343D32"/>
    <w:rsid w:val="0034438D"/>
    <w:rsid w:val="00350078"/>
    <w:rsid w:val="003502F4"/>
    <w:rsid w:val="00352CA4"/>
    <w:rsid w:val="003541EB"/>
    <w:rsid w:val="003570D4"/>
    <w:rsid w:val="003572DA"/>
    <w:rsid w:val="00357A02"/>
    <w:rsid w:val="00357E8B"/>
    <w:rsid w:val="00360DE8"/>
    <w:rsid w:val="00362065"/>
    <w:rsid w:val="00362825"/>
    <w:rsid w:val="00363EFD"/>
    <w:rsid w:val="00365E93"/>
    <w:rsid w:val="003660AE"/>
    <w:rsid w:val="003672C4"/>
    <w:rsid w:val="003706D7"/>
    <w:rsid w:val="00375E0D"/>
    <w:rsid w:val="0038023B"/>
    <w:rsid w:val="003818CB"/>
    <w:rsid w:val="003821FE"/>
    <w:rsid w:val="00382AF9"/>
    <w:rsid w:val="00383A92"/>
    <w:rsid w:val="00385C96"/>
    <w:rsid w:val="00385CE0"/>
    <w:rsid w:val="00391E6E"/>
    <w:rsid w:val="003930AD"/>
    <w:rsid w:val="0039643E"/>
    <w:rsid w:val="00396EE5"/>
    <w:rsid w:val="003A127C"/>
    <w:rsid w:val="003A4569"/>
    <w:rsid w:val="003A5006"/>
    <w:rsid w:val="003A72D4"/>
    <w:rsid w:val="003B0B63"/>
    <w:rsid w:val="003B1517"/>
    <w:rsid w:val="003B156C"/>
    <w:rsid w:val="003B1735"/>
    <w:rsid w:val="003B20A9"/>
    <w:rsid w:val="003B24F8"/>
    <w:rsid w:val="003B2E49"/>
    <w:rsid w:val="003B7419"/>
    <w:rsid w:val="003C1CCA"/>
    <w:rsid w:val="003C2456"/>
    <w:rsid w:val="003C3430"/>
    <w:rsid w:val="003C61F0"/>
    <w:rsid w:val="003D1EE2"/>
    <w:rsid w:val="003D222D"/>
    <w:rsid w:val="003D3A5C"/>
    <w:rsid w:val="003D4BF3"/>
    <w:rsid w:val="003E1FDA"/>
    <w:rsid w:val="003E2024"/>
    <w:rsid w:val="003E29CD"/>
    <w:rsid w:val="003E2AAC"/>
    <w:rsid w:val="003E2F8E"/>
    <w:rsid w:val="003E44FD"/>
    <w:rsid w:val="003E51D5"/>
    <w:rsid w:val="003F35BD"/>
    <w:rsid w:val="003F37F8"/>
    <w:rsid w:val="003F482A"/>
    <w:rsid w:val="003F4C34"/>
    <w:rsid w:val="003F691C"/>
    <w:rsid w:val="003F7D8B"/>
    <w:rsid w:val="004007D5"/>
    <w:rsid w:val="004013D0"/>
    <w:rsid w:val="0040230A"/>
    <w:rsid w:val="004023D6"/>
    <w:rsid w:val="004028EE"/>
    <w:rsid w:val="00402FCE"/>
    <w:rsid w:val="00403BD6"/>
    <w:rsid w:val="0040589B"/>
    <w:rsid w:val="00405DDF"/>
    <w:rsid w:val="0040603E"/>
    <w:rsid w:val="004117FE"/>
    <w:rsid w:val="00411A1F"/>
    <w:rsid w:val="004175DE"/>
    <w:rsid w:val="00421BC7"/>
    <w:rsid w:val="004227A9"/>
    <w:rsid w:val="00424F3B"/>
    <w:rsid w:val="00425677"/>
    <w:rsid w:val="0042581F"/>
    <w:rsid w:val="004272EF"/>
    <w:rsid w:val="004276BE"/>
    <w:rsid w:val="00432B44"/>
    <w:rsid w:val="00432BD7"/>
    <w:rsid w:val="00433974"/>
    <w:rsid w:val="00434676"/>
    <w:rsid w:val="00434B85"/>
    <w:rsid w:val="00435991"/>
    <w:rsid w:val="00435F91"/>
    <w:rsid w:val="004369AD"/>
    <w:rsid w:val="0043799C"/>
    <w:rsid w:val="00440BA1"/>
    <w:rsid w:val="00441E59"/>
    <w:rsid w:val="004443D1"/>
    <w:rsid w:val="00446A5A"/>
    <w:rsid w:val="00447E18"/>
    <w:rsid w:val="004504D4"/>
    <w:rsid w:val="00450E67"/>
    <w:rsid w:val="00453F55"/>
    <w:rsid w:val="004546DF"/>
    <w:rsid w:val="00454960"/>
    <w:rsid w:val="0045797F"/>
    <w:rsid w:val="0046490A"/>
    <w:rsid w:val="00466277"/>
    <w:rsid w:val="004670E4"/>
    <w:rsid w:val="0047193E"/>
    <w:rsid w:val="00473F09"/>
    <w:rsid w:val="00474341"/>
    <w:rsid w:val="00474FAA"/>
    <w:rsid w:val="00476F4D"/>
    <w:rsid w:val="004816C8"/>
    <w:rsid w:val="004822D4"/>
    <w:rsid w:val="00483AFB"/>
    <w:rsid w:val="00486784"/>
    <w:rsid w:val="004902ED"/>
    <w:rsid w:val="00490EAB"/>
    <w:rsid w:val="0049229E"/>
    <w:rsid w:val="00494AD1"/>
    <w:rsid w:val="004969B2"/>
    <w:rsid w:val="004A00E3"/>
    <w:rsid w:val="004A4205"/>
    <w:rsid w:val="004A4900"/>
    <w:rsid w:val="004A5601"/>
    <w:rsid w:val="004A7A17"/>
    <w:rsid w:val="004B280B"/>
    <w:rsid w:val="004B7FFB"/>
    <w:rsid w:val="004C16F7"/>
    <w:rsid w:val="004C2351"/>
    <w:rsid w:val="004C2357"/>
    <w:rsid w:val="004C2B3A"/>
    <w:rsid w:val="004C3520"/>
    <w:rsid w:val="004C410F"/>
    <w:rsid w:val="004C467A"/>
    <w:rsid w:val="004C4899"/>
    <w:rsid w:val="004C60CD"/>
    <w:rsid w:val="004C68A5"/>
    <w:rsid w:val="004C6E33"/>
    <w:rsid w:val="004D0531"/>
    <w:rsid w:val="004D5CD9"/>
    <w:rsid w:val="004E0DA9"/>
    <w:rsid w:val="004E2230"/>
    <w:rsid w:val="004E2353"/>
    <w:rsid w:val="004E3EF2"/>
    <w:rsid w:val="004E48AE"/>
    <w:rsid w:val="004E5404"/>
    <w:rsid w:val="004E6739"/>
    <w:rsid w:val="004E6A2A"/>
    <w:rsid w:val="004E6CDA"/>
    <w:rsid w:val="004E7601"/>
    <w:rsid w:val="004E7FC9"/>
    <w:rsid w:val="004F107E"/>
    <w:rsid w:val="004F290B"/>
    <w:rsid w:val="004F511C"/>
    <w:rsid w:val="005003FA"/>
    <w:rsid w:val="0050104C"/>
    <w:rsid w:val="005016A5"/>
    <w:rsid w:val="00502473"/>
    <w:rsid w:val="00503535"/>
    <w:rsid w:val="00504515"/>
    <w:rsid w:val="00504A92"/>
    <w:rsid w:val="005070ED"/>
    <w:rsid w:val="00513C84"/>
    <w:rsid w:val="0051461B"/>
    <w:rsid w:val="005146B0"/>
    <w:rsid w:val="00515C7B"/>
    <w:rsid w:val="005172B9"/>
    <w:rsid w:val="00517A34"/>
    <w:rsid w:val="005219DC"/>
    <w:rsid w:val="00521F2B"/>
    <w:rsid w:val="00523A48"/>
    <w:rsid w:val="00524C07"/>
    <w:rsid w:val="00526903"/>
    <w:rsid w:val="00530F8C"/>
    <w:rsid w:val="00532C13"/>
    <w:rsid w:val="00533602"/>
    <w:rsid w:val="00534C5C"/>
    <w:rsid w:val="00536508"/>
    <w:rsid w:val="00537613"/>
    <w:rsid w:val="00540194"/>
    <w:rsid w:val="00540C4F"/>
    <w:rsid w:val="00540F25"/>
    <w:rsid w:val="00541C8C"/>
    <w:rsid w:val="005425EC"/>
    <w:rsid w:val="005434CD"/>
    <w:rsid w:val="00543C84"/>
    <w:rsid w:val="0054674E"/>
    <w:rsid w:val="00547C02"/>
    <w:rsid w:val="005500C8"/>
    <w:rsid w:val="0055027A"/>
    <w:rsid w:val="00550FA4"/>
    <w:rsid w:val="005511B6"/>
    <w:rsid w:val="00552E22"/>
    <w:rsid w:val="00552E26"/>
    <w:rsid w:val="00554305"/>
    <w:rsid w:val="00554920"/>
    <w:rsid w:val="00554EEA"/>
    <w:rsid w:val="00560A8D"/>
    <w:rsid w:val="00560B6E"/>
    <w:rsid w:val="00562E20"/>
    <w:rsid w:val="00564713"/>
    <w:rsid w:val="00565A45"/>
    <w:rsid w:val="005672F9"/>
    <w:rsid w:val="0057012B"/>
    <w:rsid w:val="00571515"/>
    <w:rsid w:val="005730B1"/>
    <w:rsid w:val="00573BDC"/>
    <w:rsid w:val="00574E08"/>
    <w:rsid w:val="00574FC1"/>
    <w:rsid w:val="0057511E"/>
    <w:rsid w:val="00576AA8"/>
    <w:rsid w:val="00577109"/>
    <w:rsid w:val="005800AE"/>
    <w:rsid w:val="00580E5F"/>
    <w:rsid w:val="00581470"/>
    <w:rsid w:val="00582AF4"/>
    <w:rsid w:val="0058397F"/>
    <w:rsid w:val="00591279"/>
    <w:rsid w:val="00591369"/>
    <w:rsid w:val="00593CD3"/>
    <w:rsid w:val="00594490"/>
    <w:rsid w:val="00595324"/>
    <w:rsid w:val="00596BF0"/>
    <w:rsid w:val="00597FBF"/>
    <w:rsid w:val="005A000B"/>
    <w:rsid w:val="005A02DA"/>
    <w:rsid w:val="005A28D2"/>
    <w:rsid w:val="005B2C16"/>
    <w:rsid w:val="005B32E4"/>
    <w:rsid w:val="005B6514"/>
    <w:rsid w:val="005B6EDF"/>
    <w:rsid w:val="005B7C09"/>
    <w:rsid w:val="005C0797"/>
    <w:rsid w:val="005C1308"/>
    <w:rsid w:val="005C55D3"/>
    <w:rsid w:val="005C7332"/>
    <w:rsid w:val="005C7945"/>
    <w:rsid w:val="005D05EA"/>
    <w:rsid w:val="005D447D"/>
    <w:rsid w:val="005D4781"/>
    <w:rsid w:val="005D5052"/>
    <w:rsid w:val="005D65D6"/>
    <w:rsid w:val="005E5881"/>
    <w:rsid w:val="005E5C57"/>
    <w:rsid w:val="005E5CAE"/>
    <w:rsid w:val="005E69C4"/>
    <w:rsid w:val="005F0453"/>
    <w:rsid w:val="005F0A48"/>
    <w:rsid w:val="005F0A91"/>
    <w:rsid w:val="005F0CD6"/>
    <w:rsid w:val="005F7A1E"/>
    <w:rsid w:val="005F7DCA"/>
    <w:rsid w:val="005F7E71"/>
    <w:rsid w:val="00601227"/>
    <w:rsid w:val="006027B7"/>
    <w:rsid w:val="00602C15"/>
    <w:rsid w:val="00602D42"/>
    <w:rsid w:val="0060530D"/>
    <w:rsid w:val="0060540D"/>
    <w:rsid w:val="00606301"/>
    <w:rsid w:val="00606B1D"/>
    <w:rsid w:val="00607CFD"/>
    <w:rsid w:val="0061167F"/>
    <w:rsid w:val="0061199B"/>
    <w:rsid w:val="00612731"/>
    <w:rsid w:val="0061479C"/>
    <w:rsid w:val="00614971"/>
    <w:rsid w:val="00614D19"/>
    <w:rsid w:val="00616D3A"/>
    <w:rsid w:val="00617984"/>
    <w:rsid w:val="00617ADD"/>
    <w:rsid w:val="00620346"/>
    <w:rsid w:val="006219F8"/>
    <w:rsid w:val="00622A68"/>
    <w:rsid w:val="00622CBD"/>
    <w:rsid w:val="00623009"/>
    <w:rsid w:val="006259A9"/>
    <w:rsid w:val="00627CB9"/>
    <w:rsid w:val="0063043E"/>
    <w:rsid w:val="00630744"/>
    <w:rsid w:val="00631BA7"/>
    <w:rsid w:val="00631F31"/>
    <w:rsid w:val="006345F8"/>
    <w:rsid w:val="00634B19"/>
    <w:rsid w:val="00636EC7"/>
    <w:rsid w:val="00637B70"/>
    <w:rsid w:val="00640DB0"/>
    <w:rsid w:val="006414C2"/>
    <w:rsid w:val="00641D76"/>
    <w:rsid w:val="006441B2"/>
    <w:rsid w:val="006444B3"/>
    <w:rsid w:val="00646886"/>
    <w:rsid w:val="006470EE"/>
    <w:rsid w:val="00647DE3"/>
    <w:rsid w:val="006518C6"/>
    <w:rsid w:val="0065250B"/>
    <w:rsid w:val="00654F54"/>
    <w:rsid w:val="006571B5"/>
    <w:rsid w:val="006575AE"/>
    <w:rsid w:val="00661261"/>
    <w:rsid w:val="00661AE5"/>
    <w:rsid w:val="00663326"/>
    <w:rsid w:val="006662C2"/>
    <w:rsid w:val="00670F1D"/>
    <w:rsid w:val="006724D9"/>
    <w:rsid w:val="00673ED6"/>
    <w:rsid w:val="0067742D"/>
    <w:rsid w:val="00677492"/>
    <w:rsid w:val="00677FCB"/>
    <w:rsid w:val="006815BC"/>
    <w:rsid w:val="00685E74"/>
    <w:rsid w:val="00690D14"/>
    <w:rsid w:val="00695EC4"/>
    <w:rsid w:val="006A1274"/>
    <w:rsid w:val="006A1511"/>
    <w:rsid w:val="006A2D76"/>
    <w:rsid w:val="006A44A7"/>
    <w:rsid w:val="006A50B8"/>
    <w:rsid w:val="006A5C01"/>
    <w:rsid w:val="006A6283"/>
    <w:rsid w:val="006A7E0C"/>
    <w:rsid w:val="006B21A3"/>
    <w:rsid w:val="006B4FE1"/>
    <w:rsid w:val="006C1FDD"/>
    <w:rsid w:val="006C203F"/>
    <w:rsid w:val="006C2F95"/>
    <w:rsid w:val="006C31BB"/>
    <w:rsid w:val="006C5668"/>
    <w:rsid w:val="006C75A7"/>
    <w:rsid w:val="006D013F"/>
    <w:rsid w:val="006D1024"/>
    <w:rsid w:val="006D1167"/>
    <w:rsid w:val="006D237A"/>
    <w:rsid w:val="006D334B"/>
    <w:rsid w:val="006D3ADD"/>
    <w:rsid w:val="006D6D6F"/>
    <w:rsid w:val="006F08F6"/>
    <w:rsid w:val="006F54F4"/>
    <w:rsid w:val="006F6776"/>
    <w:rsid w:val="006F7D7A"/>
    <w:rsid w:val="00700B58"/>
    <w:rsid w:val="007017B1"/>
    <w:rsid w:val="00701E8E"/>
    <w:rsid w:val="00702F43"/>
    <w:rsid w:val="007034B9"/>
    <w:rsid w:val="0070713C"/>
    <w:rsid w:val="007101DD"/>
    <w:rsid w:val="00711534"/>
    <w:rsid w:val="007124DC"/>
    <w:rsid w:val="00712949"/>
    <w:rsid w:val="00714E8A"/>
    <w:rsid w:val="007152F7"/>
    <w:rsid w:val="00715DC2"/>
    <w:rsid w:val="00715F61"/>
    <w:rsid w:val="00720989"/>
    <w:rsid w:val="00720CD6"/>
    <w:rsid w:val="00722597"/>
    <w:rsid w:val="00723CD4"/>
    <w:rsid w:val="007245A6"/>
    <w:rsid w:val="00724C7A"/>
    <w:rsid w:val="00724C87"/>
    <w:rsid w:val="00724ED4"/>
    <w:rsid w:val="0072563C"/>
    <w:rsid w:val="007268C4"/>
    <w:rsid w:val="0072764D"/>
    <w:rsid w:val="00727D35"/>
    <w:rsid w:val="00730973"/>
    <w:rsid w:val="00730977"/>
    <w:rsid w:val="00731673"/>
    <w:rsid w:val="00731C91"/>
    <w:rsid w:val="0073220A"/>
    <w:rsid w:val="00733A96"/>
    <w:rsid w:val="007343D1"/>
    <w:rsid w:val="00735C6C"/>
    <w:rsid w:val="00736C9B"/>
    <w:rsid w:val="007410E7"/>
    <w:rsid w:val="00741D33"/>
    <w:rsid w:val="00744AF7"/>
    <w:rsid w:val="00745573"/>
    <w:rsid w:val="00745E8A"/>
    <w:rsid w:val="007466F9"/>
    <w:rsid w:val="00746EC2"/>
    <w:rsid w:val="00747CBA"/>
    <w:rsid w:val="00750497"/>
    <w:rsid w:val="00752098"/>
    <w:rsid w:val="00752485"/>
    <w:rsid w:val="00753652"/>
    <w:rsid w:val="007552B9"/>
    <w:rsid w:val="0075606C"/>
    <w:rsid w:val="00757232"/>
    <w:rsid w:val="007608E0"/>
    <w:rsid w:val="007676C3"/>
    <w:rsid w:val="007712A3"/>
    <w:rsid w:val="00772C45"/>
    <w:rsid w:val="00772CC0"/>
    <w:rsid w:val="00773ED1"/>
    <w:rsid w:val="00774F14"/>
    <w:rsid w:val="00775EDF"/>
    <w:rsid w:val="00780427"/>
    <w:rsid w:val="00780E77"/>
    <w:rsid w:val="00784BD6"/>
    <w:rsid w:val="007852A0"/>
    <w:rsid w:val="00787286"/>
    <w:rsid w:val="00787E70"/>
    <w:rsid w:val="00790A8E"/>
    <w:rsid w:val="00791413"/>
    <w:rsid w:val="00791BFA"/>
    <w:rsid w:val="00791C27"/>
    <w:rsid w:val="00791C6A"/>
    <w:rsid w:val="0079339D"/>
    <w:rsid w:val="007938BD"/>
    <w:rsid w:val="00794966"/>
    <w:rsid w:val="00795F86"/>
    <w:rsid w:val="00796D8E"/>
    <w:rsid w:val="007A2E23"/>
    <w:rsid w:val="007A6874"/>
    <w:rsid w:val="007A6A29"/>
    <w:rsid w:val="007A7943"/>
    <w:rsid w:val="007A79E1"/>
    <w:rsid w:val="007A7A90"/>
    <w:rsid w:val="007B0EB6"/>
    <w:rsid w:val="007B139F"/>
    <w:rsid w:val="007B1D0D"/>
    <w:rsid w:val="007B2240"/>
    <w:rsid w:val="007B2FCD"/>
    <w:rsid w:val="007B3B6D"/>
    <w:rsid w:val="007B783D"/>
    <w:rsid w:val="007B7B53"/>
    <w:rsid w:val="007C1FB6"/>
    <w:rsid w:val="007C313D"/>
    <w:rsid w:val="007C5602"/>
    <w:rsid w:val="007C679A"/>
    <w:rsid w:val="007D084E"/>
    <w:rsid w:val="007D14D2"/>
    <w:rsid w:val="007D1DAB"/>
    <w:rsid w:val="007D1DC1"/>
    <w:rsid w:val="007D3E22"/>
    <w:rsid w:val="007D5095"/>
    <w:rsid w:val="007D5638"/>
    <w:rsid w:val="007D5F43"/>
    <w:rsid w:val="007D7A1B"/>
    <w:rsid w:val="007E10D2"/>
    <w:rsid w:val="007E3080"/>
    <w:rsid w:val="007E3DA5"/>
    <w:rsid w:val="007E5D57"/>
    <w:rsid w:val="007E5E8F"/>
    <w:rsid w:val="007E6491"/>
    <w:rsid w:val="007F0937"/>
    <w:rsid w:val="007F1192"/>
    <w:rsid w:val="007F384A"/>
    <w:rsid w:val="007F643A"/>
    <w:rsid w:val="007F7BD1"/>
    <w:rsid w:val="008006E5"/>
    <w:rsid w:val="0080070A"/>
    <w:rsid w:val="00802776"/>
    <w:rsid w:val="00802805"/>
    <w:rsid w:val="00802EE2"/>
    <w:rsid w:val="008031FF"/>
    <w:rsid w:val="0080350C"/>
    <w:rsid w:val="00804BC3"/>
    <w:rsid w:val="00804C67"/>
    <w:rsid w:val="00806E8E"/>
    <w:rsid w:val="008076E7"/>
    <w:rsid w:val="00807CA4"/>
    <w:rsid w:val="00811E0C"/>
    <w:rsid w:val="008137EA"/>
    <w:rsid w:val="008143EE"/>
    <w:rsid w:val="00816F2F"/>
    <w:rsid w:val="00817A8E"/>
    <w:rsid w:val="00820C63"/>
    <w:rsid w:val="008227C9"/>
    <w:rsid w:val="0082413D"/>
    <w:rsid w:val="0082417E"/>
    <w:rsid w:val="00824BFE"/>
    <w:rsid w:val="00825360"/>
    <w:rsid w:val="00826FDC"/>
    <w:rsid w:val="00827AC1"/>
    <w:rsid w:val="00830060"/>
    <w:rsid w:val="008309E9"/>
    <w:rsid w:val="00831656"/>
    <w:rsid w:val="00840AD3"/>
    <w:rsid w:val="008413E0"/>
    <w:rsid w:val="00841DAF"/>
    <w:rsid w:val="008462D9"/>
    <w:rsid w:val="008475A0"/>
    <w:rsid w:val="008503D7"/>
    <w:rsid w:val="00850759"/>
    <w:rsid w:val="00853413"/>
    <w:rsid w:val="00854394"/>
    <w:rsid w:val="008543DD"/>
    <w:rsid w:val="00857954"/>
    <w:rsid w:val="0086080F"/>
    <w:rsid w:val="00860AAD"/>
    <w:rsid w:val="00861BA5"/>
    <w:rsid w:val="0086535E"/>
    <w:rsid w:val="00865BE0"/>
    <w:rsid w:val="00866DB5"/>
    <w:rsid w:val="00870497"/>
    <w:rsid w:val="008710C4"/>
    <w:rsid w:val="00871692"/>
    <w:rsid w:val="008722D3"/>
    <w:rsid w:val="0087418B"/>
    <w:rsid w:val="00874DF8"/>
    <w:rsid w:val="00875A30"/>
    <w:rsid w:val="00876886"/>
    <w:rsid w:val="00877BBF"/>
    <w:rsid w:val="00882B51"/>
    <w:rsid w:val="008863A8"/>
    <w:rsid w:val="00887765"/>
    <w:rsid w:val="00892D4F"/>
    <w:rsid w:val="00893434"/>
    <w:rsid w:val="00894F36"/>
    <w:rsid w:val="00895DF1"/>
    <w:rsid w:val="00896404"/>
    <w:rsid w:val="00896FFC"/>
    <w:rsid w:val="008A0F3D"/>
    <w:rsid w:val="008A3064"/>
    <w:rsid w:val="008A3587"/>
    <w:rsid w:val="008A35D4"/>
    <w:rsid w:val="008A4B10"/>
    <w:rsid w:val="008A512F"/>
    <w:rsid w:val="008A5EFE"/>
    <w:rsid w:val="008B0ADC"/>
    <w:rsid w:val="008B0F1E"/>
    <w:rsid w:val="008B1403"/>
    <w:rsid w:val="008B17A1"/>
    <w:rsid w:val="008B37A5"/>
    <w:rsid w:val="008B3828"/>
    <w:rsid w:val="008B3A2C"/>
    <w:rsid w:val="008B7EF5"/>
    <w:rsid w:val="008C055A"/>
    <w:rsid w:val="008C131C"/>
    <w:rsid w:val="008C2029"/>
    <w:rsid w:val="008C2DDC"/>
    <w:rsid w:val="008C4F13"/>
    <w:rsid w:val="008C5E76"/>
    <w:rsid w:val="008D032C"/>
    <w:rsid w:val="008D2AB1"/>
    <w:rsid w:val="008D665C"/>
    <w:rsid w:val="008E2923"/>
    <w:rsid w:val="008E3854"/>
    <w:rsid w:val="008E5E06"/>
    <w:rsid w:val="008E6127"/>
    <w:rsid w:val="008E6B4D"/>
    <w:rsid w:val="008F1200"/>
    <w:rsid w:val="008F5238"/>
    <w:rsid w:val="008F575A"/>
    <w:rsid w:val="008F7368"/>
    <w:rsid w:val="008F7977"/>
    <w:rsid w:val="00900D66"/>
    <w:rsid w:val="00904864"/>
    <w:rsid w:val="0090548E"/>
    <w:rsid w:val="00905ED0"/>
    <w:rsid w:val="009075F1"/>
    <w:rsid w:val="009105F7"/>
    <w:rsid w:val="0091149D"/>
    <w:rsid w:val="0091269F"/>
    <w:rsid w:val="00912731"/>
    <w:rsid w:val="00913E80"/>
    <w:rsid w:val="00915380"/>
    <w:rsid w:val="00916622"/>
    <w:rsid w:val="00921216"/>
    <w:rsid w:val="00921526"/>
    <w:rsid w:val="00923E35"/>
    <w:rsid w:val="009318F0"/>
    <w:rsid w:val="009346C3"/>
    <w:rsid w:val="00940267"/>
    <w:rsid w:val="0094147C"/>
    <w:rsid w:val="00944610"/>
    <w:rsid w:val="009505D5"/>
    <w:rsid w:val="00951052"/>
    <w:rsid w:val="00955B51"/>
    <w:rsid w:val="00955C1F"/>
    <w:rsid w:val="009568D0"/>
    <w:rsid w:val="00960137"/>
    <w:rsid w:val="00961DEB"/>
    <w:rsid w:val="00963DFD"/>
    <w:rsid w:val="00966A14"/>
    <w:rsid w:val="009673C5"/>
    <w:rsid w:val="0097043F"/>
    <w:rsid w:val="00970806"/>
    <w:rsid w:val="00970E3F"/>
    <w:rsid w:val="0097199A"/>
    <w:rsid w:val="009722DC"/>
    <w:rsid w:val="00972DCF"/>
    <w:rsid w:val="00972E21"/>
    <w:rsid w:val="00974F1C"/>
    <w:rsid w:val="0097583E"/>
    <w:rsid w:val="00980251"/>
    <w:rsid w:val="00982A64"/>
    <w:rsid w:val="00983647"/>
    <w:rsid w:val="009856D8"/>
    <w:rsid w:val="00986934"/>
    <w:rsid w:val="0099013C"/>
    <w:rsid w:val="009905CA"/>
    <w:rsid w:val="009957D7"/>
    <w:rsid w:val="00995814"/>
    <w:rsid w:val="0099615E"/>
    <w:rsid w:val="009A12F0"/>
    <w:rsid w:val="009A2357"/>
    <w:rsid w:val="009A2D7C"/>
    <w:rsid w:val="009A3C63"/>
    <w:rsid w:val="009A4039"/>
    <w:rsid w:val="009A4EE1"/>
    <w:rsid w:val="009A51EC"/>
    <w:rsid w:val="009A55B9"/>
    <w:rsid w:val="009B4FC7"/>
    <w:rsid w:val="009B504F"/>
    <w:rsid w:val="009B60CE"/>
    <w:rsid w:val="009C03D6"/>
    <w:rsid w:val="009C3940"/>
    <w:rsid w:val="009C44E2"/>
    <w:rsid w:val="009D329F"/>
    <w:rsid w:val="009D476A"/>
    <w:rsid w:val="009D5014"/>
    <w:rsid w:val="009D5A82"/>
    <w:rsid w:val="009D663D"/>
    <w:rsid w:val="009E0175"/>
    <w:rsid w:val="009E0F79"/>
    <w:rsid w:val="009E1897"/>
    <w:rsid w:val="009E25AF"/>
    <w:rsid w:val="009E3D53"/>
    <w:rsid w:val="009E3F59"/>
    <w:rsid w:val="009E4AE6"/>
    <w:rsid w:val="009E5509"/>
    <w:rsid w:val="009E5A89"/>
    <w:rsid w:val="009E6294"/>
    <w:rsid w:val="009E7890"/>
    <w:rsid w:val="009F0CCA"/>
    <w:rsid w:val="009F47DC"/>
    <w:rsid w:val="009F5883"/>
    <w:rsid w:val="009F715D"/>
    <w:rsid w:val="00A004EF"/>
    <w:rsid w:val="00A0072C"/>
    <w:rsid w:val="00A01FA9"/>
    <w:rsid w:val="00A02483"/>
    <w:rsid w:val="00A03363"/>
    <w:rsid w:val="00A039BC"/>
    <w:rsid w:val="00A04FC2"/>
    <w:rsid w:val="00A06902"/>
    <w:rsid w:val="00A0733D"/>
    <w:rsid w:val="00A07C45"/>
    <w:rsid w:val="00A101CD"/>
    <w:rsid w:val="00A10B1C"/>
    <w:rsid w:val="00A1187E"/>
    <w:rsid w:val="00A122F9"/>
    <w:rsid w:val="00A1299A"/>
    <w:rsid w:val="00A12B9D"/>
    <w:rsid w:val="00A12F49"/>
    <w:rsid w:val="00A14DB9"/>
    <w:rsid w:val="00A16160"/>
    <w:rsid w:val="00A162E1"/>
    <w:rsid w:val="00A16D4E"/>
    <w:rsid w:val="00A17194"/>
    <w:rsid w:val="00A218A9"/>
    <w:rsid w:val="00A23510"/>
    <w:rsid w:val="00A23F0D"/>
    <w:rsid w:val="00A25056"/>
    <w:rsid w:val="00A27E8D"/>
    <w:rsid w:val="00A300B7"/>
    <w:rsid w:val="00A3036C"/>
    <w:rsid w:val="00A31BCE"/>
    <w:rsid w:val="00A32082"/>
    <w:rsid w:val="00A32E24"/>
    <w:rsid w:val="00A32E77"/>
    <w:rsid w:val="00A33D07"/>
    <w:rsid w:val="00A36E14"/>
    <w:rsid w:val="00A36FAF"/>
    <w:rsid w:val="00A37289"/>
    <w:rsid w:val="00A3730B"/>
    <w:rsid w:val="00A40FAF"/>
    <w:rsid w:val="00A411AF"/>
    <w:rsid w:val="00A433AB"/>
    <w:rsid w:val="00A459F5"/>
    <w:rsid w:val="00A45A52"/>
    <w:rsid w:val="00A45F8B"/>
    <w:rsid w:val="00A46ECF"/>
    <w:rsid w:val="00A5465B"/>
    <w:rsid w:val="00A54B38"/>
    <w:rsid w:val="00A56185"/>
    <w:rsid w:val="00A5650F"/>
    <w:rsid w:val="00A6016F"/>
    <w:rsid w:val="00A61409"/>
    <w:rsid w:val="00A61C58"/>
    <w:rsid w:val="00A63BC5"/>
    <w:rsid w:val="00A64E9C"/>
    <w:rsid w:val="00A6527B"/>
    <w:rsid w:val="00A652B5"/>
    <w:rsid w:val="00A66AF7"/>
    <w:rsid w:val="00A70A66"/>
    <w:rsid w:val="00A70D61"/>
    <w:rsid w:val="00A73DCF"/>
    <w:rsid w:val="00A745D0"/>
    <w:rsid w:val="00A766B5"/>
    <w:rsid w:val="00A82EEA"/>
    <w:rsid w:val="00A84491"/>
    <w:rsid w:val="00A8510D"/>
    <w:rsid w:val="00A857F0"/>
    <w:rsid w:val="00A86129"/>
    <w:rsid w:val="00A86670"/>
    <w:rsid w:val="00A86770"/>
    <w:rsid w:val="00A8758A"/>
    <w:rsid w:val="00A879A1"/>
    <w:rsid w:val="00A911B6"/>
    <w:rsid w:val="00A97638"/>
    <w:rsid w:val="00AA05A1"/>
    <w:rsid w:val="00AA0925"/>
    <w:rsid w:val="00AA0D3D"/>
    <w:rsid w:val="00AA1C84"/>
    <w:rsid w:val="00AA2212"/>
    <w:rsid w:val="00AA22BE"/>
    <w:rsid w:val="00AA503D"/>
    <w:rsid w:val="00AA50F8"/>
    <w:rsid w:val="00AA5783"/>
    <w:rsid w:val="00AB1316"/>
    <w:rsid w:val="00AB264F"/>
    <w:rsid w:val="00AB30DF"/>
    <w:rsid w:val="00AB4117"/>
    <w:rsid w:val="00AB4CC8"/>
    <w:rsid w:val="00AB5EEA"/>
    <w:rsid w:val="00AB689F"/>
    <w:rsid w:val="00AC221C"/>
    <w:rsid w:val="00AC55CD"/>
    <w:rsid w:val="00AC645F"/>
    <w:rsid w:val="00AC690E"/>
    <w:rsid w:val="00AC7727"/>
    <w:rsid w:val="00AD6720"/>
    <w:rsid w:val="00AD7821"/>
    <w:rsid w:val="00AE07A0"/>
    <w:rsid w:val="00AE39F6"/>
    <w:rsid w:val="00AE3D58"/>
    <w:rsid w:val="00AE4144"/>
    <w:rsid w:val="00AE7FD6"/>
    <w:rsid w:val="00AF15E8"/>
    <w:rsid w:val="00AF5208"/>
    <w:rsid w:val="00AF5444"/>
    <w:rsid w:val="00AF5A1A"/>
    <w:rsid w:val="00AF6F0E"/>
    <w:rsid w:val="00AF70F1"/>
    <w:rsid w:val="00AF7635"/>
    <w:rsid w:val="00B022BE"/>
    <w:rsid w:val="00B03ADE"/>
    <w:rsid w:val="00B05EA9"/>
    <w:rsid w:val="00B06590"/>
    <w:rsid w:val="00B06B84"/>
    <w:rsid w:val="00B102F5"/>
    <w:rsid w:val="00B12F1B"/>
    <w:rsid w:val="00B14E8B"/>
    <w:rsid w:val="00B16953"/>
    <w:rsid w:val="00B221D3"/>
    <w:rsid w:val="00B22205"/>
    <w:rsid w:val="00B24887"/>
    <w:rsid w:val="00B24AE8"/>
    <w:rsid w:val="00B24F86"/>
    <w:rsid w:val="00B254E5"/>
    <w:rsid w:val="00B27597"/>
    <w:rsid w:val="00B27855"/>
    <w:rsid w:val="00B31B20"/>
    <w:rsid w:val="00B33B6B"/>
    <w:rsid w:val="00B33E72"/>
    <w:rsid w:val="00B34934"/>
    <w:rsid w:val="00B36FA9"/>
    <w:rsid w:val="00B37E26"/>
    <w:rsid w:val="00B440DD"/>
    <w:rsid w:val="00B50549"/>
    <w:rsid w:val="00B52672"/>
    <w:rsid w:val="00B566D8"/>
    <w:rsid w:val="00B568C0"/>
    <w:rsid w:val="00B56C8D"/>
    <w:rsid w:val="00B60C68"/>
    <w:rsid w:val="00B620C3"/>
    <w:rsid w:val="00B62302"/>
    <w:rsid w:val="00B62393"/>
    <w:rsid w:val="00B630BC"/>
    <w:rsid w:val="00B659B2"/>
    <w:rsid w:val="00B6611E"/>
    <w:rsid w:val="00B66F80"/>
    <w:rsid w:val="00B70EB5"/>
    <w:rsid w:val="00B71582"/>
    <w:rsid w:val="00B728F9"/>
    <w:rsid w:val="00B73AF8"/>
    <w:rsid w:val="00B77D0B"/>
    <w:rsid w:val="00B77D7B"/>
    <w:rsid w:val="00B77DAA"/>
    <w:rsid w:val="00B80995"/>
    <w:rsid w:val="00B8165A"/>
    <w:rsid w:val="00B82CF9"/>
    <w:rsid w:val="00B857C1"/>
    <w:rsid w:val="00B867CC"/>
    <w:rsid w:val="00B86F28"/>
    <w:rsid w:val="00B91DBD"/>
    <w:rsid w:val="00B935C9"/>
    <w:rsid w:val="00B95675"/>
    <w:rsid w:val="00B96D99"/>
    <w:rsid w:val="00BA0B8F"/>
    <w:rsid w:val="00BA171A"/>
    <w:rsid w:val="00BA293A"/>
    <w:rsid w:val="00BA32C1"/>
    <w:rsid w:val="00BA4052"/>
    <w:rsid w:val="00BA5AE1"/>
    <w:rsid w:val="00BA5AE7"/>
    <w:rsid w:val="00BA6194"/>
    <w:rsid w:val="00BA6A1A"/>
    <w:rsid w:val="00BA7B2F"/>
    <w:rsid w:val="00BB0351"/>
    <w:rsid w:val="00BB1134"/>
    <w:rsid w:val="00BB12FC"/>
    <w:rsid w:val="00BB411D"/>
    <w:rsid w:val="00BB481B"/>
    <w:rsid w:val="00BB6450"/>
    <w:rsid w:val="00BB7683"/>
    <w:rsid w:val="00BC0659"/>
    <w:rsid w:val="00BC091E"/>
    <w:rsid w:val="00BC0F44"/>
    <w:rsid w:val="00BC4410"/>
    <w:rsid w:val="00BC5B8A"/>
    <w:rsid w:val="00BC5C93"/>
    <w:rsid w:val="00BC7661"/>
    <w:rsid w:val="00BD26BA"/>
    <w:rsid w:val="00BD293C"/>
    <w:rsid w:val="00BD371E"/>
    <w:rsid w:val="00BD66C0"/>
    <w:rsid w:val="00BD6FE8"/>
    <w:rsid w:val="00BE16C3"/>
    <w:rsid w:val="00BE4CE9"/>
    <w:rsid w:val="00BE718F"/>
    <w:rsid w:val="00BE7B2D"/>
    <w:rsid w:val="00BE7F1E"/>
    <w:rsid w:val="00BF2E49"/>
    <w:rsid w:val="00BF4780"/>
    <w:rsid w:val="00BF6F44"/>
    <w:rsid w:val="00BF70A7"/>
    <w:rsid w:val="00BF7A7B"/>
    <w:rsid w:val="00C00071"/>
    <w:rsid w:val="00C01BAD"/>
    <w:rsid w:val="00C0244A"/>
    <w:rsid w:val="00C02465"/>
    <w:rsid w:val="00C0534B"/>
    <w:rsid w:val="00C06B22"/>
    <w:rsid w:val="00C10940"/>
    <w:rsid w:val="00C12733"/>
    <w:rsid w:val="00C139F9"/>
    <w:rsid w:val="00C14ADD"/>
    <w:rsid w:val="00C2171F"/>
    <w:rsid w:val="00C2311C"/>
    <w:rsid w:val="00C235C3"/>
    <w:rsid w:val="00C30203"/>
    <w:rsid w:val="00C302E2"/>
    <w:rsid w:val="00C3034C"/>
    <w:rsid w:val="00C31F94"/>
    <w:rsid w:val="00C343C4"/>
    <w:rsid w:val="00C34B82"/>
    <w:rsid w:val="00C350BB"/>
    <w:rsid w:val="00C35125"/>
    <w:rsid w:val="00C40026"/>
    <w:rsid w:val="00C40281"/>
    <w:rsid w:val="00C46C1C"/>
    <w:rsid w:val="00C50048"/>
    <w:rsid w:val="00C5085F"/>
    <w:rsid w:val="00C54335"/>
    <w:rsid w:val="00C54BD7"/>
    <w:rsid w:val="00C554C4"/>
    <w:rsid w:val="00C575A2"/>
    <w:rsid w:val="00C576A1"/>
    <w:rsid w:val="00C6061D"/>
    <w:rsid w:val="00C61010"/>
    <w:rsid w:val="00C65C64"/>
    <w:rsid w:val="00C66DE8"/>
    <w:rsid w:val="00C6760C"/>
    <w:rsid w:val="00C71EF3"/>
    <w:rsid w:val="00C747DB"/>
    <w:rsid w:val="00C76296"/>
    <w:rsid w:val="00C844BD"/>
    <w:rsid w:val="00C85045"/>
    <w:rsid w:val="00C8705E"/>
    <w:rsid w:val="00C87C62"/>
    <w:rsid w:val="00C94DEC"/>
    <w:rsid w:val="00CA24C0"/>
    <w:rsid w:val="00CA3EBE"/>
    <w:rsid w:val="00CA3F78"/>
    <w:rsid w:val="00CA4F46"/>
    <w:rsid w:val="00CA5E68"/>
    <w:rsid w:val="00CA61B5"/>
    <w:rsid w:val="00CA7F50"/>
    <w:rsid w:val="00CB1966"/>
    <w:rsid w:val="00CB1C5F"/>
    <w:rsid w:val="00CB2178"/>
    <w:rsid w:val="00CB2EA2"/>
    <w:rsid w:val="00CB3804"/>
    <w:rsid w:val="00CB470F"/>
    <w:rsid w:val="00CB59DF"/>
    <w:rsid w:val="00CB5CFF"/>
    <w:rsid w:val="00CB6308"/>
    <w:rsid w:val="00CB6E5D"/>
    <w:rsid w:val="00CB7117"/>
    <w:rsid w:val="00CB728D"/>
    <w:rsid w:val="00CB7558"/>
    <w:rsid w:val="00CC18D4"/>
    <w:rsid w:val="00CC4028"/>
    <w:rsid w:val="00CC4AF7"/>
    <w:rsid w:val="00CC5446"/>
    <w:rsid w:val="00CC7FCF"/>
    <w:rsid w:val="00CD0089"/>
    <w:rsid w:val="00CD0DFC"/>
    <w:rsid w:val="00CD12A0"/>
    <w:rsid w:val="00CD1668"/>
    <w:rsid w:val="00CD24DD"/>
    <w:rsid w:val="00CD477B"/>
    <w:rsid w:val="00CD562A"/>
    <w:rsid w:val="00CD5EEB"/>
    <w:rsid w:val="00CD6614"/>
    <w:rsid w:val="00CE00A4"/>
    <w:rsid w:val="00CE0F0C"/>
    <w:rsid w:val="00CE2040"/>
    <w:rsid w:val="00CE213C"/>
    <w:rsid w:val="00CE27E7"/>
    <w:rsid w:val="00CE3797"/>
    <w:rsid w:val="00CE38B6"/>
    <w:rsid w:val="00CE3E57"/>
    <w:rsid w:val="00CE431C"/>
    <w:rsid w:val="00CE47E0"/>
    <w:rsid w:val="00CE7133"/>
    <w:rsid w:val="00CE72A0"/>
    <w:rsid w:val="00CF0461"/>
    <w:rsid w:val="00CF1D7B"/>
    <w:rsid w:val="00CF34FB"/>
    <w:rsid w:val="00CF5BDD"/>
    <w:rsid w:val="00CF673D"/>
    <w:rsid w:val="00D00508"/>
    <w:rsid w:val="00D02C87"/>
    <w:rsid w:val="00D03695"/>
    <w:rsid w:val="00D03B70"/>
    <w:rsid w:val="00D040B9"/>
    <w:rsid w:val="00D043F0"/>
    <w:rsid w:val="00D07638"/>
    <w:rsid w:val="00D1092E"/>
    <w:rsid w:val="00D11060"/>
    <w:rsid w:val="00D119CE"/>
    <w:rsid w:val="00D12183"/>
    <w:rsid w:val="00D13EC8"/>
    <w:rsid w:val="00D157AF"/>
    <w:rsid w:val="00D17221"/>
    <w:rsid w:val="00D1722B"/>
    <w:rsid w:val="00D17849"/>
    <w:rsid w:val="00D209D1"/>
    <w:rsid w:val="00D21726"/>
    <w:rsid w:val="00D21970"/>
    <w:rsid w:val="00D21B22"/>
    <w:rsid w:val="00D226F2"/>
    <w:rsid w:val="00D26E35"/>
    <w:rsid w:val="00D27CB9"/>
    <w:rsid w:val="00D31D31"/>
    <w:rsid w:val="00D32A18"/>
    <w:rsid w:val="00D3409B"/>
    <w:rsid w:val="00D345BC"/>
    <w:rsid w:val="00D34FBC"/>
    <w:rsid w:val="00D353D4"/>
    <w:rsid w:val="00D36B63"/>
    <w:rsid w:val="00D4032A"/>
    <w:rsid w:val="00D406A6"/>
    <w:rsid w:val="00D40A2C"/>
    <w:rsid w:val="00D41B64"/>
    <w:rsid w:val="00D4388F"/>
    <w:rsid w:val="00D44CDE"/>
    <w:rsid w:val="00D451DC"/>
    <w:rsid w:val="00D46083"/>
    <w:rsid w:val="00D473CF"/>
    <w:rsid w:val="00D476D8"/>
    <w:rsid w:val="00D55054"/>
    <w:rsid w:val="00D56BA8"/>
    <w:rsid w:val="00D61813"/>
    <w:rsid w:val="00D61E9A"/>
    <w:rsid w:val="00D6252A"/>
    <w:rsid w:val="00D626F9"/>
    <w:rsid w:val="00D628B5"/>
    <w:rsid w:val="00D63C2E"/>
    <w:rsid w:val="00D65636"/>
    <w:rsid w:val="00D65AF8"/>
    <w:rsid w:val="00D66572"/>
    <w:rsid w:val="00D6687E"/>
    <w:rsid w:val="00D67EA2"/>
    <w:rsid w:val="00D735A0"/>
    <w:rsid w:val="00D73B8A"/>
    <w:rsid w:val="00D7458C"/>
    <w:rsid w:val="00D7598D"/>
    <w:rsid w:val="00D7671E"/>
    <w:rsid w:val="00D7680F"/>
    <w:rsid w:val="00D76820"/>
    <w:rsid w:val="00D776D0"/>
    <w:rsid w:val="00D77D3E"/>
    <w:rsid w:val="00D81152"/>
    <w:rsid w:val="00D81697"/>
    <w:rsid w:val="00D820ED"/>
    <w:rsid w:val="00D82947"/>
    <w:rsid w:val="00D831E4"/>
    <w:rsid w:val="00D83408"/>
    <w:rsid w:val="00D84D13"/>
    <w:rsid w:val="00D864AB"/>
    <w:rsid w:val="00D87220"/>
    <w:rsid w:val="00D875C3"/>
    <w:rsid w:val="00D93964"/>
    <w:rsid w:val="00D9616C"/>
    <w:rsid w:val="00D96C41"/>
    <w:rsid w:val="00D97776"/>
    <w:rsid w:val="00DA1694"/>
    <w:rsid w:val="00DA222B"/>
    <w:rsid w:val="00DA383B"/>
    <w:rsid w:val="00DA3DE5"/>
    <w:rsid w:val="00DA40C7"/>
    <w:rsid w:val="00DA4A85"/>
    <w:rsid w:val="00DA601C"/>
    <w:rsid w:val="00DA773D"/>
    <w:rsid w:val="00DB024A"/>
    <w:rsid w:val="00DB17AC"/>
    <w:rsid w:val="00DB1AB1"/>
    <w:rsid w:val="00DB1F31"/>
    <w:rsid w:val="00DB2D95"/>
    <w:rsid w:val="00DB4099"/>
    <w:rsid w:val="00DB4250"/>
    <w:rsid w:val="00DB46B2"/>
    <w:rsid w:val="00DB4B0A"/>
    <w:rsid w:val="00DB63B1"/>
    <w:rsid w:val="00DB6E9B"/>
    <w:rsid w:val="00DC1B84"/>
    <w:rsid w:val="00DC23F6"/>
    <w:rsid w:val="00DC37D5"/>
    <w:rsid w:val="00DC3DB0"/>
    <w:rsid w:val="00DC41B5"/>
    <w:rsid w:val="00DC43E4"/>
    <w:rsid w:val="00DC6C81"/>
    <w:rsid w:val="00DC78BB"/>
    <w:rsid w:val="00DC7BC3"/>
    <w:rsid w:val="00DD1514"/>
    <w:rsid w:val="00DD159D"/>
    <w:rsid w:val="00DD2C5B"/>
    <w:rsid w:val="00DD4C06"/>
    <w:rsid w:val="00DD6A2E"/>
    <w:rsid w:val="00DE3246"/>
    <w:rsid w:val="00DE40B1"/>
    <w:rsid w:val="00DE5F52"/>
    <w:rsid w:val="00DE5FAB"/>
    <w:rsid w:val="00DE72CB"/>
    <w:rsid w:val="00DF1CE7"/>
    <w:rsid w:val="00DF1D07"/>
    <w:rsid w:val="00DF2EA7"/>
    <w:rsid w:val="00DF664C"/>
    <w:rsid w:val="00DF767D"/>
    <w:rsid w:val="00DF76D3"/>
    <w:rsid w:val="00DF7BD3"/>
    <w:rsid w:val="00E01223"/>
    <w:rsid w:val="00E05129"/>
    <w:rsid w:val="00E07453"/>
    <w:rsid w:val="00E10A82"/>
    <w:rsid w:val="00E124B0"/>
    <w:rsid w:val="00E12948"/>
    <w:rsid w:val="00E130C3"/>
    <w:rsid w:val="00E13A41"/>
    <w:rsid w:val="00E14111"/>
    <w:rsid w:val="00E14FE6"/>
    <w:rsid w:val="00E203AC"/>
    <w:rsid w:val="00E2339D"/>
    <w:rsid w:val="00E24055"/>
    <w:rsid w:val="00E24DEA"/>
    <w:rsid w:val="00E27082"/>
    <w:rsid w:val="00E308EF"/>
    <w:rsid w:val="00E30EC0"/>
    <w:rsid w:val="00E3108A"/>
    <w:rsid w:val="00E32E8E"/>
    <w:rsid w:val="00E330D2"/>
    <w:rsid w:val="00E3321D"/>
    <w:rsid w:val="00E348B8"/>
    <w:rsid w:val="00E3629F"/>
    <w:rsid w:val="00E40760"/>
    <w:rsid w:val="00E41110"/>
    <w:rsid w:val="00E427B5"/>
    <w:rsid w:val="00E42E1A"/>
    <w:rsid w:val="00E449AC"/>
    <w:rsid w:val="00E450B7"/>
    <w:rsid w:val="00E455EF"/>
    <w:rsid w:val="00E463D4"/>
    <w:rsid w:val="00E47473"/>
    <w:rsid w:val="00E47CEA"/>
    <w:rsid w:val="00E514D0"/>
    <w:rsid w:val="00E51A99"/>
    <w:rsid w:val="00E5241F"/>
    <w:rsid w:val="00E5479B"/>
    <w:rsid w:val="00E55003"/>
    <w:rsid w:val="00E61F57"/>
    <w:rsid w:val="00E639B5"/>
    <w:rsid w:val="00E66978"/>
    <w:rsid w:val="00E67F73"/>
    <w:rsid w:val="00E705A3"/>
    <w:rsid w:val="00E7093D"/>
    <w:rsid w:val="00E70D8D"/>
    <w:rsid w:val="00E7166A"/>
    <w:rsid w:val="00E72074"/>
    <w:rsid w:val="00E72271"/>
    <w:rsid w:val="00E7243D"/>
    <w:rsid w:val="00E76A31"/>
    <w:rsid w:val="00E775F4"/>
    <w:rsid w:val="00E818D7"/>
    <w:rsid w:val="00E831B4"/>
    <w:rsid w:val="00E85FC6"/>
    <w:rsid w:val="00E86BAC"/>
    <w:rsid w:val="00E9166E"/>
    <w:rsid w:val="00E92FA9"/>
    <w:rsid w:val="00E931A2"/>
    <w:rsid w:val="00E93C73"/>
    <w:rsid w:val="00E93EDE"/>
    <w:rsid w:val="00E94F7F"/>
    <w:rsid w:val="00EA06D0"/>
    <w:rsid w:val="00EA138B"/>
    <w:rsid w:val="00EA315F"/>
    <w:rsid w:val="00EA4ACA"/>
    <w:rsid w:val="00EB3584"/>
    <w:rsid w:val="00EB4306"/>
    <w:rsid w:val="00EB53CB"/>
    <w:rsid w:val="00EB5D64"/>
    <w:rsid w:val="00EB6100"/>
    <w:rsid w:val="00EB61B8"/>
    <w:rsid w:val="00EC081A"/>
    <w:rsid w:val="00EC1472"/>
    <w:rsid w:val="00EC3088"/>
    <w:rsid w:val="00EC6190"/>
    <w:rsid w:val="00ED11D5"/>
    <w:rsid w:val="00ED1356"/>
    <w:rsid w:val="00ED1FD6"/>
    <w:rsid w:val="00ED5785"/>
    <w:rsid w:val="00ED6C10"/>
    <w:rsid w:val="00ED6D17"/>
    <w:rsid w:val="00EE410E"/>
    <w:rsid w:val="00EE4163"/>
    <w:rsid w:val="00EF0B4A"/>
    <w:rsid w:val="00EF1758"/>
    <w:rsid w:val="00EF19CD"/>
    <w:rsid w:val="00EF21BD"/>
    <w:rsid w:val="00EF6EE3"/>
    <w:rsid w:val="00EF7F42"/>
    <w:rsid w:val="00F00613"/>
    <w:rsid w:val="00F006ED"/>
    <w:rsid w:val="00F0075C"/>
    <w:rsid w:val="00F05A66"/>
    <w:rsid w:val="00F05AA1"/>
    <w:rsid w:val="00F06A27"/>
    <w:rsid w:val="00F07D74"/>
    <w:rsid w:val="00F103D6"/>
    <w:rsid w:val="00F104E3"/>
    <w:rsid w:val="00F110B4"/>
    <w:rsid w:val="00F119FD"/>
    <w:rsid w:val="00F13C06"/>
    <w:rsid w:val="00F1474B"/>
    <w:rsid w:val="00F14BA9"/>
    <w:rsid w:val="00F165AE"/>
    <w:rsid w:val="00F16819"/>
    <w:rsid w:val="00F16E9C"/>
    <w:rsid w:val="00F2097C"/>
    <w:rsid w:val="00F22F6E"/>
    <w:rsid w:val="00F23CCB"/>
    <w:rsid w:val="00F250BD"/>
    <w:rsid w:val="00F2526B"/>
    <w:rsid w:val="00F2603A"/>
    <w:rsid w:val="00F26720"/>
    <w:rsid w:val="00F32695"/>
    <w:rsid w:val="00F32F64"/>
    <w:rsid w:val="00F33091"/>
    <w:rsid w:val="00F33E47"/>
    <w:rsid w:val="00F35BD8"/>
    <w:rsid w:val="00F364BD"/>
    <w:rsid w:val="00F37D10"/>
    <w:rsid w:val="00F4325D"/>
    <w:rsid w:val="00F47E8B"/>
    <w:rsid w:val="00F5297F"/>
    <w:rsid w:val="00F571FD"/>
    <w:rsid w:val="00F60AAD"/>
    <w:rsid w:val="00F60D0C"/>
    <w:rsid w:val="00F62282"/>
    <w:rsid w:val="00F62CCE"/>
    <w:rsid w:val="00F63F76"/>
    <w:rsid w:val="00F64582"/>
    <w:rsid w:val="00F67CBF"/>
    <w:rsid w:val="00F708AB"/>
    <w:rsid w:val="00F72249"/>
    <w:rsid w:val="00F7433F"/>
    <w:rsid w:val="00F74AC4"/>
    <w:rsid w:val="00F75FEE"/>
    <w:rsid w:val="00F7620D"/>
    <w:rsid w:val="00F764BD"/>
    <w:rsid w:val="00F779A9"/>
    <w:rsid w:val="00F81319"/>
    <w:rsid w:val="00F81379"/>
    <w:rsid w:val="00F81886"/>
    <w:rsid w:val="00F83E0B"/>
    <w:rsid w:val="00F84B67"/>
    <w:rsid w:val="00F85DDE"/>
    <w:rsid w:val="00F87C3C"/>
    <w:rsid w:val="00F91632"/>
    <w:rsid w:val="00F92BB9"/>
    <w:rsid w:val="00F93A5E"/>
    <w:rsid w:val="00F93DD4"/>
    <w:rsid w:val="00F969C1"/>
    <w:rsid w:val="00FA2446"/>
    <w:rsid w:val="00FA3CC0"/>
    <w:rsid w:val="00FA3E0F"/>
    <w:rsid w:val="00FA50CC"/>
    <w:rsid w:val="00FA5175"/>
    <w:rsid w:val="00FA6BB7"/>
    <w:rsid w:val="00FB147F"/>
    <w:rsid w:val="00FB358D"/>
    <w:rsid w:val="00FB478E"/>
    <w:rsid w:val="00FC0D35"/>
    <w:rsid w:val="00FC11EC"/>
    <w:rsid w:val="00FC1E70"/>
    <w:rsid w:val="00FC27EC"/>
    <w:rsid w:val="00FC3739"/>
    <w:rsid w:val="00FC48C0"/>
    <w:rsid w:val="00FC51BE"/>
    <w:rsid w:val="00FC702A"/>
    <w:rsid w:val="00FD295B"/>
    <w:rsid w:val="00FD4BF6"/>
    <w:rsid w:val="00FD4F3D"/>
    <w:rsid w:val="00FE1191"/>
    <w:rsid w:val="00FE22A2"/>
    <w:rsid w:val="00FE49E7"/>
    <w:rsid w:val="00FE6606"/>
    <w:rsid w:val="00FE775E"/>
    <w:rsid w:val="00FE7B3C"/>
    <w:rsid w:val="00FF054D"/>
    <w:rsid w:val="00FF30B2"/>
    <w:rsid w:val="00FF383D"/>
    <w:rsid w:val="00FF4CB3"/>
    <w:rsid w:val="00FF5DDE"/>
    <w:rsid w:val="00FF5EE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3">
      <o:colormru v:ext="edit" colors="#bfbfbf"/>
    </o:shapedefaults>
    <o:shapelayout v:ext="edit">
      <o:idmap v:ext="edit" data="1"/>
    </o:shapelayout>
  </w:shapeDefaults>
  <w:decimalSymbol w:val="."/>
  <w:listSeparator w:val=","/>
  <w15:docId w15:val="{C7393C83-0BC7-4288-BE21-AA537BEA94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99"/>
    <w:lsdException w:name="Table Theme" w:semiHidden="1" w:unhideWhenUsed="1"/>
    <w:lsdException w:name="Placeholder Text" w:semiHidden="1" w:uiPriority="99"/>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353D4"/>
    <w:pPr>
      <w:spacing w:line="240" w:lineRule="exact"/>
      <w:jc w:val="both"/>
    </w:pPr>
    <w:rPr>
      <w:rFonts w:ascii="Franklin Gothic Book" w:hAnsi="Franklin Gothic Book"/>
      <w:sz w:val="19"/>
      <w:szCs w:val="24"/>
      <w:lang w:eastAsia="en-US"/>
    </w:rPr>
  </w:style>
  <w:style w:type="paragraph" w:styleId="Heading1">
    <w:name w:val="heading 1"/>
    <w:basedOn w:val="Normal"/>
    <w:next w:val="Normal"/>
    <w:link w:val="Heading1Char"/>
    <w:qFormat/>
    <w:rsid w:val="005511B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semiHidden/>
    <w:unhideWhenUsed/>
    <w:qFormat/>
    <w:rsid w:val="007410E7"/>
    <w:pPr>
      <w:spacing w:before="100" w:beforeAutospacing="1" w:after="100" w:afterAutospacing="1" w:line="240" w:lineRule="auto"/>
      <w:jc w:val="left"/>
      <w:outlineLvl w:val="1"/>
    </w:pPr>
    <w:rPr>
      <w:rFonts w:ascii="Times New Roman" w:hAnsi="Times New Roman"/>
      <w:b/>
      <w:bCs/>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ver">
    <w:name w:val="Cover"/>
    <w:aliases w:val="title"/>
    <w:basedOn w:val="Normal"/>
    <w:locked/>
    <w:rsid w:val="00D353D4"/>
    <w:pPr>
      <w:spacing w:before="6960" w:line="420" w:lineRule="exact"/>
      <w:jc w:val="center"/>
    </w:pPr>
    <w:rPr>
      <w:rFonts w:ascii="Franklin Gothic Demi" w:hAnsi="Franklin Gothic Demi"/>
      <w:bCs/>
      <w:color w:val="890C4C"/>
      <w:sz w:val="36"/>
      <w:szCs w:val="20"/>
    </w:rPr>
  </w:style>
  <w:style w:type="paragraph" w:styleId="Footer">
    <w:name w:val="footer"/>
    <w:basedOn w:val="Normal"/>
    <w:link w:val="FooterChar"/>
    <w:uiPriority w:val="99"/>
    <w:locked/>
    <w:rsid w:val="00D353D4"/>
    <w:pPr>
      <w:ind w:left="227" w:right="227"/>
      <w:jc w:val="right"/>
    </w:pPr>
    <w:rPr>
      <w:rFonts w:ascii="Franklin Gothic Demi" w:hAnsi="Franklin Gothic Demi"/>
      <w:sz w:val="16"/>
    </w:rPr>
  </w:style>
  <w:style w:type="paragraph" w:styleId="Header">
    <w:name w:val="header"/>
    <w:basedOn w:val="Normal"/>
    <w:link w:val="HeaderChar"/>
    <w:locked/>
    <w:rsid w:val="00D353D4"/>
    <w:pPr>
      <w:tabs>
        <w:tab w:val="center" w:pos="4153"/>
        <w:tab w:val="right" w:pos="8306"/>
      </w:tabs>
    </w:pPr>
  </w:style>
  <w:style w:type="character" w:styleId="PageNumber">
    <w:name w:val="page number"/>
    <w:basedOn w:val="DefaultParagraphFont"/>
    <w:locked/>
    <w:rsid w:val="00D353D4"/>
  </w:style>
  <w:style w:type="paragraph" w:customStyle="1" w:styleId="Sectionheading">
    <w:name w:val="Section heading"/>
    <w:basedOn w:val="Normal"/>
    <w:locked/>
    <w:rsid w:val="00D353D4"/>
    <w:pPr>
      <w:spacing w:after="240"/>
    </w:pPr>
    <w:rPr>
      <w:rFonts w:ascii="Franklin Gothic Demi" w:hAnsi="Franklin Gothic Demi"/>
      <w:color w:val="63B1E5"/>
      <w:sz w:val="28"/>
      <w:szCs w:val="20"/>
    </w:rPr>
  </w:style>
  <w:style w:type="paragraph" w:customStyle="1" w:styleId="Heading">
    <w:name w:val="Heading"/>
    <w:basedOn w:val="Sectionheading"/>
    <w:next w:val="Normal"/>
    <w:locked/>
    <w:rsid w:val="00D353D4"/>
    <w:pPr>
      <w:spacing w:after="0"/>
    </w:pPr>
    <w:rPr>
      <w:color w:val="auto"/>
      <w:sz w:val="22"/>
    </w:rPr>
  </w:style>
  <w:style w:type="paragraph" w:customStyle="1" w:styleId="Section-heading">
    <w:name w:val="Section-heading"/>
    <w:basedOn w:val="Normal"/>
    <w:next w:val="Normal"/>
    <w:locked/>
    <w:rsid w:val="00D353D4"/>
    <w:pPr>
      <w:spacing w:line="410" w:lineRule="exact"/>
    </w:pPr>
    <w:rPr>
      <w:rFonts w:ascii="Franklin Gothic Demi" w:hAnsi="Franklin Gothic Demi"/>
      <w:color w:val="63B1E5"/>
      <w:sz w:val="36"/>
      <w:szCs w:val="20"/>
    </w:rPr>
  </w:style>
  <w:style w:type="paragraph" w:styleId="BalloonText">
    <w:name w:val="Balloon Text"/>
    <w:basedOn w:val="Normal"/>
    <w:link w:val="BalloonTextChar"/>
    <w:semiHidden/>
    <w:rsid w:val="00D353D4"/>
    <w:rPr>
      <w:rFonts w:ascii="Tahoma" w:hAnsi="Tahoma" w:cs="Tahoma"/>
      <w:sz w:val="16"/>
      <w:szCs w:val="16"/>
    </w:rPr>
  </w:style>
  <w:style w:type="character" w:customStyle="1" w:styleId="Bold">
    <w:name w:val="Bold"/>
    <w:basedOn w:val="DefaultParagraphFont"/>
    <w:locked/>
    <w:rsid w:val="00D353D4"/>
    <w:rPr>
      <w:rFonts w:ascii="Franklin Gothic Demi" w:hAnsi="Franklin Gothic Demi"/>
    </w:rPr>
  </w:style>
  <w:style w:type="paragraph" w:customStyle="1" w:styleId="Tabletext">
    <w:name w:val="Table text"/>
    <w:rsid w:val="00D353D4"/>
    <w:pPr>
      <w:spacing w:line="240" w:lineRule="exact"/>
    </w:pPr>
    <w:rPr>
      <w:rFonts w:ascii="Franklin Gothic Book" w:hAnsi="Franklin Gothic Book"/>
      <w:sz w:val="19"/>
      <w:szCs w:val="24"/>
      <w:lang w:val="en-US" w:eastAsia="en-US"/>
    </w:rPr>
  </w:style>
  <w:style w:type="paragraph" w:customStyle="1" w:styleId="Notes">
    <w:name w:val="Notes"/>
    <w:basedOn w:val="Normal"/>
    <w:locked/>
    <w:rsid w:val="00D353D4"/>
    <w:pPr>
      <w:spacing w:line="200" w:lineRule="exact"/>
      <w:ind w:left="284" w:hanging="284"/>
    </w:pPr>
    <w:rPr>
      <w:sz w:val="15"/>
      <w:szCs w:val="20"/>
    </w:rPr>
  </w:style>
  <w:style w:type="character" w:customStyle="1" w:styleId="SectionheadingChar">
    <w:name w:val="Section heading Char"/>
    <w:basedOn w:val="DefaultParagraphFont"/>
    <w:rsid w:val="00D353D4"/>
    <w:rPr>
      <w:rFonts w:ascii="Franklin Gothic Demi" w:hAnsi="Franklin Gothic Demi"/>
      <w:color w:val="63B1E5"/>
      <w:sz w:val="28"/>
      <w:lang w:val="en-GB" w:eastAsia="en-US" w:bidi="ar-SA"/>
    </w:rPr>
  </w:style>
  <w:style w:type="paragraph" w:customStyle="1" w:styleId="Tableheading">
    <w:name w:val="Table heading"/>
    <w:basedOn w:val="Sectionheading"/>
    <w:locked/>
    <w:rsid w:val="00D353D4"/>
    <w:pPr>
      <w:spacing w:after="0" w:line="330" w:lineRule="exact"/>
    </w:pPr>
  </w:style>
  <w:style w:type="paragraph" w:customStyle="1" w:styleId="StyleFranklinGothicDemiCustomColorRGB1371276Left1">
    <w:name w:val="Style Franklin Gothic Demi Custom Color(RGB(1371276)) Left:  1...."/>
    <w:basedOn w:val="Normal"/>
    <w:locked/>
    <w:rsid w:val="00D353D4"/>
    <w:pPr>
      <w:spacing w:line="200" w:lineRule="exact"/>
      <w:ind w:left="85" w:right="85"/>
    </w:pPr>
    <w:rPr>
      <w:rFonts w:ascii="Franklin Gothic Demi" w:hAnsi="Franklin Gothic Demi"/>
      <w:color w:val="63B1E5"/>
      <w:szCs w:val="20"/>
    </w:rPr>
  </w:style>
  <w:style w:type="paragraph" w:customStyle="1" w:styleId="Sub-heading">
    <w:name w:val="Sub-heading"/>
    <w:basedOn w:val="Section-heading"/>
    <w:locked/>
    <w:rsid w:val="00D353D4"/>
    <w:pPr>
      <w:spacing w:line="260" w:lineRule="exact"/>
    </w:pPr>
    <w:rPr>
      <w:rFonts w:ascii="Franklin Gothic Book" w:hAnsi="Franklin Gothic Book"/>
      <w:color w:val="auto"/>
      <w:sz w:val="22"/>
    </w:rPr>
  </w:style>
  <w:style w:type="character" w:customStyle="1" w:styleId="TableheadingChar">
    <w:name w:val="Table heading Char"/>
    <w:basedOn w:val="SectionheadingChar"/>
    <w:rsid w:val="00D353D4"/>
    <w:rPr>
      <w:rFonts w:ascii="Franklin Gothic Demi" w:hAnsi="Franklin Gothic Demi"/>
      <w:color w:val="63B1E5"/>
      <w:sz w:val="28"/>
      <w:lang w:val="en-GB" w:eastAsia="en-US" w:bidi="ar-SA"/>
    </w:rPr>
  </w:style>
  <w:style w:type="paragraph" w:customStyle="1" w:styleId="Tablesub-haeding">
    <w:name w:val="Table sub-haeding"/>
    <w:basedOn w:val="Normal"/>
    <w:locked/>
    <w:rsid w:val="00D353D4"/>
    <w:pPr>
      <w:widowControl w:val="0"/>
      <w:autoSpaceDE w:val="0"/>
      <w:autoSpaceDN w:val="0"/>
      <w:adjustRightInd w:val="0"/>
    </w:pPr>
    <w:rPr>
      <w:rFonts w:cs="Helvetica"/>
      <w:sz w:val="20"/>
      <w:szCs w:val="19"/>
    </w:rPr>
  </w:style>
  <w:style w:type="character" w:customStyle="1" w:styleId="Tablesub-haedingChar">
    <w:name w:val="Table sub-haeding Char"/>
    <w:basedOn w:val="DefaultParagraphFont"/>
    <w:rsid w:val="00D353D4"/>
    <w:rPr>
      <w:rFonts w:ascii="Franklin Gothic Book" w:hAnsi="Franklin Gothic Book" w:cs="Helvetica"/>
      <w:szCs w:val="19"/>
      <w:lang w:val="en-GB" w:eastAsia="en-US" w:bidi="ar-SA"/>
    </w:rPr>
  </w:style>
  <w:style w:type="paragraph" w:styleId="NormalWeb">
    <w:name w:val="Normal (Web)"/>
    <w:basedOn w:val="Normal"/>
    <w:link w:val="NormalWebChar1"/>
    <w:locked/>
    <w:rsid w:val="00D353D4"/>
    <w:pPr>
      <w:spacing w:before="100" w:beforeAutospacing="1" w:after="100" w:afterAutospacing="1" w:line="240" w:lineRule="auto"/>
    </w:pPr>
    <w:rPr>
      <w:rFonts w:ascii="Verdana" w:hAnsi="Verdana"/>
      <w:sz w:val="18"/>
      <w:szCs w:val="18"/>
      <w:lang w:val="en-US"/>
    </w:rPr>
  </w:style>
  <w:style w:type="character" w:styleId="Hyperlink">
    <w:name w:val="Hyperlink"/>
    <w:basedOn w:val="DefaultParagraphFont"/>
    <w:locked/>
    <w:rsid w:val="00D353D4"/>
    <w:rPr>
      <w:color w:val="008080"/>
      <w:u w:val="single"/>
    </w:rPr>
  </w:style>
  <w:style w:type="paragraph" w:customStyle="1" w:styleId="tullowbody">
    <w:name w:val="tullow_body"/>
    <w:basedOn w:val="Normal"/>
    <w:rsid w:val="00D353D4"/>
    <w:pPr>
      <w:spacing w:line="220" w:lineRule="exact"/>
    </w:pPr>
    <w:rPr>
      <w:sz w:val="21"/>
      <w:szCs w:val="20"/>
      <w:lang w:val="en-IE"/>
    </w:rPr>
  </w:style>
  <w:style w:type="paragraph" w:customStyle="1" w:styleId="tullowh3">
    <w:name w:val="tullow_h3"/>
    <w:basedOn w:val="Normal"/>
    <w:rsid w:val="00D353D4"/>
    <w:pPr>
      <w:spacing w:line="240" w:lineRule="auto"/>
    </w:pPr>
    <w:rPr>
      <w:color w:val="890C4C"/>
      <w:sz w:val="26"/>
      <w:szCs w:val="20"/>
      <w:lang w:val="en-IE"/>
    </w:rPr>
  </w:style>
  <w:style w:type="paragraph" w:styleId="HTMLPreformatted">
    <w:name w:val="HTML Preformatted"/>
    <w:basedOn w:val="Normal"/>
    <w:link w:val="HTMLPreformattedChar"/>
    <w:locked/>
    <w:rsid w:val="00D353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sz w:val="20"/>
      <w:szCs w:val="20"/>
      <w:lang w:val="en-US"/>
    </w:rPr>
  </w:style>
  <w:style w:type="paragraph" w:customStyle="1" w:styleId="Style1">
    <w:name w:val="Style1"/>
    <w:basedOn w:val="Heading"/>
    <w:rsid w:val="00D353D4"/>
  </w:style>
  <w:style w:type="character" w:styleId="Strong">
    <w:name w:val="Strong"/>
    <w:basedOn w:val="DefaultParagraphFont"/>
    <w:qFormat/>
    <w:locked/>
    <w:rsid w:val="00D353D4"/>
    <w:rPr>
      <w:b/>
      <w:bCs/>
    </w:rPr>
  </w:style>
  <w:style w:type="paragraph" w:styleId="BodyText">
    <w:name w:val="Body Text"/>
    <w:basedOn w:val="Normal"/>
    <w:link w:val="BodyTextChar"/>
    <w:locked/>
    <w:rsid w:val="00D353D4"/>
    <w:pPr>
      <w:spacing w:line="240" w:lineRule="auto"/>
      <w:jc w:val="left"/>
    </w:pPr>
    <w:rPr>
      <w:rFonts w:ascii="Times New Roman" w:hAnsi="Times New Roman"/>
      <w:szCs w:val="20"/>
      <w:lang w:val="en-US"/>
    </w:rPr>
  </w:style>
  <w:style w:type="paragraph" w:customStyle="1" w:styleId="TableText8pt">
    <w:name w:val="Table Text 8pt"/>
    <w:rsid w:val="00D353D4"/>
    <w:pPr>
      <w:spacing w:line="240" w:lineRule="exact"/>
    </w:pPr>
    <w:rPr>
      <w:rFonts w:ascii="Franklin Gothic Book" w:hAnsi="Franklin Gothic Book"/>
      <w:sz w:val="16"/>
      <w:szCs w:val="16"/>
      <w:lang w:val="en-US" w:eastAsia="en-US"/>
    </w:rPr>
  </w:style>
  <w:style w:type="character" w:customStyle="1" w:styleId="CharChar">
    <w:name w:val="Char Char"/>
    <w:basedOn w:val="DefaultParagraphFont"/>
    <w:rsid w:val="00D353D4"/>
    <w:rPr>
      <w:rFonts w:ascii="Verdana" w:hAnsi="Verdana"/>
      <w:sz w:val="18"/>
      <w:szCs w:val="18"/>
      <w:lang w:val="en-US" w:eastAsia="en-US" w:bidi="ar-SA"/>
    </w:rPr>
  </w:style>
  <w:style w:type="character" w:customStyle="1" w:styleId="NormalWebChar">
    <w:name w:val="Normal (Web) Char"/>
    <w:basedOn w:val="DefaultParagraphFont"/>
    <w:rsid w:val="00D353D4"/>
    <w:rPr>
      <w:rFonts w:ascii="Verdana" w:hAnsi="Verdana"/>
      <w:sz w:val="18"/>
      <w:szCs w:val="18"/>
      <w:lang w:val="en-US" w:eastAsia="en-US" w:bidi="ar-SA"/>
    </w:rPr>
  </w:style>
  <w:style w:type="paragraph" w:customStyle="1" w:styleId="tullowh2">
    <w:name w:val="tullow_h2"/>
    <w:basedOn w:val="Normal"/>
    <w:rsid w:val="00D353D4"/>
    <w:pPr>
      <w:spacing w:line="240" w:lineRule="auto"/>
      <w:jc w:val="left"/>
    </w:pPr>
    <w:rPr>
      <w:rFonts w:ascii="Franklin Gothic Demi" w:hAnsi="Franklin Gothic Demi"/>
      <w:color w:val="890C4C"/>
      <w:sz w:val="26"/>
      <w:szCs w:val="20"/>
      <w:lang w:val="en-IE"/>
    </w:rPr>
  </w:style>
  <w:style w:type="character" w:styleId="FollowedHyperlink">
    <w:name w:val="FollowedHyperlink"/>
    <w:basedOn w:val="DefaultParagraphFont"/>
    <w:rsid w:val="00D353D4"/>
    <w:rPr>
      <w:color w:val="800080"/>
      <w:u w:val="single"/>
    </w:rPr>
  </w:style>
  <w:style w:type="paragraph" w:customStyle="1" w:styleId="tullowbody0">
    <w:name w:val="tullowbody"/>
    <w:basedOn w:val="Normal"/>
    <w:rsid w:val="00D353D4"/>
    <w:pPr>
      <w:spacing w:line="220" w:lineRule="atLeast"/>
    </w:pPr>
    <w:rPr>
      <w:sz w:val="21"/>
      <w:szCs w:val="21"/>
      <w:lang w:val="en-US"/>
    </w:rPr>
  </w:style>
  <w:style w:type="character" w:styleId="Emphasis">
    <w:name w:val="Emphasis"/>
    <w:basedOn w:val="DefaultParagraphFont"/>
    <w:qFormat/>
    <w:rsid w:val="00D353D4"/>
    <w:rPr>
      <w:i/>
      <w:iCs/>
    </w:rPr>
  </w:style>
  <w:style w:type="character" w:customStyle="1" w:styleId="EmailStyle48">
    <w:name w:val="EmailStyle48"/>
    <w:basedOn w:val="DefaultParagraphFont"/>
    <w:semiHidden/>
    <w:rsid w:val="00D353D4"/>
    <w:rPr>
      <w:rFonts w:ascii="Arial" w:hAnsi="Arial" w:cs="Arial"/>
      <w:color w:val="000080"/>
      <w:sz w:val="20"/>
      <w:szCs w:val="20"/>
    </w:rPr>
  </w:style>
  <w:style w:type="paragraph" w:styleId="NoSpacing">
    <w:name w:val="No Spacing"/>
    <w:qFormat/>
    <w:rsid w:val="00D353D4"/>
    <w:pPr>
      <w:jc w:val="both"/>
    </w:pPr>
    <w:rPr>
      <w:rFonts w:ascii="Franklin Gothic Book" w:hAnsi="Franklin Gothic Book"/>
      <w:sz w:val="19"/>
      <w:szCs w:val="24"/>
      <w:lang w:eastAsia="en-US"/>
    </w:rPr>
  </w:style>
  <w:style w:type="character" w:customStyle="1" w:styleId="Section-headingChar">
    <w:name w:val="Section-heading Char"/>
    <w:basedOn w:val="DefaultParagraphFont"/>
    <w:rsid w:val="00D353D4"/>
    <w:rPr>
      <w:rFonts w:ascii="Franklin Gothic Demi" w:hAnsi="Franklin Gothic Demi"/>
      <w:color w:val="63B1E5"/>
      <w:sz w:val="36"/>
      <w:lang w:val="en-GB" w:eastAsia="en-US"/>
    </w:rPr>
  </w:style>
  <w:style w:type="character" w:customStyle="1" w:styleId="Sub-headingChar">
    <w:name w:val="Sub-heading Char"/>
    <w:basedOn w:val="Section-headingChar"/>
    <w:rsid w:val="00D353D4"/>
    <w:rPr>
      <w:rFonts w:ascii="Franklin Gothic Book" w:hAnsi="Franklin Gothic Book"/>
      <w:color w:val="63B1E5"/>
      <w:sz w:val="22"/>
      <w:lang w:val="en-GB" w:eastAsia="en-US"/>
    </w:rPr>
  </w:style>
  <w:style w:type="character" w:customStyle="1" w:styleId="NoSpacingChar">
    <w:name w:val="No Spacing Char"/>
    <w:basedOn w:val="DefaultParagraphFont"/>
    <w:rsid w:val="00D353D4"/>
    <w:rPr>
      <w:rFonts w:ascii="Franklin Gothic Book" w:hAnsi="Franklin Gothic Book"/>
      <w:sz w:val="19"/>
      <w:szCs w:val="24"/>
      <w:lang w:val="en-GB" w:eastAsia="en-US" w:bidi="ar-SA"/>
    </w:rPr>
  </w:style>
  <w:style w:type="paragraph" w:customStyle="1" w:styleId="StyleSection-heading12ptCustomColorRGB04369Centered">
    <w:name w:val="Style Section-heading + 12 pt Custom Color(RGB(04369)) Centered..."/>
    <w:basedOn w:val="Section-heading"/>
    <w:rsid w:val="00D353D4"/>
    <w:pPr>
      <w:spacing w:line="312" w:lineRule="auto"/>
      <w:jc w:val="left"/>
    </w:pPr>
    <w:rPr>
      <w:color w:val="002B45"/>
      <w:sz w:val="24"/>
    </w:rPr>
  </w:style>
  <w:style w:type="paragraph" w:customStyle="1" w:styleId="StyleSection-heading16ptCustomColorRGB1533154">
    <w:name w:val="Style Section-heading + 16 pt Custom Color(RGB(1533154))"/>
    <w:basedOn w:val="Section-heading"/>
    <w:rsid w:val="00D353D4"/>
    <w:rPr>
      <w:color w:val="002B45"/>
      <w:sz w:val="32"/>
    </w:rPr>
  </w:style>
  <w:style w:type="character" w:customStyle="1" w:styleId="StyleFranklinGothicDemi10ptCustomColorRGB1533154">
    <w:name w:val="Style Franklin Gothic Demi 10 pt Custom Color(RGB(1533154))"/>
    <w:basedOn w:val="DefaultParagraphFont"/>
    <w:rsid w:val="00D353D4"/>
    <w:rPr>
      <w:rFonts w:ascii="Franklin Gothic Demi" w:hAnsi="Franklin Gothic Demi"/>
      <w:color w:val="002B45"/>
      <w:sz w:val="20"/>
    </w:rPr>
  </w:style>
  <w:style w:type="paragraph" w:customStyle="1" w:styleId="StyleHeadingCustomColorRGB1533154">
    <w:name w:val="Style Heading + Custom Color(RGB(1533154))"/>
    <w:basedOn w:val="Heading"/>
    <w:rsid w:val="00D353D4"/>
    <w:rPr>
      <w:color w:val="002B45"/>
    </w:rPr>
  </w:style>
  <w:style w:type="character" w:customStyle="1" w:styleId="Style10ptCustomColorRGB1533154">
    <w:name w:val="Style 10 pt Custom Color(RGB(1533154))"/>
    <w:basedOn w:val="DefaultParagraphFont"/>
    <w:rsid w:val="00D353D4"/>
    <w:rPr>
      <w:color w:val="002B45"/>
      <w:sz w:val="20"/>
    </w:rPr>
  </w:style>
  <w:style w:type="character" w:customStyle="1" w:styleId="Style9ptCustomColorRGB1533154">
    <w:name w:val="Style 9 pt Custom Color(RGB(1533154))"/>
    <w:basedOn w:val="DefaultParagraphFont"/>
    <w:rsid w:val="00D353D4"/>
    <w:rPr>
      <w:color w:val="002B45"/>
      <w:sz w:val="18"/>
    </w:rPr>
  </w:style>
  <w:style w:type="paragraph" w:customStyle="1" w:styleId="Style9ptCustomColorRGB1533154Centered">
    <w:name w:val="Style 9 pt Custom Color(RGB(1533154)) Centered"/>
    <w:basedOn w:val="Normal"/>
    <w:rsid w:val="00D353D4"/>
    <w:pPr>
      <w:jc w:val="center"/>
    </w:pPr>
    <w:rPr>
      <w:color w:val="002B45"/>
      <w:sz w:val="18"/>
      <w:szCs w:val="20"/>
    </w:rPr>
  </w:style>
  <w:style w:type="paragraph" w:customStyle="1" w:styleId="Style9ptCustomColorRGB1533154Centered1">
    <w:name w:val="Style 9 pt Custom Color(RGB(1533154)) Centered1"/>
    <w:basedOn w:val="Normal"/>
    <w:rsid w:val="00D353D4"/>
    <w:pPr>
      <w:jc w:val="center"/>
    </w:pPr>
    <w:rPr>
      <w:color w:val="002B45"/>
      <w:sz w:val="18"/>
      <w:szCs w:val="20"/>
    </w:rPr>
  </w:style>
  <w:style w:type="paragraph" w:customStyle="1" w:styleId="Style9ptCustomColorRGB1533154CenteredLinespacing">
    <w:name w:val="Style 9 pt Custom Color(RGB(1533154)) Centered Line spacing:  ..."/>
    <w:basedOn w:val="Normal"/>
    <w:rsid w:val="00D353D4"/>
    <w:pPr>
      <w:spacing w:line="180" w:lineRule="exact"/>
      <w:jc w:val="center"/>
    </w:pPr>
    <w:rPr>
      <w:color w:val="002B45"/>
      <w:sz w:val="18"/>
      <w:szCs w:val="20"/>
    </w:rPr>
  </w:style>
  <w:style w:type="paragraph" w:customStyle="1" w:styleId="StyleSub-headingBoldCustomColorRGB1533154">
    <w:name w:val="Style Sub-heading + Bold Custom Color(RGB(1533154))"/>
    <w:basedOn w:val="Sub-heading"/>
    <w:rsid w:val="00D353D4"/>
    <w:rPr>
      <w:b/>
      <w:bCs/>
      <w:color w:val="002B45"/>
    </w:rPr>
  </w:style>
  <w:style w:type="paragraph" w:customStyle="1" w:styleId="Style9ptCustomColorRGB1533154Centered2">
    <w:name w:val="Style 9 pt Custom Color(RGB(1533154)) Centered2"/>
    <w:basedOn w:val="Normal"/>
    <w:rsid w:val="00D353D4"/>
    <w:pPr>
      <w:jc w:val="center"/>
    </w:pPr>
    <w:rPr>
      <w:color w:val="002B45"/>
      <w:sz w:val="18"/>
      <w:szCs w:val="20"/>
    </w:rPr>
  </w:style>
  <w:style w:type="character" w:customStyle="1" w:styleId="StyleFranklinGothicDemiCustomColorRGB1533154">
    <w:name w:val="Style Franklin Gothic Demi Custom Color(RGB(1533154))"/>
    <w:basedOn w:val="DefaultParagraphFont"/>
    <w:rsid w:val="00D353D4"/>
    <w:rPr>
      <w:rFonts w:ascii="Franklin Gothic Demi" w:hAnsi="Franklin Gothic Demi"/>
      <w:color w:val="002B45"/>
    </w:rPr>
  </w:style>
  <w:style w:type="paragraph" w:customStyle="1" w:styleId="Style9ptCustomColorRGB1533154Centered3">
    <w:name w:val="Style 9 pt Custom Color(RGB(1533154)) Centered3"/>
    <w:basedOn w:val="Normal"/>
    <w:rsid w:val="00D353D4"/>
    <w:pPr>
      <w:jc w:val="center"/>
    </w:pPr>
    <w:rPr>
      <w:color w:val="002B45"/>
      <w:sz w:val="18"/>
      <w:szCs w:val="20"/>
    </w:rPr>
  </w:style>
  <w:style w:type="paragraph" w:customStyle="1" w:styleId="StyleTableheadingCustomColorRGB1533154">
    <w:name w:val="Style Table heading + Custom Color(RGB(1533154))"/>
    <w:basedOn w:val="Tableheading"/>
    <w:rsid w:val="00D353D4"/>
    <w:rPr>
      <w:color w:val="002B45"/>
    </w:rPr>
  </w:style>
  <w:style w:type="paragraph" w:customStyle="1" w:styleId="StyleSection-heading10ptCustomColorRGB1533154Lines">
    <w:name w:val="Style Section-heading + 10 pt Custom Color(RGB(1533154)) Line s..."/>
    <w:basedOn w:val="Section-heading"/>
    <w:rsid w:val="00D353D4"/>
    <w:pPr>
      <w:spacing w:line="240" w:lineRule="auto"/>
    </w:pPr>
    <w:rPr>
      <w:color w:val="002B45"/>
      <w:sz w:val="20"/>
    </w:rPr>
  </w:style>
  <w:style w:type="paragraph" w:customStyle="1" w:styleId="StyleHeading16ptCustomColorRGB1533154">
    <w:name w:val="Style Heading + 16 pt Custom Color(RGB(1533154))"/>
    <w:basedOn w:val="Heading"/>
    <w:rsid w:val="00D353D4"/>
    <w:rPr>
      <w:color w:val="002B45"/>
      <w:sz w:val="32"/>
    </w:rPr>
  </w:style>
  <w:style w:type="paragraph" w:customStyle="1" w:styleId="StyleFranklinGothicDemi9ptCustomColorRGB1533154Cen">
    <w:name w:val="Style Franklin Gothic Demi 9 pt Custom Color(RGB(1533154)) Cen..."/>
    <w:basedOn w:val="Normal"/>
    <w:rsid w:val="00D353D4"/>
    <w:pPr>
      <w:jc w:val="center"/>
    </w:pPr>
    <w:rPr>
      <w:rFonts w:ascii="Franklin Gothic Demi" w:hAnsi="Franklin Gothic Demi"/>
      <w:color w:val="002B45"/>
      <w:sz w:val="18"/>
      <w:szCs w:val="20"/>
    </w:rPr>
  </w:style>
  <w:style w:type="paragraph" w:customStyle="1" w:styleId="StyleHeadingCustomColorRGB1533154Left">
    <w:name w:val="Style Heading + Custom Color(RGB(1533154)) Left"/>
    <w:basedOn w:val="Heading"/>
    <w:rsid w:val="00D353D4"/>
    <w:pPr>
      <w:jc w:val="left"/>
    </w:pPr>
    <w:rPr>
      <w:color w:val="002B45"/>
    </w:rPr>
  </w:style>
  <w:style w:type="paragraph" w:customStyle="1" w:styleId="StyleFranklinGothicDemiCustomColorRGB1533154Right">
    <w:name w:val="Style Franklin Gothic Demi Custom Color(RGB(1533154)) Right"/>
    <w:basedOn w:val="Normal"/>
    <w:rsid w:val="00D353D4"/>
    <w:pPr>
      <w:jc w:val="right"/>
    </w:pPr>
    <w:rPr>
      <w:rFonts w:ascii="Franklin Gothic Demi" w:hAnsi="Franklin Gothic Demi"/>
      <w:color w:val="002B45"/>
      <w:szCs w:val="20"/>
    </w:rPr>
  </w:style>
  <w:style w:type="paragraph" w:customStyle="1" w:styleId="Style9ptCustomColorRGB1533154Centered4">
    <w:name w:val="Style 9 pt Custom Color(RGB(1533154)) Centered4"/>
    <w:basedOn w:val="Normal"/>
    <w:rsid w:val="00D353D4"/>
    <w:pPr>
      <w:jc w:val="center"/>
    </w:pPr>
    <w:rPr>
      <w:color w:val="002B45"/>
      <w:sz w:val="18"/>
      <w:szCs w:val="20"/>
    </w:rPr>
  </w:style>
  <w:style w:type="paragraph" w:customStyle="1" w:styleId="StyleFranklinGothicDemiCustomColorRGB1533154Right1">
    <w:name w:val="Style Franklin Gothic Demi Custom Color(RGB(1533154)) Right1"/>
    <w:basedOn w:val="Normal"/>
    <w:rsid w:val="00D353D4"/>
    <w:pPr>
      <w:jc w:val="right"/>
    </w:pPr>
    <w:rPr>
      <w:rFonts w:ascii="Franklin Gothic Demi" w:hAnsi="Franklin Gothic Demi"/>
      <w:color w:val="002B45"/>
      <w:szCs w:val="20"/>
    </w:rPr>
  </w:style>
  <w:style w:type="paragraph" w:customStyle="1" w:styleId="StyleFranklinGothicDemiCustomColorRGB1533154Right2">
    <w:name w:val="Style Franklin Gothic Demi Custom Color(RGB(1533154)) Right2"/>
    <w:basedOn w:val="Normal"/>
    <w:rsid w:val="00D353D4"/>
    <w:pPr>
      <w:jc w:val="right"/>
    </w:pPr>
    <w:rPr>
      <w:rFonts w:ascii="Franklin Gothic Demi" w:hAnsi="Franklin Gothic Demi"/>
      <w:color w:val="002B45"/>
      <w:szCs w:val="20"/>
    </w:rPr>
  </w:style>
  <w:style w:type="paragraph" w:customStyle="1" w:styleId="StyleFranklinGothicDemi9ptCustomColorRGB1533154Cen1">
    <w:name w:val="Style Franklin Gothic Demi 9 pt Custom Color(RGB(1533154)) Cen...1"/>
    <w:basedOn w:val="Normal"/>
    <w:rsid w:val="00D353D4"/>
    <w:pPr>
      <w:jc w:val="center"/>
    </w:pPr>
    <w:rPr>
      <w:rFonts w:ascii="Franklin Gothic Demi" w:hAnsi="Franklin Gothic Demi"/>
      <w:color w:val="002B45"/>
      <w:sz w:val="18"/>
      <w:szCs w:val="20"/>
    </w:rPr>
  </w:style>
  <w:style w:type="paragraph" w:customStyle="1" w:styleId="StyleBulletedSymbolsymbolCustomColorRGB04369Left">
    <w:name w:val="Style Bulleted Symbol (symbol) Custom Color(RGB(04369)) Left: ..."/>
    <w:basedOn w:val="NoSpacing"/>
    <w:rsid w:val="00D353D4"/>
    <w:pPr>
      <w:tabs>
        <w:tab w:val="left" w:pos="284"/>
      </w:tabs>
      <w:spacing w:after="40" w:line="240" w:lineRule="exact"/>
      <w:ind w:left="284" w:hanging="284"/>
    </w:pPr>
    <w:rPr>
      <w:color w:val="808080"/>
    </w:rPr>
  </w:style>
  <w:style w:type="character" w:customStyle="1" w:styleId="StyleCustomColorRGB04369">
    <w:name w:val="Style Custom Color(RGB(04369))"/>
    <w:basedOn w:val="DefaultParagraphFont"/>
    <w:rsid w:val="00D353D4"/>
    <w:rPr>
      <w:rFonts w:ascii="Franklin Gothic Demi" w:hAnsi="Franklin Gothic Demi"/>
      <w:color w:val="002B45"/>
      <w:sz w:val="20"/>
    </w:rPr>
  </w:style>
  <w:style w:type="paragraph" w:customStyle="1" w:styleId="StyleCustomColorRGB04369Before3pt">
    <w:name w:val="Style Custom Color(RGB(04369)) Before:  3 pt"/>
    <w:basedOn w:val="Normal"/>
    <w:rsid w:val="00D353D4"/>
    <w:pPr>
      <w:spacing w:before="60"/>
    </w:pPr>
    <w:rPr>
      <w:color w:val="808080"/>
      <w:szCs w:val="20"/>
    </w:rPr>
  </w:style>
  <w:style w:type="character" w:customStyle="1" w:styleId="StyleCustomColorRGB043691">
    <w:name w:val="Style Custom Color(RGB(04369))1"/>
    <w:basedOn w:val="DefaultParagraphFont"/>
    <w:rsid w:val="00D353D4"/>
    <w:rPr>
      <w:color w:val="808080"/>
    </w:rPr>
  </w:style>
  <w:style w:type="paragraph" w:customStyle="1" w:styleId="StyleTabletextCustomColorRGB04369">
    <w:name w:val="Style Table text + Custom Color(RGB(04369))"/>
    <w:basedOn w:val="Tabletext"/>
    <w:autoRedefine/>
    <w:rsid w:val="00D353D4"/>
    <w:rPr>
      <w:color w:val="808080"/>
    </w:rPr>
  </w:style>
  <w:style w:type="character" w:customStyle="1" w:styleId="TabletextChar">
    <w:name w:val="Table text Char"/>
    <w:basedOn w:val="DefaultParagraphFont"/>
    <w:rsid w:val="00D353D4"/>
    <w:rPr>
      <w:rFonts w:ascii="Franklin Gothic Book" w:hAnsi="Franklin Gothic Book"/>
      <w:sz w:val="19"/>
      <w:szCs w:val="24"/>
      <w:lang w:val="en-US" w:eastAsia="en-US" w:bidi="ar-SA"/>
    </w:rPr>
  </w:style>
  <w:style w:type="character" w:customStyle="1" w:styleId="StyleTabletextCustomColorRGB04369Char">
    <w:name w:val="Style Table text + Custom Color(RGB(04369)) Char"/>
    <w:basedOn w:val="TabletextChar"/>
    <w:rsid w:val="00D353D4"/>
    <w:rPr>
      <w:rFonts w:ascii="Franklin Gothic Book" w:hAnsi="Franklin Gothic Book"/>
      <w:color w:val="808080"/>
      <w:sz w:val="19"/>
      <w:szCs w:val="24"/>
      <w:lang w:val="en-US" w:eastAsia="en-US" w:bidi="ar-SA"/>
    </w:rPr>
  </w:style>
  <w:style w:type="paragraph" w:customStyle="1" w:styleId="StyleNoSpacingCustomColorRGB04369LinespacingExact">
    <w:name w:val="Style No Spacing + Custom Color(RGB(04369)) Line spacing:  Exact..."/>
    <w:basedOn w:val="NoSpacing"/>
    <w:rsid w:val="00D353D4"/>
    <w:pPr>
      <w:spacing w:line="240" w:lineRule="exact"/>
    </w:pPr>
    <w:rPr>
      <w:color w:val="808080"/>
      <w:szCs w:val="20"/>
    </w:rPr>
  </w:style>
  <w:style w:type="paragraph" w:customStyle="1" w:styleId="StyleNoSpacingCustomColorRGB04369">
    <w:name w:val="Style No Spacing + Custom Color(RGB(04369))"/>
    <w:basedOn w:val="NoSpacing"/>
    <w:rsid w:val="00D353D4"/>
    <w:rPr>
      <w:color w:val="808080"/>
    </w:rPr>
  </w:style>
  <w:style w:type="character" w:customStyle="1" w:styleId="StyleNoSpacingCustomColorRGB04369Char">
    <w:name w:val="Style No Spacing + Custom Color(RGB(04369)) Char"/>
    <w:basedOn w:val="NoSpacingChar"/>
    <w:rsid w:val="00D353D4"/>
    <w:rPr>
      <w:rFonts w:ascii="Franklin Gothic Book" w:hAnsi="Franklin Gothic Book"/>
      <w:color w:val="808080"/>
      <w:sz w:val="19"/>
      <w:szCs w:val="24"/>
      <w:lang w:val="en-GB" w:eastAsia="en-US" w:bidi="ar-SA"/>
    </w:rPr>
  </w:style>
  <w:style w:type="paragraph" w:customStyle="1" w:styleId="StyleHTMLPreformattedFranklinGothicBook95ptCustomColo">
    <w:name w:val="Style HTML Preformatted + Franklin Gothic Book 9.5 pt Custom Colo..."/>
    <w:basedOn w:val="HTMLPreformatted"/>
    <w:rsid w:val="00D353D4"/>
    <w:pPr>
      <w:spacing w:line="240" w:lineRule="exact"/>
    </w:pPr>
    <w:rPr>
      <w:rFonts w:ascii="Franklin Gothic Book" w:hAnsi="Franklin Gothic Book" w:cs="Times New Roman"/>
      <w:color w:val="808080"/>
      <w:sz w:val="19"/>
    </w:rPr>
  </w:style>
  <w:style w:type="paragraph" w:customStyle="1" w:styleId="StyleCustomColorRGB04369Left063cm">
    <w:name w:val="Style Custom Color(RGB(04369)) Left:  0.63 cm"/>
    <w:basedOn w:val="Normal"/>
    <w:rsid w:val="00D353D4"/>
    <w:pPr>
      <w:ind w:left="360"/>
    </w:pPr>
    <w:rPr>
      <w:color w:val="999999"/>
      <w:szCs w:val="20"/>
    </w:rPr>
  </w:style>
  <w:style w:type="paragraph" w:customStyle="1" w:styleId="StyleSub-heading95ptCustomColorRGB04369">
    <w:name w:val="Style Sub-heading + 9.5 pt Custom Color(RGB(04369))"/>
    <w:basedOn w:val="Sub-heading"/>
    <w:rsid w:val="00D353D4"/>
    <w:rPr>
      <w:color w:val="999999"/>
      <w:sz w:val="19"/>
    </w:rPr>
  </w:style>
  <w:style w:type="paragraph" w:customStyle="1" w:styleId="StyleHeadingFranklinGothicBook95ptCustomColorRGB043">
    <w:name w:val="Style Heading + Franklin Gothic Book 9.5 pt Custom Color(RGB(043..."/>
    <w:basedOn w:val="Heading"/>
    <w:rsid w:val="00D353D4"/>
    <w:rPr>
      <w:rFonts w:ascii="Franklin Gothic Book" w:hAnsi="Franklin Gothic Book"/>
      <w:color w:val="999999"/>
      <w:sz w:val="19"/>
    </w:rPr>
  </w:style>
  <w:style w:type="character" w:customStyle="1" w:styleId="SectionheadingChar1">
    <w:name w:val="Section heading Char1"/>
    <w:basedOn w:val="DefaultParagraphFont"/>
    <w:rsid w:val="00D353D4"/>
    <w:rPr>
      <w:rFonts w:ascii="Franklin Gothic Demi" w:hAnsi="Franklin Gothic Demi"/>
      <w:color w:val="63B1E5"/>
      <w:sz w:val="28"/>
      <w:lang w:val="en-GB" w:eastAsia="en-US"/>
    </w:rPr>
  </w:style>
  <w:style w:type="character" w:customStyle="1" w:styleId="HeadingChar">
    <w:name w:val="Heading Char"/>
    <w:basedOn w:val="SectionheadingChar1"/>
    <w:rsid w:val="00D353D4"/>
    <w:rPr>
      <w:rFonts w:ascii="Franklin Gothic Demi" w:hAnsi="Franklin Gothic Demi"/>
      <w:color w:val="63B1E5"/>
      <w:sz w:val="22"/>
      <w:lang w:val="en-GB" w:eastAsia="en-US"/>
    </w:rPr>
  </w:style>
  <w:style w:type="character" w:customStyle="1" w:styleId="StyleHeadingFranklinGothicBook95ptCustomColorRGB043Char">
    <w:name w:val="Style Heading + Franklin Gothic Book 9.5 pt Custom Color(RGB(043... Char"/>
    <w:basedOn w:val="HeadingChar"/>
    <w:rsid w:val="00D353D4"/>
    <w:rPr>
      <w:rFonts w:ascii="Franklin Gothic Book" w:hAnsi="Franklin Gothic Book"/>
      <w:color w:val="999999"/>
      <w:sz w:val="19"/>
      <w:lang w:val="en-GB" w:eastAsia="en-US"/>
    </w:rPr>
  </w:style>
  <w:style w:type="character" w:customStyle="1" w:styleId="StyleBoldDarkBlue">
    <w:name w:val="Style Bold + Dark Blue"/>
    <w:basedOn w:val="Bold"/>
    <w:rsid w:val="00D353D4"/>
    <w:rPr>
      <w:rFonts w:ascii="Franklin Gothic Demi" w:hAnsi="Franklin Gothic Demi"/>
      <w:color w:val="003366"/>
    </w:rPr>
  </w:style>
  <w:style w:type="character" w:customStyle="1" w:styleId="StyleStyleCustomColorRGB043691DarkBlue">
    <w:name w:val="Style Style Custom Color(RGB(04369))1 + Dark Blue"/>
    <w:basedOn w:val="StyleCustomColorRGB043691"/>
    <w:rsid w:val="00D353D4"/>
    <w:rPr>
      <w:color w:val="808080"/>
    </w:rPr>
  </w:style>
  <w:style w:type="paragraph" w:customStyle="1" w:styleId="StyleTabletext9ptBoldDarkBlueCentered">
    <w:name w:val="Style Table text + 9 pt Bold Dark Blue Centered"/>
    <w:basedOn w:val="Tabletext"/>
    <w:rsid w:val="00D353D4"/>
    <w:pPr>
      <w:jc w:val="center"/>
    </w:pPr>
    <w:rPr>
      <w:b/>
      <w:bCs/>
      <w:color w:val="003366"/>
      <w:sz w:val="18"/>
      <w:szCs w:val="20"/>
    </w:rPr>
  </w:style>
  <w:style w:type="paragraph" w:customStyle="1" w:styleId="StyleTabletext9ptBoldDarkBlueCentered1">
    <w:name w:val="Style Table text + 9 pt Bold Dark Blue Centered1"/>
    <w:basedOn w:val="Tabletext"/>
    <w:rsid w:val="00D353D4"/>
    <w:pPr>
      <w:jc w:val="center"/>
    </w:pPr>
    <w:rPr>
      <w:b/>
      <w:bCs/>
      <w:color w:val="003366"/>
      <w:sz w:val="18"/>
      <w:szCs w:val="20"/>
    </w:rPr>
  </w:style>
  <w:style w:type="paragraph" w:customStyle="1" w:styleId="Style9ptCustomColorRGB1533154Centered5">
    <w:name w:val="Style 9 pt Custom Color(RGB(1533154)) Centered5"/>
    <w:basedOn w:val="Normal"/>
    <w:rsid w:val="00D353D4"/>
    <w:pPr>
      <w:jc w:val="center"/>
    </w:pPr>
    <w:rPr>
      <w:color w:val="003366"/>
      <w:sz w:val="18"/>
      <w:szCs w:val="20"/>
    </w:rPr>
  </w:style>
  <w:style w:type="paragraph" w:customStyle="1" w:styleId="StyleCustomColorRGB04369CenteredLeft015cmRight">
    <w:name w:val="Style Custom Color(RGB(04369)) Centered Left:  0.15 cm Right: ..."/>
    <w:basedOn w:val="Normal"/>
    <w:rsid w:val="00D353D4"/>
    <w:pPr>
      <w:ind w:left="85" w:right="85"/>
      <w:jc w:val="center"/>
    </w:pPr>
    <w:rPr>
      <w:color w:val="999999"/>
      <w:szCs w:val="20"/>
    </w:rPr>
  </w:style>
  <w:style w:type="character" w:customStyle="1" w:styleId="StyleStyleCustomColorRGB043691DarkTeal">
    <w:name w:val="Style Style Custom Color(RGB(04369))1 + Dark Teal"/>
    <w:basedOn w:val="StyleCustomColorRGB043691"/>
    <w:rsid w:val="00D353D4"/>
    <w:rPr>
      <w:color w:val="999999"/>
    </w:rPr>
  </w:style>
  <w:style w:type="paragraph" w:customStyle="1" w:styleId="StyleCustomColorRGB04369Right">
    <w:name w:val="Style Custom Color(RGB(04369)) Right"/>
    <w:basedOn w:val="Normal"/>
    <w:rsid w:val="00D353D4"/>
    <w:pPr>
      <w:jc w:val="right"/>
    </w:pPr>
    <w:rPr>
      <w:color w:val="999999"/>
      <w:szCs w:val="20"/>
    </w:rPr>
  </w:style>
  <w:style w:type="paragraph" w:customStyle="1" w:styleId="StyleCustomColorRGB04369RightLeft015cmRight0">
    <w:name w:val="Style Custom Color(RGB(04369)) Right Left:  0.15 cm Right:  0...."/>
    <w:basedOn w:val="Normal"/>
    <w:rsid w:val="00D353D4"/>
    <w:pPr>
      <w:spacing w:line="200" w:lineRule="exact"/>
      <w:ind w:left="86" w:right="86"/>
      <w:jc w:val="right"/>
    </w:pPr>
    <w:rPr>
      <w:color w:val="999999"/>
      <w:szCs w:val="20"/>
    </w:rPr>
  </w:style>
  <w:style w:type="paragraph" w:customStyle="1" w:styleId="StyleFranklinGothicDemiCustomColorRGB04369Left015">
    <w:name w:val="Style Franklin Gothic Demi Custom Color(RGB(04369)) Left:  0.15..."/>
    <w:basedOn w:val="Normal"/>
    <w:rsid w:val="00D353D4"/>
    <w:pPr>
      <w:spacing w:line="200" w:lineRule="exact"/>
      <w:ind w:left="86" w:right="86"/>
    </w:pPr>
    <w:rPr>
      <w:rFonts w:ascii="Franklin Gothic Demi" w:hAnsi="Franklin Gothic Demi"/>
      <w:color w:val="999999"/>
      <w:szCs w:val="20"/>
    </w:rPr>
  </w:style>
  <w:style w:type="paragraph" w:customStyle="1" w:styleId="StyleCustomColorRGB04369Left015cmRight015cm">
    <w:name w:val="Style Custom Color(RGB(04369)) Left:  0.15 cm Right:  0.15 cm ..."/>
    <w:basedOn w:val="Normal"/>
    <w:rsid w:val="00D353D4"/>
    <w:pPr>
      <w:spacing w:line="200" w:lineRule="exact"/>
      <w:ind w:left="86" w:right="86"/>
    </w:pPr>
    <w:rPr>
      <w:color w:val="999999"/>
      <w:szCs w:val="20"/>
    </w:rPr>
  </w:style>
  <w:style w:type="paragraph" w:customStyle="1" w:styleId="Tabletext0">
    <w:name w:val="Tabletext"/>
    <w:basedOn w:val="StyleTabletextCustomColorRGB04369"/>
    <w:link w:val="TabletextChar0"/>
    <w:uiPriority w:val="99"/>
    <w:rsid w:val="00D353D4"/>
  </w:style>
  <w:style w:type="paragraph" w:customStyle="1" w:styleId="StyleTabletextDarkTeal">
    <w:name w:val="Style Table text + Dark Teal"/>
    <w:basedOn w:val="Tabletext"/>
    <w:rsid w:val="00D353D4"/>
    <w:pPr>
      <w:ind w:firstLineChars="100" w:firstLine="190"/>
    </w:pPr>
    <w:rPr>
      <w:color w:val="808080"/>
      <w:szCs w:val="20"/>
    </w:rPr>
  </w:style>
  <w:style w:type="paragraph" w:customStyle="1" w:styleId="Style8ptCustomColorRGB04369Before6ptLinespacing">
    <w:name w:val="Style 8 pt Custom Color(RGB(04369)) Before:  6 pt Line spacing..."/>
    <w:basedOn w:val="Normal"/>
    <w:rsid w:val="00D353D4"/>
    <w:pPr>
      <w:tabs>
        <w:tab w:val="left" w:pos="284"/>
      </w:tabs>
      <w:spacing w:before="120" w:line="240" w:lineRule="auto"/>
      <w:ind w:firstLine="284"/>
    </w:pPr>
    <w:rPr>
      <w:color w:val="002B45"/>
      <w:sz w:val="16"/>
      <w:szCs w:val="20"/>
    </w:rPr>
  </w:style>
  <w:style w:type="paragraph" w:customStyle="1" w:styleId="Style8ptCustomColorRGB04369Before6ptLinespacing1">
    <w:name w:val="Style 8 pt Custom Color(RGB(04369)) Before:  6 pt Line spacing...1"/>
    <w:basedOn w:val="Normal"/>
    <w:rsid w:val="00D353D4"/>
    <w:pPr>
      <w:spacing w:before="120" w:line="240" w:lineRule="auto"/>
    </w:pPr>
    <w:rPr>
      <w:color w:val="808080"/>
      <w:sz w:val="16"/>
      <w:szCs w:val="20"/>
    </w:rPr>
  </w:style>
  <w:style w:type="character" w:customStyle="1" w:styleId="CharChar1">
    <w:name w:val="Char Char1"/>
    <w:basedOn w:val="DefaultParagraphFont"/>
    <w:rsid w:val="00D353D4"/>
    <w:rPr>
      <w:rFonts w:ascii="Verdana" w:hAnsi="Verdana"/>
      <w:sz w:val="18"/>
      <w:szCs w:val="18"/>
      <w:lang w:val="en-US" w:eastAsia="en-US" w:bidi="ar-SA"/>
    </w:rPr>
  </w:style>
  <w:style w:type="character" w:customStyle="1" w:styleId="stylecustomcolorrgb0436910">
    <w:name w:val="stylecustomcolorrgb043691"/>
    <w:basedOn w:val="DefaultParagraphFont"/>
    <w:rsid w:val="00D353D4"/>
    <w:rPr>
      <w:color w:val="808080"/>
    </w:rPr>
  </w:style>
  <w:style w:type="character" w:customStyle="1" w:styleId="CharChar2">
    <w:name w:val="Char Char2"/>
    <w:basedOn w:val="DefaultParagraphFont"/>
    <w:rsid w:val="00D353D4"/>
    <w:rPr>
      <w:rFonts w:ascii="Franklin Gothic Demi" w:hAnsi="Franklin Gothic Demi"/>
      <w:sz w:val="16"/>
      <w:szCs w:val="24"/>
      <w:lang w:val="en-GB" w:eastAsia="en-US"/>
    </w:rPr>
  </w:style>
  <w:style w:type="character" w:customStyle="1" w:styleId="stylefranklingothicdemi10ptcustomcolorrgb15331540">
    <w:name w:val="stylefranklingothicdemi10ptcustomcolorrgb1533154"/>
    <w:basedOn w:val="DefaultParagraphFont"/>
    <w:rsid w:val="00D353D4"/>
    <w:rPr>
      <w:rFonts w:ascii="Franklin Gothic Demi" w:hAnsi="Franklin Gothic Demi" w:hint="default"/>
      <w:color w:val="002B45"/>
    </w:rPr>
  </w:style>
  <w:style w:type="table" w:styleId="TableGrid">
    <w:name w:val="Table Grid"/>
    <w:basedOn w:val="TableNormal"/>
    <w:uiPriority w:val="99"/>
    <w:rsid w:val="00F62282"/>
    <w:pPr>
      <w:spacing w:line="240" w:lineRule="exact"/>
      <w:ind w:left="85" w:right="85"/>
    </w:pPr>
    <w:rPr>
      <w:rFonts w:ascii="Franklin Gothic Book" w:hAnsi="Franklin Gothic Book"/>
      <w:sz w:val="19"/>
      <w:szCs w:val="19"/>
    </w:rPr>
    <w:tblPr>
      <w:tblBorders>
        <w:bottom w:val="single" w:sz="4" w:space="0" w:color="E0EFFA"/>
        <w:insideH w:val="single" w:sz="4" w:space="0" w:color="E0EFFA"/>
      </w:tblBorders>
      <w:tblCellMar>
        <w:left w:w="0" w:type="dxa"/>
        <w:right w:w="0" w:type="dxa"/>
      </w:tblCellMar>
    </w:tblPr>
    <w:tcPr>
      <w:tcMar>
        <w:top w:w="57" w:type="dxa"/>
        <w:left w:w="0" w:type="dxa"/>
        <w:bottom w:w="57" w:type="dxa"/>
        <w:right w:w="0" w:type="dxa"/>
      </w:tcMar>
      <w:vAlign w:val="center"/>
    </w:tcPr>
  </w:style>
  <w:style w:type="numbering" w:customStyle="1" w:styleId="StyleBulletedSymbolsymbolCustomColorRGB1371276Left">
    <w:name w:val="Style Bulleted Symbol (symbol) Custom Color(RGB(1371276)) Left..."/>
    <w:basedOn w:val="NoList"/>
    <w:rsid w:val="00F62282"/>
    <w:pPr>
      <w:numPr>
        <w:numId w:val="1"/>
      </w:numPr>
    </w:pPr>
  </w:style>
  <w:style w:type="numbering" w:customStyle="1" w:styleId="StyleBulletedSymbolsymbolCustomColorRGB1371276Left1">
    <w:name w:val="Style Bulleted Symbol (symbol) Custom Color(RGB(1371276)) Left...1"/>
    <w:basedOn w:val="NoList"/>
    <w:rsid w:val="00F62282"/>
    <w:pPr>
      <w:numPr>
        <w:numId w:val="2"/>
      </w:numPr>
    </w:pPr>
  </w:style>
  <w:style w:type="numbering" w:customStyle="1" w:styleId="StyleBulletedSymbolsymbolCustomColorRGB1371276Left2">
    <w:name w:val="Style Bulleted Symbol (symbol) Custom Color(RGB(1371276)) Left...2"/>
    <w:basedOn w:val="NoList"/>
    <w:rsid w:val="00F62282"/>
    <w:pPr>
      <w:numPr>
        <w:numId w:val="3"/>
      </w:numPr>
    </w:pPr>
  </w:style>
  <w:style w:type="numbering" w:customStyle="1" w:styleId="Style2">
    <w:name w:val="Style2"/>
    <w:rsid w:val="00F62282"/>
    <w:pPr>
      <w:numPr>
        <w:numId w:val="4"/>
      </w:numPr>
    </w:pPr>
  </w:style>
  <w:style w:type="character" w:customStyle="1" w:styleId="EmailStyle117">
    <w:name w:val="EmailStyle117"/>
    <w:basedOn w:val="DefaultParagraphFont"/>
    <w:semiHidden/>
    <w:rsid w:val="0080070A"/>
    <w:rPr>
      <w:rFonts w:ascii="Arial" w:hAnsi="Arial" w:cs="Arial"/>
      <w:color w:val="auto"/>
      <w:sz w:val="20"/>
      <w:szCs w:val="20"/>
    </w:rPr>
  </w:style>
  <w:style w:type="paragraph" w:styleId="DocumentMap">
    <w:name w:val="Document Map"/>
    <w:basedOn w:val="Normal"/>
    <w:link w:val="DocumentMapChar"/>
    <w:semiHidden/>
    <w:rsid w:val="001A4A33"/>
    <w:pPr>
      <w:shd w:val="clear" w:color="auto" w:fill="000080"/>
    </w:pPr>
    <w:rPr>
      <w:rFonts w:ascii="Tahoma" w:hAnsi="Tahoma" w:cs="Tahoma"/>
      <w:sz w:val="20"/>
      <w:szCs w:val="20"/>
    </w:rPr>
  </w:style>
  <w:style w:type="paragraph" w:customStyle="1" w:styleId="BodytextAfterTables">
    <w:name w:val="Bodytext AfterTables"/>
    <w:basedOn w:val="Normal"/>
    <w:link w:val="BodytextAfterTablesChar"/>
    <w:uiPriority w:val="99"/>
    <w:rsid w:val="00A45A52"/>
    <w:pPr>
      <w:tabs>
        <w:tab w:val="left" w:pos="227"/>
        <w:tab w:val="left" w:pos="2835"/>
      </w:tabs>
      <w:spacing w:before="105" w:after="105" w:line="210" w:lineRule="exact"/>
      <w:jc w:val="left"/>
    </w:pPr>
    <w:rPr>
      <w:rFonts w:ascii="DINOT-Light" w:hAnsi="DINOT-Light"/>
      <w:sz w:val="18"/>
      <w:lang w:eastAsia="en-GB"/>
    </w:rPr>
  </w:style>
  <w:style w:type="character" w:customStyle="1" w:styleId="NormalWebChar1">
    <w:name w:val="Normal (Web) Char1"/>
    <w:basedOn w:val="DefaultParagraphFont"/>
    <w:link w:val="NormalWeb"/>
    <w:rsid w:val="00E07453"/>
    <w:rPr>
      <w:rFonts w:ascii="Verdana" w:hAnsi="Verdana"/>
      <w:sz w:val="18"/>
      <w:szCs w:val="18"/>
      <w:lang w:val="en-US" w:eastAsia="en-US"/>
    </w:rPr>
  </w:style>
  <w:style w:type="paragraph" w:customStyle="1" w:styleId="msolistparagraph0">
    <w:name w:val="msolistparagraph"/>
    <w:basedOn w:val="Normal"/>
    <w:rsid w:val="00E07453"/>
    <w:pPr>
      <w:spacing w:line="240" w:lineRule="auto"/>
      <w:ind w:left="720"/>
      <w:jc w:val="left"/>
    </w:pPr>
    <w:rPr>
      <w:rFonts w:ascii="Times New Roman" w:hAnsi="Times New Roman"/>
      <w:sz w:val="24"/>
      <w:lang w:val="en-US"/>
    </w:rPr>
  </w:style>
  <w:style w:type="character" w:customStyle="1" w:styleId="Heading2Char">
    <w:name w:val="Heading 2 Char"/>
    <w:basedOn w:val="DefaultParagraphFont"/>
    <w:link w:val="Heading2"/>
    <w:uiPriority w:val="9"/>
    <w:semiHidden/>
    <w:rsid w:val="007410E7"/>
    <w:rPr>
      <w:b/>
      <w:bCs/>
      <w:sz w:val="36"/>
      <w:szCs w:val="36"/>
      <w:lang w:val="en-US" w:eastAsia="en-US"/>
    </w:rPr>
  </w:style>
  <w:style w:type="paragraph" w:styleId="ListParagraph">
    <w:name w:val="List Paragraph"/>
    <w:basedOn w:val="Normal"/>
    <w:uiPriority w:val="34"/>
    <w:qFormat/>
    <w:rsid w:val="00B6611E"/>
    <w:pPr>
      <w:spacing w:line="240" w:lineRule="auto"/>
      <w:ind w:left="720"/>
      <w:jc w:val="left"/>
    </w:pPr>
    <w:rPr>
      <w:rFonts w:ascii="Calibri" w:eastAsia="Calibri" w:hAnsi="Calibri"/>
      <w:sz w:val="22"/>
      <w:szCs w:val="22"/>
      <w:lang w:val="en-US"/>
    </w:rPr>
  </w:style>
  <w:style w:type="character" w:styleId="CommentReference">
    <w:name w:val="annotation reference"/>
    <w:basedOn w:val="DefaultParagraphFont"/>
    <w:uiPriority w:val="99"/>
    <w:unhideWhenUsed/>
    <w:rsid w:val="00D96C41"/>
    <w:rPr>
      <w:sz w:val="16"/>
      <w:szCs w:val="16"/>
    </w:rPr>
  </w:style>
  <w:style w:type="paragraph" w:styleId="CommentText">
    <w:name w:val="annotation text"/>
    <w:basedOn w:val="Normal"/>
    <w:link w:val="CommentTextChar"/>
    <w:uiPriority w:val="99"/>
    <w:unhideWhenUsed/>
    <w:rsid w:val="00D96C41"/>
    <w:pPr>
      <w:spacing w:line="240" w:lineRule="auto"/>
      <w:jc w:val="left"/>
    </w:pPr>
    <w:rPr>
      <w:rFonts w:ascii="Calibri" w:eastAsia="Calibri" w:hAnsi="Calibri" w:cs="Calibri"/>
      <w:sz w:val="20"/>
      <w:szCs w:val="20"/>
      <w:lang w:val="en-IE" w:eastAsia="en-IE"/>
    </w:rPr>
  </w:style>
  <w:style w:type="character" w:customStyle="1" w:styleId="CommentTextChar">
    <w:name w:val="Comment Text Char"/>
    <w:basedOn w:val="DefaultParagraphFont"/>
    <w:link w:val="CommentText"/>
    <w:uiPriority w:val="99"/>
    <w:rsid w:val="00D96C41"/>
    <w:rPr>
      <w:rFonts w:ascii="Calibri" w:eastAsia="Calibri" w:hAnsi="Calibri" w:cs="Calibri"/>
    </w:rPr>
  </w:style>
  <w:style w:type="character" w:customStyle="1" w:styleId="apple-style-span">
    <w:name w:val="apple-style-span"/>
    <w:basedOn w:val="DefaultParagraphFont"/>
    <w:rsid w:val="009D5A82"/>
  </w:style>
  <w:style w:type="paragraph" w:customStyle="1" w:styleId="TableFigures">
    <w:name w:val="TableFigures"/>
    <w:basedOn w:val="Tabletext0"/>
    <w:link w:val="TableFiguresChar"/>
    <w:uiPriority w:val="99"/>
    <w:rsid w:val="005B7C09"/>
    <w:pPr>
      <w:tabs>
        <w:tab w:val="left" w:pos="284"/>
      </w:tabs>
      <w:spacing w:before="20" w:after="20" w:line="210" w:lineRule="exact"/>
      <w:ind w:right="57"/>
      <w:jc w:val="right"/>
    </w:pPr>
    <w:rPr>
      <w:rFonts w:ascii="DINOT-Light" w:hAnsi="DINOT-Light"/>
      <w:color w:val="000000"/>
      <w:sz w:val="18"/>
      <w:szCs w:val="20"/>
      <w:lang w:val="en-GB" w:eastAsia="en-GB"/>
    </w:rPr>
  </w:style>
  <w:style w:type="paragraph" w:customStyle="1" w:styleId="TableFiguresBold">
    <w:name w:val="TableFigures Bold"/>
    <w:basedOn w:val="TableFigures"/>
    <w:uiPriority w:val="99"/>
    <w:rsid w:val="005B7C09"/>
    <w:rPr>
      <w:rFonts w:ascii="DINOT-Medium" w:hAnsi="DINOT-Medium"/>
      <w:bCs/>
      <w:color w:val="1F497D"/>
    </w:rPr>
  </w:style>
  <w:style w:type="paragraph" w:customStyle="1" w:styleId="TableFiguresBrackets">
    <w:name w:val="TableFigures Brackets"/>
    <w:basedOn w:val="TableFigures"/>
    <w:uiPriority w:val="99"/>
    <w:rsid w:val="005B7C09"/>
    <w:pPr>
      <w:ind w:right="6"/>
    </w:pPr>
  </w:style>
  <w:style w:type="paragraph" w:customStyle="1" w:styleId="TableFiguresBracketsBold">
    <w:name w:val="TableFigures Brackets Bold"/>
    <w:basedOn w:val="TableFiguresBrackets"/>
    <w:uiPriority w:val="99"/>
    <w:rsid w:val="005B7C09"/>
    <w:rPr>
      <w:rFonts w:ascii="DINOT-Medium" w:hAnsi="DINOT-Medium"/>
      <w:bCs/>
      <w:color w:val="1F497D"/>
    </w:rPr>
  </w:style>
  <w:style w:type="paragraph" w:customStyle="1" w:styleId="TabletextBold">
    <w:name w:val="Tabletext Bold"/>
    <w:basedOn w:val="Tabletext0"/>
    <w:uiPriority w:val="99"/>
    <w:rsid w:val="005B7C09"/>
    <w:pPr>
      <w:tabs>
        <w:tab w:val="left" w:pos="284"/>
      </w:tabs>
      <w:spacing w:before="20" w:after="20" w:line="210" w:lineRule="exact"/>
      <w:ind w:right="6"/>
    </w:pPr>
    <w:rPr>
      <w:rFonts w:ascii="DINOT-Medium" w:hAnsi="DINOT-Medium"/>
      <w:color w:val="000000"/>
      <w:sz w:val="18"/>
      <w:szCs w:val="20"/>
      <w:lang w:val="en-GB" w:eastAsia="en-GB"/>
    </w:rPr>
  </w:style>
  <w:style w:type="paragraph" w:customStyle="1" w:styleId="TableColHeads">
    <w:name w:val="TableColHeads"/>
    <w:basedOn w:val="Tabletext0"/>
    <w:link w:val="TableColHeadsChar"/>
    <w:uiPriority w:val="99"/>
    <w:rsid w:val="005B7C09"/>
    <w:pPr>
      <w:tabs>
        <w:tab w:val="left" w:pos="284"/>
      </w:tabs>
      <w:spacing w:before="30" w:after="30" w:line="160" w:lineRule="exact"/>
      <w:ind w:right="57"/>
      <w:jc w:val="right"/>
    </w:pPr>
    <w:rPr>
      <w:rFonts w:ascii="DINOT-Light" w:hAnsi="DINOT-Light"/>
      <w:color w:val="auto"/>
      <w:sz w:val="14"/>
      <w:szCs w:val="20"/>
      <w:lang w:val="en-GB" w:eastAsia="en-GB"/>
    </w:rPr>
  </w:style>
  <w:style w:type="paragraph" w:customStyle="1" w:styleId="TableColHeadsBold">
    <w:name w:val="TableColHeads Bold"/>
    <w:basedOn w:val="TableColHeads"/>
    <w:uiPriority w:val="99"/>
    <w:rsid w:val="005B7C09"/>
    <w:rPr>
      <w:rFonts w:ascii="DINOT-Medium" w:hAnsi="DINOT-Medium"/>
      <w:bCs/>
      <w:color w:val="1F497D"/>
    </w:rPr>
  </w:style>
  <w:style w:type="paragraph" w:customStyle="1" w:styleId="TabletextIndent">
    <w:name w:val="Tabletext Indent"/>
    <w:basedOn w:val="Tabletext0"/>
    <w:uiPriority w:val="99"/>
    <w:rsid w:val="005B7C09"/>
    <w:pPr>
      <w:tabs>
        <w:tab w:val="left" w:pos="284"/>
      </w:tabs>
      <w:spacing w:before="20" w:after="20" w:line="210" w:lineRule="exact"/>
      <w:ind w:left="170"/>
    </w:pPr>
    <w:rPr>
      <w:rFonts w:ascii="DINOT-Light" w:hAnsi="DINOT-Light"/>
      <w:color w:val="auto"/>
      <w:sz w:val="18"/>
      <w:szCs w:val="20"/>
      <w:lang w:val="en-GB" w:eastAsia="en-GB"/>
    </w:rPr>
  </w:style>
  <w:style w:type="paragraph" w:customStyle="1" w:styleId="Footnotes">
    <w:name w:val="Footnotes"/>
    <w:basedOn w:val="Normal"/>
    <w:uiPriority w:val="99"/>
    <w:rsid w:val="005B7C09"/>
    <w:pPr>
      <w:tabs>
        <w:tab w:val="left" w:pos="170"/>
      </w:tabs>
      <w:spacing w:before="70" w:line="160" w:lineRule="exact"/>
      <w:ind w:left="113" w:hanging="113"/>
      <w:jc w:val="left"/>
    </w:pPr>
    <w:rPr>
      <w:rFonts w:ascii="DINOT-Light" w:hAnsi="DINOT-Light"/>
      <w:sz w:val="14"/>
      <w:lang w:eastAsia="en-GB"/>
    </w:rPr>
  </w:style>
  <w:style w:type="paragraph" w:customStyle="1" w:styleId="BodytextGenericStyles">
    <w:name w:val="Bodytext (Generic Styles)"/>
    <w:basedOn w:val="Normal"/>
    <w:uiPriority w:val="99"/>
    <w:rsid w:val="00B254E5"/>
    <w:pPr>
      <w:suppressAutoHyphens/>
      <w:autoSpaceDE w:val="0"/>
      <w:autoSpaceDN w:val="0"/>
      <w:adjustRightInd w:val="0"/>
      <w:spacing w:after="220" w:line="220" w:lineRule="atLeast"/>
      <w:jc w:val="left"/>
      <w:textAlignment w:val="center"/>
    </w:pPr>
    <w:rPr>
      <w:rFonts w:ascii="DIN OT Light" w:eastAsiaTheme="minorHAnsi" w:hAnsi="DIN OT Light" w:cs="DIN OT Light"/>
      <w:color w:val="000000"/>
      <w:spacing w:val="-2"/>
      <w:sz w:val="18"/>
      <w:szCs w:val="18"/>
    </w:rPr>
  </w:style>
  <w:style w:type="character" w:customStyle="1" w:styleId="Heading1Char">
    <w:name w:val="Heading 1 Char"/>
    <w:basedOn w:val="DefaultParagraphFont"/>
    <w:link w:val="Heading1"/>
    <w:rsid w:val="005511B6"/>
    <w:rPr>
      <w:rFonts w:asciiTheme="majorHAnsi" w:eastAsiaTheme="majorEastAsia" w:hAnsiTheme="majorHAnsi" w:cstheme="majorBidi"/>
      <w:b/>
      <w:bCs/>
      <w:color w:val="365F91" w:themeColor="accent1" w:themeShade="BF"/>
      <w:sz w:val="28"/>
      <w:szCs w:val="28"/>
      <w:lang w:eastAsia="en-US"/>
    </w:rPr>
  </w:style>
  <w:style w:type="character" w:customStyle="1" w:styleId="FooterChar">
    <w:name w:val="Footer Char"/>
    <w:basedOn w:val="DefaultParagraphFont"/>
    <w:link w:val="Footer"/>
    <w:uiPriority w:val="99"/>
    <w:locked/>
    <w:rsid w:val="005511B6"/>
    <w:rPr>
      <w:rFonts w:ascii="Franklin Gothic Demi" w:hAnsi="Franklin Gothic Demi"/>
      <w:sz w:val="16"/>
      <w:szCs w:val="24"/>
      <w:lang w:eastAsia="en-US"/>
    </w:rPr>
  </w:style>
  <w:style w:type="character" w:customStyle="1" w:styleId="HeaderChar">
    <w:name w:val="Header Char"/>
    <w:basedOn w:val="DefaultParagraphFont"/>
    <w:link w:val="Header"/>
    <w:locked/>
    <w:rsid w:val="005511B6"/>
    <w:rPr>
      <w:rFonts w:ascii="Franklin Gothic Book" w:hAnsi="Franklin Gothic Book"/>
      <w:sz w:val="19"/>
      <w:szCs w:val="24"/>
      <w:lang w:eastAsia="en-US"/>
    </w:rPr>
  </w:style>
  <w:style w:type="character" w:customStyle="1" w:styleId="BalloonTextChar">
    <w:name w:val="Balloon Text Char"/>
    <w:basedOn w:val="DefaultParagraphFont"/>
    <w:link w:val="BalloonText"/>
    <w:semiHidden/>
    <w:locked/>
    <w:rsid w:val="005511B6"/>
    <w:rPr>
      <w:rFonts w:ascii="Tahoma" w:hAnsi="Tahoma" w:cs="Tahoma"/>
      <w:sz w:val="16"/>
      <w:szCs w:val="16"/>
      <w:lang w:eastAsia="en-US"/>
    </w:rPr>
  </w:style>
  <w:style w:type="character" w:customStyle="1" w:styleId="HTMLPreformattedChar">
    <w:name w:val="HTML Preformatted Char"/>
    <w:basedOn w:val="DefaultParagraphFont"/>
    <w:link w:val="HTMLPreformatted"/>
    <w:locked/>
    <w:rsid w:val="005511B6"/>
    <w:rPr>
      <w:rFonts w:ascii="Courier New" w:hAnsi="Courier New" w:cs="Courier New"/>
      <w:lang w:val="en-US" w:eastAsia="en-US"/>
    </w:rPr>
  </w:style>
  <w:style w:type="character" w:customStyle="1" w:styleId="BodyTextChar">
    <w:name w:val="Body Text Char"/>
    <w:basedOn w:val="DefaultParagraphFont"/>
    <w:link w:val="BodyText"/>
    <w:locked/>
    <w:rsid w:val="005511B6"/>
    <w:rPr>
      <w:sz w:val="19"/>
      <w:lang w:val="en-US" w:eastAsia="en-US"/>
    </w:rPr>
  </w:style>
  <w:style w:type="character" w:customStyle="1" w:styleId="EmailStyle144">
    <w:name w:val="EmailStyle144"/>
    <w:basedOn w:val="DefaultParagraphFont"/>
    <w:uiPriority w:val="99"/>
    <w:semiHidden/>
    <w:rsid w:val="005511B6"/>
    <w:rPr>
      <w:rFonts w:ascii="Arial" w:hAnsi="Arial" w:cs="Arial"/>
      <w:color w:val="000080"/>
      <w:sz w:val="20"/>
      <w:szCs w:val="20"/>
    </w:rPr>
  </w:style>
  <w:style w:type="table" w:customStyle="1" w:styleId="57">
    <w:name w:val="57"/>
    <w:uiPriority w:val="99"/>
    <w:rsid w:val="005511B6"/>
    <w:pPr>
      <w:widowControl w:val="0"/>
      <w:autoSpaceDE w:val="0"/>
      <w:autoSpaceDN w:val="0"/>
      <w:adjustRightInd w:val="0"/>
    </w:pPr>
    <w:rPr>
      <w:sz w:val="24"/>
      <w:szCs w:val="24"/>
    </w:rPr>
    <w:tblPr>
      <w:tblInd w:w="0" w:type="dxa"/>
      <w:tblBorders>
        <w:bottom w:val="single" w:sz="4" w:space="0" w:color="E0EFFA"/>
        <w:insideH w:val="single" w:sz="4" w:space="0" w:color="E0EFFA"/>
      </w:tblBorders>
      <w:tblCellMar>
        <w:top w:w="0" w:type="dxa"/>
        <w:left w:w="0" w:type="dxa"/>
        <w:bottom w:w="0" w:type="dxa"/>
        <w:right w:w="0" w:type="dxa"/>
      </w:tblCellMar>
    </w:tblPr>
  </w:style>
  <w:style w:type="character" w:customStyle="1" w:styleId="EmailStyle146">
    <w:name w:val="EmailStyle146"/>
    <w:basedOn w:val="DefaultParagraphFont"/>
    <w:uiPriority w:val="99"/>
    <w:semiHidden/>
    <w:rsid w:val="005511B6"/>
    <w:rPr>
      <w:rFonts w:ascii="Arial" w:hAnsi="Arial" w:cs="Arial"/>
      <w:color w:val="auto"/>
      <w:sz w:val="20"/>
      <w:szCs w:val="20"/>
    </w:rPr>
  </w:style>
  <w:style w:type="character" w:customStyle="1" w:styleId="DocumentMapChar">
    <w:name w:val="Document Map Char"/>
    <w:basedOn w:val="DefaultParagraphFont"/>
    <w:link w:val="DocumentMap"/>
    <w:semiHidden/>
    <w:locked/>
    <w:rsid w:val="005511B6"/>
    <w:rPr>
      <w:rFonts w:ascii="Tahoma" w:hAnsi="Tahoma" w:cs="Tahoma"/>
      <w:shd w:val="clear" w:color="auto" w:fill="000080"/>
      <w:lang w:eastAsia="en-US"/>
    </w:rPr>
  </w:style>
  <w:style w:type="paragraph" w:customStyle="1" w:styleId="stylebulletedsymbolsymbolcustomcolorrgb04369left0">
    <w:name w:val="stylebulletedsymbolsymbolcustomcolorrgb04369left"/>
    <w:basedOn w:val="Normal"/>
    <w:rsid w:val="005511B6"/>
    <w:pPr>
      <w:spacing w:after="40" w:line="240" w:lineRule="atLeast"/>
      <w:ind w:left="284" w:hanging="284"/>
    </w:pPr>
    <w:rPr>
      <w:color w:val="808080"/>
      <w:szCs w:val="19"/>
      <w:lang w:val="en-US"/>
    </w:rPr>
  </w:style>
  <w:style w:type="paragraph" w:customStyle="1" w:styleId="Default">
    <w:name w:val="Default"/>
    <w:rsid w:val="005511B6"/>
    <w:pPr>
      <w:autoSpaceDE w:val="0"/>
      <w:autoSpaceDN w:val="0"/>
      <w:adjustRightInd w:val="0"/>
    </w:pPr>
    <w:rPr>
      <w:rFonts w:ascii="Franklin Gothic Demi" w:hAnsi="Franklin Gothic Demi" w:cs="Franklin Gothic Demi"/>
      <w:color w:val="000000"/>
      <w:sz w:val="24"/>
      <w:szCs w:val="24"/>
      <w:lang w:val="fr-FR" w:eastAsia="en-US"/>
    </w:rPr>
  </w:style>
  <w:style w:type="character" w:customStyle="1" w:styleId="EmailStyle150">
    <w:name w:val="EmailStyle150"/>
    <w:basedOn w:val="DefaultParagraphFont"/>
    <w:uiPriority w:val="99"/>
    <w:semiHidden/>
    <w:rsid w:val="005511B6"/>
    <w:rPr>
      <w:rFonts w:ascii="Arial" w:hAnsi="Arial" w:cs="Arial"/>
      <w:color w:val="000080"/>
      <w:sz w:val="20"/>
      <w:szCs w:val="20"/>
    </w:rPr>
  </w:style>
  <w:style w:type="character" w:customStyle="1" w:styleId="EmailStyle151">
    <w:name w:val="EmailStyle151"/>
    <w:basedOn w:val="DefaultParagraphFont"/>
    <w:uiPriority w:val="99"/>
    <w:semiHidden/>
    <w:rsid w:val="005511B6"/>
    <w:rPr>
      <w:rFonts w:ascii="Arial" w:hAnsi="Arial" w:cs="Arial"/>
      <w:color w:val="auto"/>
      <w:sz w:val="20"/>
      <w:szCs w:val="20"/>
    </w:rPr>
  </w:style>
  <w:style w:type="character" w:customStyle="1" w:styleId="stylecustomcolorrgb04369100">
    <w:name w:val="stylecustomcolorrgb0436910"/>
    <w:basedOn w:val="DefaultParagraphFont"/>
    <w:rsid w:val="005511B6"/>
    <w:rPr>
      <w:rFonts w:cs="Times New Roman"/>
      <w:color w:val="808080"/>
    </w:rPr>
  </w:style>
  <w:style w:type="paragraph" w:customStyle="1" w:styleId="TableFiguresBold0">
    <w:name w:val="TableFiguresBold"/>
    <w:basedOn w:val="Tabletext0"/>
    <w:rsid w:val="005511B6"/>
    <w:pPr>
      <w:tabs>
        <w:tab w:val="left" w:pos="227"/>
        <w:tab w:val="left" w:pos="2835"/>
      </w:tabs>
      <w:spacing w:before="20" w:after="20" w:line="210" w:lineRule="exact"/>
      <w:ind w:right="57"/>
      <w:jc w:val="right"/>
    </w:pPr>
    <w:rPr>
      <w:rFonts w:ascii="DINOT-Medium" w:hAnsi="DINOT-Medium"/>
      <w:bCs/>
      <w:color w:val="000080"/>
      <w:sz w:val="18"/>
      <w:lang w:val="en-GB" w:eastAsia="en-GB"/>
    </w:rPr>
  </w:style>
  <w:style w:type="character" w:customStyle="1" w:styleId="TabletextChar0">
    <w:name w:val="Tabletext Char"/>
    <w:basedOn w:val="DefaultParagraphFont"/>
    <w:link w:val="Tabletext0"/>
    <w:uiPriority w:val="99"/>
    <w:locked/>
    <w:rsid w:val="005511B6"/>
    <w:rPr>
      <w:rFonts w:ascii="Franklin Gothic Book" w:hAnsi="Franklin Gothic Book"/>
      <w:color w:val="808080"/>
      <w:sz w:val="19"/>
      <w:szCs w:val="24"/>
      <w:lang w:val="en-US" w:eastAsia="en-US"/>
    </w:rPr>
  </w:style>
  <w:style w:type="character" w:customStyle="1" w:styleId="TableColHeadsChar">
    <w:name w:val="TableColHeads Char"/>
    <w:basedOn w:val="DefaultParagraphFont"/>
    <w:link w:val="TableColHeads"/>
    <w:locked/>
    <w:rsid w:val="005511B6"/>
    <w:rPr>
      <w:rFonts w:ascii="DINOT-Light" w:hAnsi="DINOT-Light"/>
      <w:sz w:val="14"/>
    </w:rPr>
  </w:style>
  <w:style w:type="character" w:customStyle="1" w:styleId="BodytextAfterTablesChar">
    <w:name w:val="Bodytext AfterTables Char"/>
    <w:basedOn w:val="DefaultParagraphFont"/>
    <w:link w:val="BodytextAfterTables"/>
    <w:locked/>
    <w:rsid w:val="005511B6"/>
    <w:rPr>
      <w:rFonts w:ascii="DINOT-Light" w:hAnsi="DINOT-Light"/>
      <w:sz w:val="18"/>
      <w:szCs w:val="24"/>
    </w:rPr>
  </w:style>
  <w:style w:type="character" w:customStyle="1" w:styleId="TableFiguresChar">
    <w:name w:val="TableFigures Char"/>
    <w:basedOn w:val="TabletextChar0"/>
    <w:link w:val="TableFigures"/>
    <w:locked/>
    <w:rsid w:val="005511B6"/>
    <w:rPr>
      <w:rFonts w:ascii="DINOT-Light" w:hAnsi="DINOT-Light"/>
      <w:color w:val="000000"/>
      <w:sz w:val="18"/>
      <w:szCs w:val="24"/>
      <w:lang w:val="en-US" w:eastAsia="en-US"/>
    </w:rPr>
  </w:style>
  <w:style w:type="paragraph" w:customStyle="1" w:styleId="Heading1Nospace">
    <w:name w:val="Heading 1_No space"/>
    <w:link w:val="Heading1NospaceChar"/>
    <w:rsid w:val="005511B6"/>
    <w:rPr>
      <w:rFonts w:ascii="DINOT-Medium" w:hAnsi="DINOT-Medium" w:cs="Arial"/>
      <w:bCs/>
      <w:iCs/>
      <w:color w:val="000080"/>
      <w:sz w:val="18"/>
      <w:szCs w:val="28"/>
    </w:rPr>
  </w:style>
  <w:style w:type="character" w:customStyle="1" w:styleId="Heading1NospaceChar">
    <w:name w:val="Heading 1_No space Char"/>
    <w:basedOn w:val="DefaultParagraphFont"/>
    <w:link w:val="Heading1Nospace"/>
    <w:locked/>
    <w:rsid w:val="005511B6"/>
    <w:rPr>
      <w:rFonts w:ascii="DINOT-Medium" w:hAnsi="DINOT-Medium" w:cs="Arial"/>
      <w:bCs/>
      <w:iCs/>
      <w:color w:val="000080"/>
      <w:sz w:val="18"/>
      <w:szCs w:val="28"/>
    </w:rPr>
  </w:style>
  <w:style w:type="paragraph" w:styleId="CommentSubject">
    <w:name w:val="annotation subject"/>
    <w:basedOn w:val="CommentText"/>
    <w:next w:val="CommentText"/>
    <w:link w:val="CommentSubjectChar"/>
    <w:uiPriority w:val="99"/>
    <w:rsid w:val="005511B6"/>
    <w:pPr>
      <w:jc w:val="both"/>
    </w:pPr>
    <w:rPr>
      <w:rFonts w:ascii="Franklin Gothic Book" w:eastAsia="Times New Roman" w:hAnsi="Franklin Gothic Book" w:cs="Times New Roman"/>
      <w:b/>
      <w:bCs/>
      <w:lang w:val="en-GB" w:eastAsia="en-US"/>
    </w:rPr>
  </w:style>
  <w:style w:type="character" w:customStyle="1" w:styleId="CommentSubjectChar">
    <w:name w:val="Comment Subject Char"/>
    <w:basedOn w:val="CommentTextChar"/>
    <w:link w:val="CommentSubject"/>
    <w:uiPriority w:val="99"/>
    <w:rsid w:val="005511B6"/>
    <w:rPr>
      <w:rFonts w:ascii="Franklin Gothic Book" w:eastAsia="Calibri" w:hAnsi="Franklin Gothic Book" w:cs="Calibri"/>
      <w:b/>
      <w:bCs/>
      <w:lang w:eastAsia="en-US"/>
    </w:rPr>
  </w:style>
  <w:style w:type="character" w:customStyle="1" w:styleId="EmailStyle162">
    <w:name w:val="EmailStyle162"/>
    <w:basedOn w:val="DefaultParagraphFont"/>
    <w:semiHidden/>
    <w:rsid w:val="005511B6"/>
    <w:rPr>
      <w:rFonts w:ascii="Arial" w:hAnsi="Arial" w:cs="Arial"/>
      <w:color w:val="000080"/>
      <w:sz w:val="20"/>
      <w:szCs w:val="20"/>
    </w:rPr>
  </w:style>
  <w:style w:type="character" w:customStyle="1" w:styleId="EmailStyle163">
    <w:name w:val="EmailStyle163"/>
    <w:basedOn w:val="DefaultParagraphFont"/>
    <w:semiHidden/>
    <w:rsid w:val="005511B6"/>
    <w:rPr>
      <w:rFonts w:ascii="Arial" w:hAnsi="Arial" w:cs="Arial"/>
      <w:color w:val="auto"/>
      <w:sz w:val="20"/>
      <w:szCs w:val="20"/>
    </w:rPr>
  </w:style>
  <w:style w:type="character" w:customStyle="1" w:styleId="EmailStyle164">
    <w:name w:val="EmailStyle164"/>
    <w:basedOn w:val="DefaultParagraphFont"/>
    <w:semiHidden/>
    <w:rsid w:val="005511B6"/>
    <w:rPr>
      <w:rFonts w:ascii="Arial" w:hAnsi="Arial" w:cs="Arial"/>
      <w:color w:val="000080"/>
      <w:sz w:val="20"/>
      <w:szCs w:val="20"/>
    </w:rPr>
  </w:style>
  <w:style w:type="character" w:customStyle="1" w:styleId="EmailStyle165">
    <w:name w:val="EmailStyle165"/>
    <w:basedOn w:val="DefaultParagraphFont"/>
    <w:semiHidden/>
    <w:rsid w:val="005511B6"/>
    <w:rPr>
      <w:rFonts w:ascii="Arial" w:hAnsi="Arial" w:cs="Arial"/>
      <w:color w:val="auto"/>
      <w:sz w:val="20"/>
      <w:szCs w:val="20"/>
    </w:rPr>
  </w:style>
  <w:style w:type="paragraph" w:customStyle="1" w:styleId="Pa16">
    <w:name w:val="Pa16"/>
    <w:basedOn w:val="Normal"/>
    <w:next w:val="Normal"/>
    <w:uiPriority w:val="99"/>
    <w:rsid w:val="005511B6"/>
    <w:pPr>
      <w:autoSpaceDE w:val="0"/>
      <w:autoSpaceDN w:val="0"/>
      <w:adjustRightInd w:val="0"/>
      <w:spacing w:line="221" w:lineRule="atLeast"/>
      <w:jc w:val="left"/>
    </w:pPr>
    <w:rPr>
      <w:rFonts w:ascii="DINOT-Light" w:eastAsiaTheme="minorHAnsi" w:hAnsi="DINOT-Light"/>
      <w:sz w:val="24"/>
    </w:rPr>
  </w:style>
  <w:style w:type="character" w:customStyle="1" w:styleId="EmailStyle167">
    <w:name w:val="EmailStyle167"/>
    <w:basedOn w:val="DefaultParagraphFont"/>
    <w:semiHidden/>
    <w:rsid w:val="005511B6"/>
    <w:rPr>
      <w:rFonts w:ascii="Arial" w:hAnsi="Arial" w:cs="Arial"/>
      <w:color w:val="000080"/>
      <w:sz w:val="20"/>
      <w:szCs w:val="20"/>
    </w:rPr>
  </w:style>
  <w:style w:type="character" w:customStyle="1" w:styleId="EmailStyle168">
    <w:name w:val="EmailStyle168"/>
    <w:basedOn w:val="DefaultParagraphFont"/>
    <w:semiHidden/>
    <w:rsid w:val="005511B6"/>
    <w:rPr>
      <w:rFonts w:ascii="Arial" w:hAnsi="Arial" w:cs="Arial"/>
      <w:color w:val="auto"/>
      <w:sz w:val="20"/>
      <w:szCs w:val="20"/>
    </w:rPr>
  </w:style>
  <w:style w:type="paragraph" w:customStyle="1" w:styleId="Heading2SpaceBeforeGenericStyles">
    <w:name w:val="Heading 2 SpaceBefore (Generic Styles)"/>
    <w:basedOn w:val="Normal"/>
    <w:next w:val="Normal"/>
    <w:uiPriority w:val="99"/>
    <w:rsid w:val="00405DDF"/>
    <w:pPr>
      <w:suppressAutoHyphens/>
      <w:autoSpaceDE w:val="0"/>
      <w:autoSpaceDN w:val="0"/>
      <w:adjustRightInd w:val="0"/>
      <w:spacing w:before="85" w:line="220" w:lineRule="atLeast"/>
      <w:jc w:val="left"/>
      <w:textAlignment w:val="center"/>
    </w:pPr>
    <w:rPr>
      <w:rFonts w:ascii="DINOT-Medium" w:eastAsiaTheme="minorHAnsi" w:hAnsi="DINOT-Medium" w:cs="DINOT-Medium"/>
      <w:color w:val="000072"/>
      <w:sz w:val="18"/>
      <w:szCs w:val="18"/>
    </w:rPr>
  </w:style>
  <w:style w:type="paragraph" w:customStyle="1" w:styleId="Heading2GenericStyles">
    <w:name w:val="Heading 2 (Generic Styles)"/>
    <w:basedOn w:val="Normal"/>
    <w:next w:val="Normal"/>
    <w:uiPriority w:val="99"/>
    <w:rsid w:val="006B21A3"/>
    <w:pPr>
      <w:suppressAutoHyphens/>
      <w:autoSpaceDE w:val="0"/>
      <w:autoSpaceDN w:val="0"/>
      <w:adjustRightInd w:val="0"/>
      <w:spacing w:line="220" w:lineRule="atLeast"/>
      <w:jc w:val="left"/>
      <w:textAlignment w:val="center"/>
    </w:pPr>
    <w:rPr>
      <w:rFonts w:ascii="DINOT-Medium" w:eastAsiaTheme="minorHAnsi" w:hAnsi="DINOT-Medium" w:cs="DINOT-Medium"/>
      <w:color w:val="000072"/>
      <w:sz w:val="18"/>
      <w:szCs w:val="18"/>
    </w:rPr>
  </w:style>
  <w:style w:type="character" w:customStyle="1" w:styleId="CharHighlightText">
    <w:name w:val="Char_HighlightText"/>
    <w:uiPriority w:val="99"/>
    <w:rsid w:val="006B21A3"/>
    <w:rPr>
      <w:color w:val="000000"/>
      <w:u w:val="thick" w:color="FFFF00"/>
    </w:rPr>
  </w:style>
  <w:style w:type="paragraph" w:styleId="PlainText">
    <w:name w:val="Plain Text"/>
    <w:basedOn w:val="Normal"/>
    <w:link w:val="PlainTextChar"/>
    <w:rsid w:val="00CD0DFC"/>
    <w:pPr>
      <w:spacing w:line="240" w:lineRule="auto"/>
    </w:pPr>
    <w:rPr>
      <w:rFonts w:ascii="Consolas" w:hAnsi="Consolas" w:cs="Consolas"/>
      <w:sz w:val="21"/>
      <w:szCs w:val="21"/>
    </w:rPr>
  </w:style>
  <w:style w:type="character" w:customStyle="1" w:styleId="PlainTextChar">
    <w:name w:val="Plain Text Char"/>
    <w:basedOn w:val="DefaultParagraphFont"/>
    <w:link w:val="PlainText"/>
    <w:rsid w:val="00CD0DFC"/>
    <w:rPr>
      <w:rFonts w:ascii="Consolas" w:hAnsi="Consolas" w:cs="Consolas"/>
      <w:sz w:val="21"/>
      <w:szCs w:val="21"/>
      <w:lang w:eastAsia="en-US"/>
    </w:rPr>
  </w:style>
  <w:style w:type="paragraph" w:styleId="Revision">
    <w:name w:val="Revision"/>
    <w:hidden/>
    <w:uiPriority w:val="99"/>
    <w:semiHidden/>
    <w:rsid w:val="00AF70F1"/>
    <w:rPr>
      <w:rFonts w:ascii="Franklin Gothic Book" w:hAnsi="Franklin Gothic Book"/>
      <w:sz w:val="19"/>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252516">
      <w:bodyDiv w:val="1"/>
      <w:marLeft w:val="0"/>
      <w:marRight w:val="0"/>
      <w:marTop w:val="0"/>
      <w:marBottom w:val="0"/>
      <w:divBdr>
        <w:top w:val="none" w:sz="0" w:space="0" w:color="auto"/>
        <w:left w:val="none" w:sz="0" w:space="0" w:color="auto"/>
        <w:bottom w:val="none" w:sz="0" w:space="0" w:color="auto"/>
        <w:right w:val="none" w:sz="0" w:space="0" w:color="auto"/>
      </w:divBdr>
    </w:div>
    <w:div w:id="77946567">
      <w:bodyDiv w:val="1"/>
      <w:marLeft w:val="0"/>
      <w:marRight w:val="0"/>
      <w:marTop w:val="0"/>
      <w:marBottom w:val="0"/>
      <w:divBdr>
        <w:top w:val="none" w:sz="0" w:space="0" w:color="auto"/>
        <w:left w:val="none" w:sz="0" w:space="0" w:color="auto"/>
        <w:bottom w:val="none" w:sz="0" w:space="0" w:color="auto"/>
        <w:right w:val="none" w:sz="0" w:space="0" w:color="auto"/>
      </w:divBdr>
    </w:div>
    <w:div w:id="78643315">
      <w:bodyDiv w:val="1"/>
      <w:marLeft w:val="0"/>
      <w:marRight w:val="0"/>
      <w:marTop w:val="0"/>
      <w:marBottom w:val="0"/>
      <w:divBdr>
        <w:top w:val="none" w:sz="0" w:space="0" w:color="auto"/>
        <w:left w:val="none" w:sz="0" w:space="0" w:color="auto"/>
        <w:bottom w:val="none" w:sz="0" w:space="0" w:color="auto"/>
        <w:right w:val="none" w:sz="0" w:space="0" w:color="auto"/>
      </w:divBdr>
    </w:div>
    <w:div w:id="88045807">
      <w:bodyDiv w:val="1"/>
      <w:marLeft w:val="0"/>
      <w:marRight w:val="0"/>
      <w:marTop w:val="0"/>
      <w:marBottom w:val="0"/>
      <w:divBdr>
        <w:top w:val="none" w:sz="0" w:space="0" w:color="auto"/>
        <w:left w:val="none" w:sz="0" w:space="0" w:color="auto"/>
        <w:bottom w:val="none" w:sz="0" w:space="0" w:color="auto"/>
        <w:right w:val="none" w:sz="0" w:space="0" w:color="auto"/>
      </w:divBdr>
      <w:divsChild>
        <w:div w:id="2103791047">
          <w:marLeft w:val="173"/>
          <w:marRight w:val="0"/>
          <w:marTop w:val="15"/>
          <w:marBottom w:val="0"/>
          <w:divBdr>
            <w:top w:val="none" w:sz="0" w:space="0" w:color="auto"/>
            <w:left w:val="none" w:sz="0" w:space="0" w:color="auto"/>
            <w:bottom w:val="none" w:sz="0" w:space="0" w:color="auto"/>
            <w:right w:val="none" w:sz="0" w:space="0" w:color="auto"/>
          </w:divBdr>
        </w:div>
        <w:div w:id="1240403846">
          <w:marLeft w:val="173"/>
          <w:marRight w:val="0"/>
          <w:marTop w:val="15"/>
          <w:marBottom w:val="0"/>
          <w:divBdr>
            <w:top w:val="none" w:sz="0" w:space="0" w:color="auto"/>
            <w:left w:val="none" w:sz="0" w:space="0" w:color="auto"/>
            <w:bottom w:val="none" w:sz="0" w:space="0" w:color="auto"/>
            <w:right w:val="none" w:sz="0" w:space="0" w:color="auto"/>
          </w:divBdr>
        </w:div>
        <w:div w:id="789250690">
          <w:marLeft w:val="173"/>
          <w:marRight w:val="0"/>
          <w:marTop w:val="15"/>
          <w:marBottom w:val="0"/>
          <w:divBdr>
            <w:top w:val="none" w:sz="0" w:space="0" w:color="auto"/>
            <w:left w:val="none" w:sz="0" w:space="0" w:color="auto"/>
            <w:bottom w:val="none" w:sz="0" w:space="0" w:color="auto"/>
            <w:right w:val="none" w:sz="0" w:space="0" w:color="auto"/>
          </w:divBdr>
        </w:div>
        <w:div w:id="1627662425">
          <w:marLeft w:val="173"/>
          <w:marRight w:val="0"/>
          <w:marTop w:val="15"/>
          <w:marBottom w:val="0"/>
          <w:divBdr>
            <w:top w:val="none" w:sz="0" w:space="0" w:color="auto"/>
            <w:left w:val="none" w:sz="0" w:space="0" w:color="auto"/>
            <w:bottom w:val="none" w:sz="0" w:space="0" w:color="auto"/>
            <w:right w:val="none" w:sz="0" w:space="0" w:color="auto"/>
          </w:divBdr>
        </w:div>
      </w:divsChild>
    </w:div>
    <w:div w:id="121849406">
      <w:bodyDiv w:val="1"/>
      <w:marLeft w:val="0"/>
      <w:marRight w:val="0"/>
      <w:marTop w:val="0"/>
      <w:marBottom w:val="0"/>
      <w:divBdr>
        <w:top w:val="none" w:sz="0" w:space="0" w:color="auto"/>
        <w:left w:val="none" w:sz="0" w:space="0" w:color="auto"/>
        <w:bottom w:val="none" w:sz="0" w:space="0" w:color="auto"/>
        <w:right w:val="none" w:sz="0" w:space="0" w:color="auto"/>
      </w:divBdr>
    </w:div>
    <w:div w:id="172691423">
      <w:bodyDiv w:val="1"/>
      <w:marLeft w:val="0"/>
      <w:marRight w:val="0"/>
      <w:marTop w:val="0"/>
      <w:marBottom w:val="0"/>
      <w:divBdr>
        <w:top w:val="none" w:sz="0" w:space="0" w:color="auto"/>
        <w:left w:val="none" w:sz="0" w:space="0" w:color="auto"/>
        <w:bottom w:val="none" w:sz="0" w:space="0" w:color="auto"/>
        <w:right w:val="none" w:sz="0" w:space="0" w:color="auto"/>
      </w:divBdr>
    </w:div>
    <w:div w:id="238367863">
      <w:bodyDiv w:val="1"/>
      <w:marLeft w:val="0"/>
      <w:marRight w:val="0"/>
      <w:marTop w:val="0"/>
      <w:marBottom w:val="0"/>
      <w:divBdr>
        <w:top w:val="none" w:sz="0" w:space="0" w:color="auto"/>
        <w:left w:val="none" w:sz="0" w:space="0" w:color="auto"/>
        <w:bottom w:val="none" w:sz="0" w:space="0" w:color="auto"/>
        <w:right w:val="none" w:sz="0" w:space="0" w:color="auto"/>
      </w:divBdr>
    </w:div>
    <w:div w:id="243422529">
      <w:bodyDiv w:val="1"/>
      <w:marLeft w:val="0"/>
      <w:marRight w:val="0"/>
      <w:marTop w:val="0"/>
      <w:marBottom w:val="0"/>
      <w:divBdr>
        <w:top w:val="none" w:sz="0" w:space="0" w:color="auto"/>
        <w:left w:val="none" w:sz="0" w:space="0" w:color="auto"/>
        <w:bottom w:val="none" w:sz="0" w:space="0" w:color="auto"/>
        <w:right w:val="none" w:sz="0" w:space="0" w:color="auto"/>
      </w:divBdr>
    </w:div>
    <w:div w:id="297804190">
      <w:bodyDiv w:val="1"/>
      <w:marLeft w:val="0"/>
      <w:marRight w:val="0"/>
      <w:marTop w:val="0"/>
      <w:marBottom w:val="0"/>
      <w:divBdr>
        <w:top w:val="none" w:sz="0" w:space="0" w:color="auto"/>
        <w:left w:val="none" w:sz="0" w:space="0" w:color="auto"/>
        <w:bottom w:val="none" w:sz="0" w:space="0" w:color="auto"/>
        <w:right w:val="none" w:sz="0" w:space="0" w:color="auto"/>
      </w:divBdr>
    </w:div>
    <w:div w:id="482695267">
      <w:bodyDiv w:val="1"/>
      <w:marLeft w:val="0"/>
      <w:marRight w:val="0"/>
      <w:marTop w:val="0"/>
      <w:marBottom w:val="0"/>
      <w:divBdr>
        <w:top w:val="none" w:sz="0" w:space="0" w:color="auto"/>
        <w:left w:val="none" w:sz="0" w:space="0" w:color="auto"/>
        <w:bottom w:val="none" w:sz="0" w:space="0" w:color="auto"/>
        <w:right w:val="none" w:sz="0" w:space="0" w:color="auto"/>
      </w:divBdr>
    </w:div>
    <w:div w:id="524641083">
      <w:bodyDiv w:val="1"/>
      <w:marLeft w:val="0"/>
      <w:marRight w:val="0"/>
      <w:marTop w:val="0"/>
      <w:marBottom w:val="0"/>
      <w:divBdr>
        <w:top w:val="none" w:sz="0" w:space="0" w:color="auto"/>
        <w:left w:val="none" w:sz="0" w:space="0" w:color="auto"/>
        <w:bottom w:val="none" w:sz="0" w:space="0" w:color="auto"/>
        <w:right w:val="none" w:sz="0" w:space="0" w:color="auto"/>
      </w:divBdr>
    </w:div>
    <w:div w:id="575551384">
      <w:bodyDiv w:val="1"/>
      <w:marLeft w:val="0"/>
      <w:marRight w:val="0"/>
      <w:marTop w:val="0"/>
      <w:marBottom w:val="0"/>
      <w:divBdr>
        <w:top w:val="none" w:sz="0" w:space="0" w:color="auto"/>
        <w:left w:val="none" w:sz="0" w:space="0" w:color="auto"/>
        <w:bottom w:val="none" w:sz="0" w:space="0" w:color="auto"/>
        <w:right w:val="none" w:sz="0" w:space="0" w:color="auto"/>
      </w:divBdr>
    </w:div>
    <w:div w:id="583337227">
      <w:bodyDiv w:val="1"/>
      <w:marLeft w:val="0"/>
      <w:marRight w:val="0"/>
      <w:marTop w:val="0"/>
      <w:marBottom w:val="0"/>
      <w:divBdr>
        <w:top w:val="none" w:sz="0" w:space="0" w:color="auto"/>
        <w:left w:val="none" w:sz="0" w:space="0" w:color="auto"/>
        <w:bottom w:val="none" w:sz="0" w:space="0" w:color="auto"/>
        <w:right w:val="none" w:sz="0" w:space="0" w:color="auto"/>
      </w:divBdr>
    </w:div>
    <w:div w:id="658577372">
      <w:bodyDiv w:val="1"/>
      <w:marLeft w:val="0"/>
      <w:marRight w:val="0"/>
      <w:marTop w:val="0"/>
      <w:marBottom w:val="0"/>
      <w:divBdr>
        <w:top w:val="none" w:sz="0" w:space="0" w:color="auto"/>
        <w:left w:val="none" w:sz="0" w:space="0" w:color="auto"/>
        <w:bottom w:val="none" w:sz="0" w:space="0" w:color="auto"/>
        <w:right w:val="none" w:sz="0" w:space="0" w:color="auto"/>
      </w:divBdr>
    </w:div>
    <w:div w:id="699356832">
      <w:bodyDiv w:val="1"/>
      <w:marLeft w:val="0"/>
      <w:marRight w:val="0"/>
      <w:marTop w:val="0"/>
      <w:marBottom w:val="0"/>
      <w:divBdr>
        <w:top w:val="none" w:sz="0" w:space="0" w:color="auto"/>
        <w:left w:val="none" w:sz="0" w:space="0" w:color="auto"/>
        <w:bottom w:val="none" w:sz="0" w:space="0" w:color="auto"/>
        <w:right w:val="none" w:sz="0" w:space="0" w:color="auto"/>
      </w:divBdr>
    </w:div>
    <w:div w:id="769744339">
      <w:bodyDiv w:val="1"/>
      <w:marLeft w:val="0"/>
      <w:marRight w:val="0"/>
      <w:marTop w:val="0"/>
      <w:marBottom w:val="0"/>
      <w:divBdr>
        <w:top w:val="none" w:sz="0" w:space="0" w:color="auto"/>
        <w:left w:val="none" w:sz="0" w:space="0" w:color="auto"/>
        <w:bottom w:val="none" w:sz="0" w:space="0" w:color="auto"/>
        <w:right w:val="none" w:sz="0" w:space="0" w:color="auto"/>
      </w:divBdr>
    </w:div>
    <w:div w:id="823201151">
      <w:bodyDiv w:val="1"/>
      <w:marLeft w:val="0"/>
      <w:marRight w:val="0"/>
      <w:marTop w:val="0"/>
      <w:marBottom w:val="0"/>
      <w:divBdr>
        <w:top w:val="none" w:sz="0" w:space="0" w:color="auto"/>
        <w:left w:val="none" w:sz="0" w:space="0" w:color="auto"/>
        <w:bottom w:val="none" w:sz="0" w:space="0" w:color="auto"/>
        <w:right w:val="none" w:sz="0" w:space="0" w:color="auto"/>
      </w:divBdr>
    </w:div>
    <w:div w:id="830295442">
      <w:bodyDiv w:val="1"/>
      <w:marLeft w:val="0"/>
      <w:marRight w:val="0"/>
      <w:marTop w:val="0"/>
      <w:marBottom w:val="0"/>
      <w:divBdr>
        <w:top w:val="none" w:sz="0" w:space="0" w:color="auto"/>
        <w:left w:val="none" w:sz="0" w:space="0" w:color="auto"/>
        <w:bottom w:val="none" w:sz="0" w:space="0" w:color="auto"/>
        <w:right w:val="none" w:sz="0" w:space="0" w:color="auto"/>
      </w:divBdr>
    </w:div>
    <w:div w:id="913851657">
      <w:bodyDiv w:val="1"/>
      <w:marLeft w:val="0"/>
      <w:marRight w:val="0"/>
      <w:marTop w:val="0"/>
      <w:marBottom w:val="0"/>
      <w:divBdr>
        <w:top w:val="none" w:sz="0" w:space="0" w:color="auto"/>
        <w:left w:val="none" w:sz="0" w:space="0" w:color="auto"/>
        <w:bottom w:val="none" w:sz="0" w:space="0" w:color="auto"/>
        <w:right w:val="none" w:sz="0" w:space="0" w:color="auto"/>
      </w:divBdr>
    </w:div>
    <w:div w:id="981471060">
      <w:bodyDiv w:val="1"/>
      <w:marLeft w:val="0"/>
      <w:marRight w:val="0"/>
      <w:marTop w:val="0"/>
      <w:marBottom w:val="0"/>
      <w:divBdr>
        <w:top w:val="none" w:sz="0" w:space="0" w:color="auto"/>
        <w:left w:val="none" w:sz="0" w:space="0" w:color="auto"/>
        <w:bottom w:val="none" w:sz="0" w:space="0" w:color="auto"/>
        <w:right w:val="none" w:sz="0" w:space="0" w:color="auto"/>
      </w:divBdr>
    </w:div>
    <w:div w:id="1025331321">
      <w:bodyDiv w:val="1"/>
      <w:marLeft w:val="0"/>
      <w:marRight w:val="0"/>
      <w:marTop w:val="0"/>
      <w:marBottom w:val="0"/>
      <w:divBdr>
        <w:top w:val="none" w:sz="0" w:space="0" w:color="auto"/>
        <w:left w:val="none" w:sz="0" w:space="0" w:color="auto"/>
        <w:bottom w:val="none" w:sz="0" w:space="0" w:color="auto"/>
        <w:right w:val="none" w:sz="0" w:space="0" w:color="auto"/>
      </w:divBdr>
    </w:div>
    <w:div w:id="1027684238">
      <w:bodyDiv w:val="1"/>
      <w:marLeft w:val="0"/>
      <w:marRight w:val="0"/>
      <w:marTop w:val="0"/>
      <w:marBottom w:val="0"/>
      <w:divBdr>
        <w:top w:val="none" w:sz="0" w:space="0" w:color="auto"/>
        <w:left w:val="none" w:sz="0" w:space="0" w:color="auto"/>
        <w:bottom w:val="none" w:sz="0" w:space="0" w:color="auto"/>
        <w:right w:val="none" w:sz="0" w:space="0" w:color="auto"/>
      </w:divBdr>
    </w:div>
    <w:div w:id="1030647350">
      <w:bodyDiv w:val="1"/>
      <w:marLeft w:val="0"/>
      <w:marRight w:val="0"/>
      <w:marTop w:val="0"/>
      <w:marBottom w:val="0"/>
      <w:divBdr>
        <w:top w:val="none" w:sz="0" w:space="0" w:color="auto"/>
        <w:left w:val="none" w:sz="0" w:space="0" w:color="auto"/>
        <w:bottom w:val="none" w:sz="0" w:space="0" w:color="auto"/>
        <w:right w:val="none" w:sz="0" w:space="0" w:color="auto"/>
      </w:divBdr>
    </w:div>
    <w:div w:id="1093360862">
      <w:bodyDiv w:val="1"/>
      <w:marLeft w:val="0"/>
      <w:marRight w:val="0"/>
      <w:marTop w:val="0"/>
      <w:marBottom w:val="0"/>
      <w:divBdr>
        <w:top w:val="none" w:sz="0" w:space="0" w:color="auto"/>
        <w:left w:val="none" w:sz="0" w:space="0" w:color="auto"/>
        <w:bottom w:val="none" w:sz="0" w:space="0" w:color="auto"/>
        <w:right w:val="none" w:sz="0" w:space="0" w:color="auto"/>
      </w:divBdr>
    </w:div>
    <w:div w:id="1217080651">
      <w:bodyDiv w:val="1"/>
      <w:marLeft w:val="0"/>
      <w:marRight w:val="0"/>
      <w:marTop w:val="0"/>
      <w:marBottom w:val="0"/>
      <w:divBdr>
        <w:top w:val="none" w:sz="0" w:space="0" w:color="auto"/>
        <w:left w:val="none" w:sz="0" w:space="0" w:color="auto"/>
        <w:bottom w:val="none" w:sz="0" w:space="0" w:color="auto"/>
        <w:right w:val="none" w:sz="0" w:space="0" w:color="auto"/>
      </w:divBdr>
    </w:div>
    <w:div w:id="1252156618">
      <w:bodyDiv w:val="1"/>
      <w:marLeft w:val="0"/>
      <w:marRight w:val="0"/>
      <w:marTop w:val="0"/>
      <w:marBottom w:val="0"/>
      <w:divBdr>
        <w:top w:val="none" w:sz="0" w:space="0" w:color="auto"/>
        <w:left w:val="none" w:sz="0" w:space="0" w:color="auto"/>
        <w:bottom w:val="none" w:sz="0" w:space="0" w:color="auto"/>
        <w:right w:val="none" w:sz="0" w:space="0" w:color="auto"/>
      </w:divBdr>
    </w:div>
    <w:div w:id="1398285823">
      <w:bodyDiv w:val="1"/>
      <w:marLeft w:val="0"/>
      <w:marRight w:val="0"/>
      <w:marTop w:val="0"/>
      <w:marBottom w:val="0"/>
      <w:divBdr>
        <w:top w:val="none" w:sz="0" w:space="0" w:color="auto"/>
        <w:left w:val="none" w:sz="0" w:space="0" w:color="auto"/>
        <w:bottom w:val="none" w:sz="0" w:space="0" w:color="auto"/>
        <w:right w:val="none" w:sz="0" w:space="0" w:color="auto"/>
      </w:divBdr>
    </w:div>
    <w:div w:id="1401369077">
      <w:bodyDiv w:val="1"/>
      <w:marLeft w:val="0"/>
      <w:marRight w:val="0"/>
      <w:marTop w:val="0"/>
      <w:marBottom w:val="0"/>
      <w:divBdr>
        <w:top w:val="none" w:sz="0" w:space="0" w:color="auto"/>
        <w:left w:val="none" w:sz="0" w:space="0" w:color="auto"/>
        <w:bottom w:val="none" w:sz="0" w:space="0" w:color="auto"/>
        <w:right w:val="none" w:sz="0" w:space="0" w:color="auto"/>
      </w:divBdr>
    </w:div>
    <w:div w:id="1408654823">
      <w:bodyDiv w:val="1"/>
      <w:marLeft w:val="0"/>
      <w:marRight w:val="0"/>
      <w:marTop w:val="0"/>
      <w:marBottom w:val="0"/>
      <w:divBdr>
        <w:top w:val="none" w:sz="0" w:space="0" w:color="auto"/>
        <w:left w:val="none" w:sz="0" w:space="0" w:color="auto"/>
        <w:bottom w:val="none" w:sz="0" w:space="0" w:color="auto"/>
        <w:right w:val="none" w:sz="0" w:space="0" w:color="auto"/>
      </w:divBdr>
    </w:div>
    <w:div w:id="1439325816">
      <w:bodyDiv w:val="1"/>
      <w:marLeft w:val="0"/>
      <w:marRight w:val="0"/>
      <w:marTop w:val="0"/>
      <w:marBottom w:val="0"/>
      <w:divBdr>
        <w:top w:val="none" w:sz="0" w:space="0" w:color="auto"/>
        <w:left w:val="none" w:sz="0" w:space="0" w:color="auto"/>
        <w:bottom w:val="none" w:sz="0" w:space="0" w:color="auto"/>
        <w:right w:val="none" w:sz="0" w:space="0" w:color="auto"/>
      </w:divBdr>
    </w:div>
    <w:div w:id="1440031432">
      <w:bodyDiv w:val="1"/>
      <w:marLeft w:val="0"/>
      <w:marRight w:val="0"/>
      <w:marTop w:val="0"/>
      <w:marBottom w:val="0"/>
      <w:divBdr>
        <w:top w:val="none" w:sz="0" w:space="0" w:color="auto"/>
        <w:left w:val="none" w:sz="0" w:space="0" w:color="auto"/>
        <w:bottom w:val="none" w:sz="0" w:space="0" w:color="auto"/>
        <w:right w:val="none" w:sz="0" w:space="0" w:color="auto"/>
      </w:divBdr>
    </w:div>
    <w:div w:id="1479106486">
      <w:bodyDiv w:val="1"/>
      <w:marLeft w:val="0"/>
      <w:marRight w:val="0"/>
      <w:marTop w:val="0"/>
      <w:marBottom w:val="0"/>
      <w:divBdr>
        <w:top w:val="none" w:sz="0" w:space="0" w:color="auto"/>
        <w:left w:val="none" w:sz="0" w:space="0" w:color="auto"/>
        <w:bottom w:val="none" w:sz="0" w:space="0" w:color="auto"/>
        <w:right w:val="none" w:sz="0" w:space="0" w:color="auto"/>
      </w:divBdr>
    </w:div>
    <w:div w:id="1518420780">
      <w:bodyDiv w:val="1"/>
      <w:marLeft w:val="0"/>
      <w:marRight w:val="0"/>
      <w:marTop w:val="0"/>
      <w:marBottom w:val="0"/>
      <w:divBdr>
        <w:top w:val="none" w:sz="0" w:space="0" w:color="auto"/>
        <w:left w:val="none" w:sz="0" w:space="0" w:color="auto"/>
        <w:bottom w:val="none" w:sz="0" w:space="0" w:color="auto"/>
        <w:right w:val="none" w:sz="0" w:space="0" w:color="auto"/>
      </w:divBdr>
    </w:div>
    <w:div w:id="1534612265">
      <w:bodyDiv w:val="1"/>
      <w:marLeft w:val="0"/>
      <w:marRight w:val="0"/>
      <w:marTop w:val="0"/>
      <w:marBottom w:val="0"/>
      <w:divBdr>
        <w:top w:val="none" w:sz="0" w:space="0" w:color="auto"/>
        <w:left w:val="none" w:sz="0" w:space="0" w:color="auto"/>
        <w:bottom w:val="none" w:sz="0" w:space="0" w:color="auto"/>
        <w:right w:val="none" w:sz="0" w:space="0" w:color="auto"/>
      </w:divBdr>
    </w:div>
    <w:div w:id="1563637502">
      <w:bodyDiv w:val="1"/>
      <w:marLeft w:val="0"/>
      <w:marRight w:val="0"/>
      <w:marTop w:val="0"/>
      <w:marBottom w:val="0"/>
      <w:divBdr>
        <w:top w:val="none" w:sz="0" w:space="0" w:color="auto"/>
        <w:left w:val="none" w:sz="0" w:space="0" w:color="auto"/>
        <w:bottom w:val="none" w:sz="0" w:space="0" w:color="auto"/>
        <w:right w:val="none" w:sz="0" w:space="0" w:color="auto"/>
      </w:divBdr>
    </w:div>
    <w:div w:id="1565607046">
      <w:bodyDiv w:val="1"/>
      <w:marLeft w:val="0"/>
      <w:marRight w:val="0"/>
      <w:marTop w:val="0"/>
      <w:marBottom w:val="0"/>
      <w:divBdr>
        <w:top w:val="none" w:sz="0" w:space="0" w:color="auto"/>
        <w:left w:val="none" w:sz="0" w:space="0" w:color="auto"/>
        <w:bottom w:val="none" w:sz="0" w:space="0" w:color="auto"/>
        <w:right w:val="none" w:sz="0" w:space="0" w:color="auto"/>
      </w:divBdr>
    </w:div>
    <w:div w:id="1582248988">
      <w:bodyDiv w:val="1"/>
      <w:marLeft w:val="0"/>
      <w:marRight w:val="0"/>
      <w:marTop w:val="0"/>
      <w:marBottom w:val="0"/>
      <w:divBdr>
        <w:top w:val="none" w:sz="0" w:space="0" w:color="auto"/>
        <w:left w:val="none" w:sz="0" w:space="0" w:color="auto"/>
        <w:bottom w:val="none" w:sz="0" w:space="0" w:color="auto"/>
        <w:right w:val="none" w:sz="0" w:space="0" w:color="auto"/>
      </w:divBdr>
    </w:div>
    <w:div w:id="1623613699">
      <w:bodyDiv w:val="1"/>
      <w:marLeft w:val="0"/>
      <w:marRight w:val="0"/>
      <w:marTop w:val="0"/>
      <w:marBottom w:val="0"/>
      <w:divBdr>
        <w:top w:val="none" w:sz="0" w:space="0" w:color="auto"/>
        <w:left w:val="none" w:sz="0" w:space="0" w:color="auto"/>
        <w:bottom w:val="none" w:sz="0" w:space="0" w:color="auto"/>
        <w:right w:val="none" w:sz="0" w:space="0" w:color="auto"/>
      </w:divBdr>
    </w:div>
    <w:div w:id="1662001434">
      <w:bodyDiv w:val="1"/>
      <w:marLeft w:val="0"/>
      <w:marRight w:val="0"/>
      <w:marTop w:val="0"/>
      <w:marBottom w:val="0"/>
      <w:divBdr>
        <w:top w:val="none" w:sz="0" w:space="0" w:color="auto"/>
        <w:left w:val="none" w:sz="0" w:space="0" w:color="auto"/>
        <w:bottom w:val="none" w:sz="0" w:space="0" w:color="auto"/>
        <w:right w:val="none" w:sz="0" w:space="0" w:color="auto"/>
      </w:divBdr>
    </w:div>
    <w:div w:id="1671639013">
      <w:bodyDiv w:val="1"/>
      <w:marLeft w:val="0"/>
      <w:marRight w:val="0"/>
      <w:marTop w:val="0"/>
      <w:marBottom w:val="0"/>
      <w:divBdr>
        <w:top w:val="none" w:sz="0" w:space="0" w:color="auto"/>
        <w:left w:val="none" w:sz="0" w:space="0" w:color="auto"/>
        <w:bottom w:val="none" w:sz="0" w:space="0" w:color="auto"/>
        <w:right w:val="none" w:sz="0" w:space="0" w:color="auto"/>
      </w:divBdr>
    </w:div>
    <w:div w:id="1759790837">
      <w:bodyDiv w:val="1"/>
      <w:marLeft w:val="0"/>
      <w:marRight w:val="0"/>
      <w:marTop w:val="0"/>
      <w:marBottom w:val="0"/>
      <w:divBdr>
        <w:top w:val="none" w:sz="0" w:space="0" w:color="auto"/>
        <w:left w:val="none" w:sz="0" w:space="0" w:color="auto"/>
        <w:bottom w:val="none" w:sz="0" w:space="0" w:color="auto"/>
        <w:right w:val="none" w:sz="0" w:space="0" w:color="auto"/>
      </w:divBdr>
    </w:div>
    <w:div w:id="1852793082">
      <w:bodyDiv w:val="1"/>
      <w:marLeft w:val="0"/>
      <w:marRight w:val="0"/>
      <w:marTop w:val="0"/>
      <w:marBottom w:val="0"/>
      <w:divBdr>
        <w:top w:val="none" w:sz="0" w:space="0" w:color="auto"/>
        <w:left w:val="none" w:sz="0" w:space="0" w:color="auto"/>
        <w:bottom w:val="none" w:sz="0" w:space="0" w:color="auto"/>
        <w:right w:val="none" w:sz="0" w:space="0" w:color="auto"/>
      </w:divBdr>
    </w:div>
    <w:div w:id="1863590789">
      <w:bodyDiv w:val="1"/>
      <w:marLeft w:val="0"/>
      <w:marRight w:val="0"/>
      <w:marTop w:val="0"/>
      <w:marBottom w:val="0"/>
      <w:divBdr>
        <w:top w:val="none" w:sz="0" w:space="0" w:color="auto"/>
        <w:left w:val="none" w:sz="0" w:space="0" w:color="auto"/>
        <w:bottom w:val="none" w:sz="0" w:space="0" w:color="auto"/>
        <w:right w:val="none" w:sz="0" w:space="0" w:color="auto"/>
      </w:divBdr>
    </w:div>
    <w:div w:id="1885285190">
      <w:bodyDiv w:val="1"/>
      <w:marLeft w:val="0"/>
      <w:marRight w:val="0"/>
      <w:marTop w:val="0"/>
      <w:marBottom w:val="0"/>
      <w:divBdr>
        <w:top w:val="none" w:sz="0" w:space="0" w:color="auto"/>
        <w:left w:val="none" w:sz="0" w:space="0" w:color="auto"/>
        <w:bottom w:val="none" w:sz="0" w:space="0" w:color="auto"/>
        <w:right w:val="none" w:sz="0" w:space="0" w:color="auto"/>
      </w:divBdr>
    </w:div>
    <w:div w:id="1978023290">
      <w:bodyDiv w:val="1"/>
      <w:marLeft w:val="0"/>
      <w:marRight w:val="0"/>
      <w:marTop w:val="0"/>
      <w:marBottom w:val="0"/>
      <w:divBdr>
        <w:top w:val="none" w:sz="0" w:space="0" w:color="auto"/>
        <w:left w:val="none" w:sz="0" w:space="0" w:color="auto"/>
        <w:bottom w:val="none" w:sz="0" w:space="0" w:color="auto"/>
        <w:right w:val="none" w:sz="0" w:space="0" w:color="auto"/>
      </w:divBdr>
    </w:div>
    <w:div w:id="1984040188">
      <w:bodyDiv w:val="1"/>
      <w:marLeft w:val="0"/>
      <w:marRight w:val="0"/>
      <w:marTop w:val="0"/>
      <w:marBottom w:val="0"/>
      <w:divBdr>
        <w:top w:val="none" w:sz="0" w:space="0" w:color="auto"/>
        <w:left w:val="none" w:sz="0" w:space="0" w:color="auto"/>
        <w:bottom w:val="none" w:sz="0" w:space="0" w:color="auto"/>
        <w:right w:val="none" w:sz="0" w:space="0" w:color="auto"/>
      </w:divBdr>
    </w:div>
    <w:div w:id="2014061884">
      <w:bodyDiv w:val="1"/>
      <w:marLeft w:val="0"/>
      <w:marRight w:val="0"/>
      <w:marTop w:val="0"/>
      <w:marBottom w:val="0"/>
      <w:divBdr>
        <w:top w:val="none" w:sz="0" w:space="0" w:color="auto"/>
        <w:left w:val="none" w:sz="0" w:space="0" w:color="auto"/>
        <w:bottom w:val="none" w:sz="0" w:space="0" w:color="auto"/>
        <w:right w:val="none" w:sz="0" w:space="0" w:color="auto"/>
      </w:divBdr>
    </w:div>
    <w:div w:id="2041079904">
      <w:bodyDiv w:val="1"/>
      <w:marLeft w:val="0"/>
      <w:marRight w:val="0"/>
      <w:marTop w:val="0"/>
      <w:marBottom w:val="0"/>
      <w:divBdr>
        <w:top w:val="none" w:sz="0" w:space="0" w:color="auto"/>
        <w:left w:val="none" w:sz="0" w:space="0" w:color="auto"/>
        <w:bottom w:val="none" w:sz="0" w:space="0" w:color="auto"/>
        <w:right w:val="none" w:sz="0" w:space="0" w:color="auto"/>
      </w:divBdr>
    </w:div>
    <w:div w:id="2047442295">
      <w:bodyDiv w:val="1"/>
      <w:marLeft w:val="0"/>
      <w:marRight w:val="0"/>
      <w:marTop w:val="0"/>
      <w:marBottom w:val="0"/>
      <w:divBdr>
        <w:top w:val="none" w:sz="0" w:space="0" w:color="auto"/>
        <w:left w:val="none" w:sz="0" w:space="0" w:color="auto"/>
        <w:bottom w:val="none" w:sz="0" w:space="0" w:color="auto"/>
        <w:right w:val="none" w:sz="0" w:space="0" w:color="auto"/>
      </w:divBdr>
    </w:div>
    <w:div w:id="2113815229">
      <w:bodyDiv w:val="1"/>
      <w:marLeft w:val="0"/>
      <w:marRight w:val="0"/>
      <w:marTop w:val="0"/>
      <w:marBottom w:val="0"/>
      <w:divBdr>
        <w:top w:val="none" w:sz="0" w:space="0" w:color="auto"/>
        <w:left w:val="none" w:sz="0" w:space="0" w:color="auto"/>
        <w:bottom w:val="none" w:sz="0" w:space="0" w:color="auto"/>
        <w:right w:val="none" w:sz="0" w:space="0" w:color="auto"/>
      </w:divBdr>
    </w:div>
    <w:div w:id="2124225445">
      <w:bodyDiv w:val="1"/>
      <w:marLeft w:val="0"/>
      <w:marRight w:val="0"/>
      <w:marTop w:val="0"/>
      <w:marBottom w:val="0"/>
      <w:divBdr>
        <w:top w:val="none" w:sz="0" w:space="0" w:color="auto"/>
        <w:left w:val="none" w:sz="0" w:space="0" w:color="auto"/>
        <w:bottom w:val="none" w:sz="0" w:space="0" w:color="auto"/>
        <w:right w:val="none" w:sz="0" w:space="0" w:color="auto"/>
      </w:divBdr>
    </w:div>
    <w:div w:id="2140027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tullowoil.com" TargetMode="External"/><Relationship Id="rId18" Type="http://schemas.openxmlformats.org/officeDocument/2006/relationships/hyperlink" Target="http://bit.ly/TullowApp" TargetMode="External"/><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www.linkedin.com/company/Tullow-Oil" TargetMode="External"/><Relationship Id="rId2" Type="http://schemas.openxmlformats.org/officeDocument/2006/relationships/numbering" Target="numbering.xml"/><Relationship Id="rId16" Type="http://schemas.openxmlformats.org/officeDocument/2006/relationships/hyperlink" Target="http://www.facebook.com/TullowOilplc" TargetMode="Externa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www.youtube.com/TullowOilplc" TargetMode="External"/><Relationship Id="rId23" Type="http://schemas.openxmlformats.org/officeDocument/2006/relationships/theme" Target="theme/theme1.xml"/><Relationship Id="rId10" Type="http://schemas.openxmlformats.org/officeDocument/2006/relationships/hyperlink" Target="http://www.tullowoil.com" TargetMode="External"/><Relationship Id="rId19" Type="http://schemas.openxmlformats.org/officeDocument/2006/relationships/hyperlink" Target="http://www.tullowoil.com" TargetMode="External"/><Relationship Id="rId4" Type="http://schemas.openxmlformats.org/officeDocument/2006/relationships/settings" Target="settings.xml"/><Relationship Id="rId9" Type="http://schemas.openxmlformats.org/officeDocument/2006/relationships/hyperlink" Target="http://www.tullowoil.com" TargetMode="External"/><Relationship Id="rId14" Type="http://schemas.openxmlformats.org/officeDocument/2006/relationships/hyperlink" Target="http://www.twitter.com/TullowOilplc" TargetMode="Externa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lo_whel\Local%20Settings\Temporary%20Internet%20Files\OLKCB3\Preliminary%20Statement%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CFB7D1-7B83-4634-9080-003B9FB69A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Preliminary Statement Template</Template>
  <TotalTime>0</TotalTime>
  <Pages>1</Pages>
  <Words>12837</Words>
  <Characters>73172</Characters>
  <Application>Microsoft Office Word</Application>
  <DocSecurity>4</DocSecurity>
  <Lines>609</Lines>
  <Paragraphs>171</Paragraphs>
  <ScaleCrop>false</ScaleCrop>
  <HeadingPairs>
    <vt:vector size="2" baseType="variant">
      <vt:variant>
        <vt:lpstr>Title</vt:lpstr>
      </vt:variant>
      <vt:variant>
        <vt:i4>1</vt:i4>
      </vt:variant>
    </vt:vector>
  </HeadingPairs>
  <TitlesOfParts>
    <vt:vector size="1" baseType="lpstr">
      <vt:lpstr>Results for the year ended</vt:lpstr>
    </vt:vector>
  </TitlesOfParts>
  <Company>Samsung X30</Company>
  <LinksUpToDate>false</LinksUpToDate>
  <CharactersWithSpaces>85838</CharactersWithSpaces>
  <SharedDoc>false</SharedDoc>
  <HLinks>
    <vt:vector size="12" baseType="variant">
      <vt:variant>
        <vt:i4>5308438</vt:i4>
      </vt:variant>
      <vt:variant>
        <vt:i4>3</vt:i4>
      </vt:variant>
      <vt:variant>
        <vt:i4>0</vt:i4>
      </vt:variant>
      <vt:variant>
        <vt:i4>5</vt:i4>
      </vt:variant>
      <vt:variant>
        <vt:lpwstr>http://www.tullowoil.com/</vt:lpwstr>
      </vt:variant>
      <vt:variant>
        <vt:lpwstr/>
      </vt:variant>
      <vt:variant>
        <vt:i4>5308438</vt:i4>
      </vt:variant>
      <vt:variant>
        <vt:i4>0</vt:i4>
      </vt:variant>
      <vt:variant>
        <vt:i4>0</vt:i4>
      </vt:variant>
      <vt:variant>
        <vt:i4>5</vt:i4>
      </vt:variant>
      <vt:variant>
        <vt:lpwstr>http://www.tullowoil.com/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Results for the year ended</dc:title>
  <dc:creator>lo_whel</dc:creator>
  <cp:lastModifiedBy>Jennifer Robertson</cp:lastModifiedBy>
  <cp:revision>2</cp:revision>
  <cp:lastPrinted>2014-02-11T19:13:00Z</cp:lastPrinted>
  <dcterms:created xsi:type="dcterms:W3CDTF">2015-01-29T10:51:00Z</dcterms:created>
  <dcterms:modified xsi:type="dcterms:W3CDTF">2015-01-29T10:51:00Z</dcterms:modified>
</cp:coreProperties>
</file>