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val="0"/>
          <w:i w:val="0"/>
          <w:color w:val="696F6F"/>
          <w:sz w:val="20"/>
        </w:rPr>
        <w:t>Nzoia Flood CAT Model · Kenya Re Hackathon · Team B</w:t>
      </w:r>
    </w:p>
    <w:p>
      <w:pPr>
        <w:spacing w:after="0"/>
        <w:jc w:val="center"/>
      </w:pPr>
      <w:r>
        <w:rPr>
          <w:b/>
          <w:i w:val="0"/>
          <w:color w:val="041D3B"/>
          <w:sz w:val="52"/>
        </w:rPr>
        <w:t>The Vulnerability ML Model</w:t>
      </w:r>
    </w:p>
    <w:p>
      <w:pPr>
        <w:spacing w:after="280"/>
        <w:jc w:val="center"/>
      </w:pPr>
      <w:r>
        <w:rPr>
          <w:b/>
          <w:i w:val="0"/>
          <w:color w:val="D11242"/>
          <w:sz w:val="26"/>
        </w:rPr>
        <w:t>How water depth becomes damage — the mean model, the quantile models, and where each is used</w:t>
      </w:r>
    </w:p>
    <w:p>
      <w:pPr>
        <w:spacing w:after="120"/>
      </w:pPr>
      <w:r>
        <w:rPr>
          <w:b w:val="0"/>
          <w:i w:val="0"/>
        </w:rPr>
        <w:t>This guide assumes no machine-learning background. Each part starts in everyday language and then adds the technical detail. All numbers are taken from the model the app actually uses (`web/public/data/vulnerability.json`, built by `notebooks/_build_notebook.py`, seed 2026). Unless stated otherwise, examples use a 7-day flood and average build quality.</w:t>
      </w:r>
    </w:p>
    <w:tbl>
      <w:tblPr>
        <w:tblW w:type="auto" w:w="0"/>
        <w:jc w:val="center"/>
        <w:tblLook w:firstColumn="1" w:firstRow="1" w:lastColumn="0" w:lastRow="0" w:noHBand="0" w:noVBand="1" w:val="04A0"/>
      </w:tblPr>
      <w:tblGrid>
        <w:gridCol w:w="9746"/>
      </w:tblGrid>
      <w:tr>
        <w:tc>
          <w:tcPr>
            <w:tcW w:type="dxa" w:w="9354"/>
            <w:shd w:val="clear" w:color="auto" w:fill="DCE3EC"/>
          </w:tcPr>
          <w:p>
            <w:r>
              <w:rPr>
                <w:b/>
                <w:i w:val="0"/>
                <w:color w:val="041D3B"/>
                <w:sz w:val="22"/>
              </w:rPr>
              <w:t>The whole idea in one paragraph</w:t>
            </w:r>
          </w:p>
          <w:p>
            <w:pPr>
              <w:spacing w:after="40"/>
            </w:pPr>
            <w:r>
              <w:rPr>
                <w:b w:val="0"/>
                <w:i w:val="0"/>
                <w:sz w:val="21"/>
              </w:rPr>
              <w:t xml:space="preserve">The </w:t>
            </w:r>
            <w:r>
              <w:rPr>
                <w:b/>
                <w:i w:val="0"/>
                <w:sz w:val="21"/>
              </w:rPr>
              <w:t>vulnerability model</w:t>
            </w:r>
            <w:r>
              <w:rPr>
                <w:b w:val="0"/>
                <w:i w:val="0"/>
                <w:sz w:val="21"/>
              </w:rPr>
              <w:t xml:space="preserve"> answers one question: “if water stands this deep at this building, what share of the building's value is destroyed?” We trained a machine-learning model on 30,000 simulated loss-adjuster claims to answer it. It is really </w:t>
            </w:r>
            <w:r>
              <w:rPr>
                <w:b/>
                <w:i w:val="0"/>
                <w:sz w:val="21"/>
              </w:rPr>
              <w:t>six small models trained on the same data</w:t>
            </w:r>
            <w:r>
              <w:rPr>
                <w:b w:val="0"/>
                <w:i w:val="0"/>
                <w:sz w:val="21"/>
              </w:rPr>
              <w:t xml:space="preserve">: one </w:t>
            </w:r>
            <w:r>
              <w:rPr>
                <w:b/>
                <w:i w:val="0"/>
                <w:sz w:val="21"/>
              </w:rPr>
              <w:t>mean model</w:t>
            </w:r>
            <w:r>
              <w:rPr>
                <w:b w:val="0"/>
                <w:i w:val="0"/>
                <w:sz w:val="21"/>
              </w:rPr>
              <w:t xml:space="preserve"> that gives the best single estimate of damage (used for almost every number in the app), and five </w:t>
            </w:r>
            <w:r>
              <w:rPr>
                <w:b/>
                <w:i w:val="0"/>
                <w:sz w:val="21"/>
              </w:rPr>
              <w:t>quantile models</w:t>
            </w:r>
            <w:r>
              <w:rPr>
                <w:b w:val="0"/>
                <w:i w:val="0"/>
                <w:sz w:val="21"/>
              </w:rPr>
              <w:t xml:space="preserve"> that give the realistic range — a low case, a typical case and a bad case (used by the Monte Carlo simulation and the uncertainty bands on the charts). For a semi-permanent house in 1 m of water: the mean model says </w:t>
            </w:r>
            <w:r>
              <w:rPr>
                <w:b/>
                <w:i w:val="0"/>
                <w:sz w:val="21"/>
              </w:rPr>
              <w:t>40 % damage</w:t>
            </w:r>
            <w:r>
              <w:rPr>
                <w:b w:val="0"/>
                <w:i w:val="0"/>
                <w:sz w:val="21"/>
              </w:rPr>
              <w:t xml:space="preserve">, and the quantile models say it will usually fall between </w:t>
            </w:r>
            <w:r>
              <w:rPr>
                <w:b/>
                <w:i w:val="0"/>
                <w:sz w:val="21"/>
              </w:rPr>
              <w:t>30 % and 47 %</w:t>
            </w:r>
            <w:r>
              <w:rPr>
                <w:b w:val="0"/>
                <w:i w:val="0"/>
                <w:sz w:val="21"/>
              </w:rPr>
              <w:t xml:space="preserve">, and only 1 time in 20 above </w:t>
            </w:r>
            <w:r>
              <w:rPr>
                <w:b/>
                <w:i w:val="0"/>
                <w:sz w:val="21"/>
              </w:rPr>
              <w:t>61 %</w:t>
            </w:r>
            <w:r>
              <w:rPr>
                <w:b w:val="0"/>
                <w:i w:val="0"/>
                <w:sz w:val="21"/>
              </w:rPr>
              <w:t>.</w:t>
            </w:r>
          </w:p>
        </w:tc>
      </w:tr>
    </w:tbl>
    <w:p>
      <w:pPr>
        <w:spacing w:after="40"/>
      </w:pPr>
    </w:p>
    <w:p>
      <w:pPr>
        <w:spacing w:after="120"/>
      </w:pPr>
      <w:r>
        <w:rPr>
          <w:b/>
          <w:i w:val="0"/>
          <w:color w:val="041D3B"/>
          <w:sz w:val="24"/>
        </w:rPr>
        <w:t>Contents</w:t>
      </w:r>
    </w:p>
    <w:p>
      <w:pPr>
        <w:pStyle w:val="ListBullet"/>
        <w:spacing w:after="60"/>
      </w:pPr>
      <w:r>
        <w:rPr>
          <w:b w:val="0"/>
          <w:i w:val="0"/>
        </w:rPr>
        <w:t>Part 1 — What “vulnerability” means</w:t>
      </w:r>
    </w:p>
    <w:p>
      <w:pPr>
        <w:pStyle w:val="ListBullet"/>
        <w:spacing w:after="60"/>
      </w:pPr>
      <w:r>
        <w:rPr>
          <w:b w:val="0"/>
          <w:i w:val="0"/>
        </w:rPr>
        <w:t>Part 2 — The starting point: the published JRC damage curve</w:t>
      </w:r>
    </w:p>
    <w:p>
      <w:pPr>
        <w:pStyle w:val="ListBullet"/>
        <w:spacing w:after="60"/>
      </w:pPr>
      <w:r>
        <w:rPr>
          <w:b w:val="0"/>
          <w:i w:val="0"/>
        </w:rPr>
        <w:t>Part 3 — Why add machine learning?</w:t>
      </w:r>
    </w:p>
    <w:p>
      <w:pPr>
        <w:pStyle w:val="ListBullet"/>
        <w:spacing w:after="60"/>
      </w:pPr>
      <w:r>
        <w:rPr>
          <w:b w:val="0"/>
          <w:i w:val="0"/>
        </w:rPr>
        <w:t>Part 4 — The training data: 30,000 pseudo-claims</w:t>
      </w:r>
    </w:p>
    <w:p>
      <w:pPr>
        <w:pStyle w:val="ListBullet"/>
        <w:spacing w:after="60"/>
      </w:pPr>
      <w:r>
        <w:rPr>
          <w:b w:val="0"/>
          <w:i w:val="0"/>
        </w:rPr>
        <w:t>Part 5 — What a gradient-boosted tree model is</w:t>
      </w:r>
    </w:p>
    <w:p>
      <w:pPr>
        <w:pStyle w:val="ListBullet"/>
        <w:spacing w:after="60"/>
      </w:pPr>
      <w:r>
        <w:rPr>
          <w:b w:val="0"/>
          <w:i w:val="0"/>
        </w:rPr>
        <w:t>Part 6 — The mean model and the quantile models (the key part)</w:t>
      </w:r>
    </w:p>
    <w:p>
      <w:pPr>
        <w:pStyle w:val="ListBullet"/>
        <w:spacing w:after="60"/>
      </w:pPr>
      <w:r>
        <w:rPr>
          <w:b w:val="0"/>
          <w:i w:val="0"/>
        </w:rPr>
        <w:t>Part 7 — How the models were trained</w:t>
      </w:r>
    </w:p>
    <w:p>
      <w:pPr>
        <w:pStyle w:val="ListBullet"/>
        <w:spacing w:after="60"/>
      </w:pPr>
      <w:r>
        <w:rPr>
          <w:b w:val="0"/>
          <w:i w:val="0"/>
        </w:rPr>
        <w:t>Part 8 — How good is it? Reading the validation results</w:t>
      </w:r>
    </w:p>
    <w:p>
      <w:pPr>
        <w:pStyle w:val="ListBullet"/>
        <w:spacing w:after="60"/>
      </w:pPr>
      <w:r>
        <w:rPr>
          <w:b w:val="0"/>
          <w:i w:val="0"/>
        </w:rPr>
        <w:t>Part 9 — From trained models to a lookup table the app can use</w:t>
      </w:r>
    </w:p>
    <w:p>
      <w:pPr>
        <w:pStyle w:val="ListBullet"/>
        <w:spacing w:after="60"/>
      </w:pPr>
      <w:r>
        <w:rPr>
          <w:b w:val="0"/>
          <w:i w:val="0"/>
        </w:rPr>
        <w:t>Part 10 — Where each model is used in our system</w:t>
      </w:r>
    </w:p>
    <w:p>
      <w:pPr>
        <w:pStyle w:val="ListBullet"/>
        <w:spacing w:after="60"/>
      </w:pPr>
      <w:r>
        <w:rPr>
          <w:b w:val="0"/>
          <w:i w:val="0"/>
        </w:rPr>
        <w:t>Part 11 — What drives the predictions (SHAP)</w:t>
      </w:r>
    </w:p>
    <w:p>
      <w:pPr>
        <w:pStyle w:val="ListBullet"/>
        <w:spacing w:after="60"/>
      </w:pPr>
      <w:r>
        <w:rPr>
          <w:b w:val="0"/>
          <w:i w:val="0"/>
        </w:rPr>
        <w:t>Part 12 — Assumptions, limits and using real claims</w:t>
      </w:r>
    </w:p>
    <w:p>
      <w:pPr>
        <w:pStyle w:val="ListBullet"/>
        <w:spacing w:after="60"/>
      </w:pPr>
      <w:r>
        <w:rPr>
          <w:b w:val="0"/>
          <w:i w:val="0"/>
        </w:rPr>
        <w:t>Part 13 — FAQ and glossary</w:t>
      </w:r>
    </w:p>
    <w:p>
      <w:pPr>
        <w:pStyle w:val="Heading1"/>
      </w:pPr>
      <w:r>
        <w:t>Part 1 — What “vulnerability” means</w:t>
      </w:r>
    </w:p>
    <w:p>
      <w:pPr>
        <w:spacing w:after="120"/>
      </w:pPr>
      <w:r>
        <w:rPr>
          <w:b w:val="0"/>
          <w:i w:val="0"/>
        </w:rPr>
        <w:t xml:space="preserve">A catastrophe model has three ingredients. </w:t>
      </w:r>
      <w:r>
        <w:rPr>
          <w:b/>
          <w:i w:val="0"/>
        </w:rPr>
        <w:t>Hazard</w:t>
      </w:r>
      <w:r>
        <w:rPr>
          <w:b w:val="0"/>
          <w:i w:val="0"/>
        </w:rPr>
        <w:t xml:space="preserve"> is how strong the event is at a place (here: flood depth from the JRC maps). </w:t>
      </w:r>
      <w:r>
        <w:rPr>
          <w:b/>
          <w:i w:val="0"/>
        </w:rPr>
        <w:t>Exposure</w:t>
      </w:r>
      <w:r>
        <w:rPr>
          <w:b w:val="0"/>
          <w:i w:val="0"/>
        </w:rPr>
        <w:t xml:space="preserve"> is what is there and what it is worth (our buildings and their insured values). </w:t>
      </w:r>
      <w:r>
        <w:rPr>
          <w:b/>
          <w:i w:val="0"/>
        </w:rPr>
        <w:t>Vulnerability</w:t>
      </w:r>
      <w:r>
        <w:rPr>
          <w:b w:val="0"/>
          <w:i w:val="0"/>
        </w:rPr>
        <w:t xml:space="preserve"> links the two: how badly a given hazard damages a given kind of building.</w:t>
      </w:r>
    </w:p>
    <w:p>
      <w:pPr>
        <w:spacing w:after="120"/>
      </w:pPr>
      <w:r>
        <w:rPr>
          <w:b w:val="0"/>
          <w:i w:val="0"/>
        </w:rPr>
        <w:t xml:space="preserve">We express damage as a </w:t>
      </w:r>
      <w:r>
        <w:rPr>
          <w:b/>
          <w:i w:val="0"/>
        </w:rPr>
        <w:t>damage ratio (DR)</w:t>
      </w:r>
      <w:r>
        <w:rPr>
          <w:b w:val="0"/>
          <w:i w:val="0"/>
        </w:rPr>
        <w:t>: the repair cost as a fraction of the building's rebuild value. DR = 0 means untouched, DR = 0.40 means 40 % of the value is lost, DR = 1 means total loss. Multiplying by the insured value gives the loss in shillings:</w:t>
      </w:r>
    </w:p>
    <w:tbl>
      <w:tblPr>
        <w:tblW w:type="auto" w:w="0"/>
        <w:jc w:val="center"/>
        <w:tblLook w:firstColumn="1" w:firstRow="1" w:lastColumn="0" w:lastRow="0" w:noHBand="0" w:noVBand="1" w:val="04A0"/>
      </w:tblPr>
      <w:tblGrid>
        <w:gridCol w:w="9746"/>
      </w:tblGrid>
      <w:tr>
        <w:tc>
          <w:tcPr>
            <w:tcW w:type="dxa" w:w="9354"/>
            <w:shd w:val="clear" w:color="auto" w:fill="F2F3F3"/>
          </w:tcPr>
          <w:p>
            <w:pPr>
              <w:spacing w:after="0"/>
            </w:pPr>
            <w:r>
              <w:rPr>
                <w:rFonts w:ascii="Consolas" w:hAnsi="Consolas"/>
                <w:b w:val="0"/>
                <w:i w:val="0"/>
                <w:sz w:val="19"/>
              </w:rPr>
              <w:t>ground-up loss (KES) = damage ratio × insured value (TIV)</w:t>
            </w:r>
          </w:p>
          <w:p>
            <w:pPr>
              <w:spacing w:after="0"/>
            </w:pPr>
            <w:r>
              <w:rPr>
                <w:rFonts w:ascii="Consolas" w:hAnsi="Consolas"/>
                <w:b w:val="0"/>
                <w:i w:val="0"/>
                <w:sz w:val="19"/>
              </w:rPr>
              <w:t>e.g. 0.40 × KES 500,000 = KES 200,000</w:t>
            </w:r>
          </w:p>
        </w:tc>
      </w:tr>
    </w:tbl>
    <w:p>
      <w:pPr>
        <w:spacing w:after="40"/>
      </w:pPr>
    </w:p>
    <w:p>
      <w:pPr>
        <w:spacing w:after="120"/>
      </w:pPr>
      <w:r>
        <w:rPr>
          <w:b w:val="0"/>
          <w:i w:val="0"/>
        </w:rPr>
        <w:t>So the vulnerability model is the engine at the heart of every loss figure: if it says 40 % instead of 30 %, every downstream number — gross, net, AAL, 1-in-100 — moves with it.</w:t>
      </w:r>
    </w:p>
    <w:tbl>
      <w:tblPr>
        <w:tblW w:type="auto" w:w="0"/>
        <w:jc w:val="center"/>
        <w:tblLook w:firstColumn="1" w:firstRow="1" w:lastColumn="0" w:lastRow="0" w:noHBand="0" w:noVBand="1" w:val="04A0"/>
      </w:tblPr>
      <w:tblGrid>
        <w:gridCol w:w="9746"/>
      </w:tblGrid>
      <w:tr>
        <w:tc>
          <w:tcPr>
            <w:tcW w:type="dxa" w:w="9354"/>
            <w:shd w:val="clear" w:color="auto" w:fill="F6DDE3"/>
          </w:tcPr>
          <w:p>
            <w:r>
              <w:rPr>
                <w:b/>
                <w:i w:val="0"/>
                <w:color w:val="D11242"/>
                <w:sz w:val="22"/>
              </w:rPr>
              <w:t>In plain words</w:t>
            </w:r>
          </w:p>
          <w:p>
            <w:pPr>
              <w:spacing w:after="40"/>
            </w:pPr>
            <w:r>
              <w:rPr>
                <w:b w:val="0"/>
                <w:i w:val="0"/>
                <w:sz w:val="21"/>
              </w:rPr>
              <w:t>Vulnerability = “how fragile is this building to this much water?”, expressed as the share of its value destroyed.</w:t>
            </w:r>
          </w:p>
        </w:tc>
      </w:tr>
    </w:tbl>
    <w:p>
      <w:pPr>
        <w:spacing w:after="40"/>
      </w:pPr>
    </w:p>
    <w:p>
      <w:pPr>
        <w:pStyle w:val="Heading1"/>
      </w:pPr>
      <w:r>
        <w:t>Part 2 — The starting point: the published JRC damage curve</w:t>
      </w:r>
    </w:p>
    <w:p>
      <w:pPr>
        <w:spacing w:after="120"/>
      </w:pPr>
      <w:r>
        <w:rPr>
          <w:b w:val="0"/>
          <w:i w:val="0"/>
        </w:rPr>
        <w:t xml:space="preserve">Engineers have studied flood damage worldwide. The European Commission's Joint Research Centre published average </w:t>
      </w:r>
      <w:r>
        <w:rPr>
          <w:b/>
          <w:i w:val="0"/>
        </w:rPr>
        <w:t>depth–damage curves</w:t>
      </w:r>
      <w:r>
        <w:rPr>
          <w:b w:val="0"/>
          <w:i w:val="0"/>
        </w:rPr>
        <w:t xml:space="preserve"> per continent (Huizinga, de Moel &amp; Szewczyk, 2017). We use the </w:t>
      </w:r>
      <w:r>
        <w:rPr>
          <w:b/>
          <w:i w:val="0"/>
        </w:rPr>
        <w:t>Africa – residential</w:t>
      </w:r>
      <w:r>
        <w:rPr>
          <w:b w:val="0"/>
          <w:i w:val="0"/>
        </w:rPr>
        <w:t xml:space="preserve"> curve as the main source and the </w:t>
      </w:r>
      <w:r>
        <w:rPr>
          <w:b/>
          <w:i w:val="0"/>
        </w:rPr>
        <w:t>Global – residential</w:t>
      </w:r>
      <w:r>
        <w:rPr>
          <w:b w:val="0"/>
          <w:i w:val="0"/>
        </w:rPr>
        <w:t xml:space="preserve"> curve as a second opinion. They agree on the shape (damage rises fast in the first metre, then levels off) but the global curve is more severe:</w:t>
      </w:r>
    </w:p>
    <w:tbl>
      <w:tblPr>
        <w:tblStyle w:val="TableGrid"/>
        <w:tblW w:type="auto" w:w="0"/>
        <w:jc w:val="center"/>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1871"/>
            <w:shd w:val="clear" w:color="auto" w:fill="041D3B"/>
          </w:tcPr>
          <w:p>
            <w:r/>
            <w:r>
              <w:rPr>
                <w:b/>
                <w:i w:val="0"/>
                <w:color w:val="FFFFFF"/>
                <w:sz w:val="20"/>
              </w:rPr>
              <w:t>Depth (m)</w:t>
            </w:r>
          </w:p>
        </w:tc>
        <w:tc>
          <w:tcPr>
            <w:tcW w:type="dxa" w:w="833"/>
            <w:shd w:val="clear" w:color="auto" w:fill="041D3B"/>
          </w:tcPr>
          <w:p>
            <w:r/>
            <w:r>
              <w:rPr>
                <w:b/>
                <w:i w:val="0"/>
                <w:color w:val="FFFFFF"/>
                <w:sz w:val="20"/>
              </w:rPr>
              <w:t>0</w:t>
            </w:r>
          </w:p>
        </w:tc>
        <w:tc>
          <w:tcPr>
            <w:tcW w:type="dxa" w:w="833"/>
            <w:shd w:val="clear" w:color="auto" w:fill="041D3B"/>
          </w:tcPr>
          <w:p>
            <w:r/>
            <w:r>
              <w:rPr>
                <w:b/>
                <w:i w:val="0"/>
                <w:color w:val="FFFFFF"/>
                <w:sz w:val="20"/>
              </w:rPr>
              <w:t>0.5</w:t>
            </w:r>
          </w:p>
        </w:tc>
        <w:tc>
          <w:tcPr>
            <w:tcW w:type="dxa" w:w="833"/>
            <w:shd w:val="clear" w:color="auto" w:fill="041D3B"/>
          </w:tcPr>
          <w:p>
            <w:r/>
            <w:r>
              <w:rPr>
                <w:b/>
                <w:i w:val="0"/>
                <w:color w:val="FFFFFF"/>
                <w:sz w:val="20"/>
              </w:rPr>
              <w:t>1.0</w:t>
            </w:r>
          </w:p>
        </w:tc>
        <w:tc>
          <w:tcPr>
            <w:tcW w:type="dxa" w:w="833"/>
            <w:shd w:val="clear" w:color="auto" w:fill="041D3B"/>
          </w:tcPr>
          <w:p>
            <w:r/>
            <w:r>
              <w:rPr>
                <w:b/>
                <w:i w:val="0"/>
                <w:color w:val="FFFFFF"/>
                <w:sz w:val="20"/>
              </w:rPr>
              <w:t>1.5</w:t>
            </w:r>
          </w:p>
        </w:tc>
        <w:tc>
          <w:tcPr>
            <w:tcW w:type="dxa" w:w="833"/>
            <w:shd w:val="clear" w:color="auto" w:fill="041D3B"/>
          </w:tcPr>
          <w:p>
            <w:r/>
            <w:r>
              <w:rPr>
                <w:b/>
                <w:i w:val="0"/>
                <w:color w:val="FFFFFF"/>
                <w:sz w:val="20"/>
              </w:rPr>
              <w:t>2.0</w:t>
            </w:r>
          </w:p>
        </w:tc>
        <w:tc>
          <w:tcPr>
            <w:tcW w:type="dxa" w:w="833"/>
            <w:shd w:val="clear" w:color="auto" w:fill="041D3B"/>
          </w:tcPr>
          <w:p>
            <w:r/>
            <w:r>
              <w:rPr>
                <w:b/>
                <w:i w:val="0"/>
                <w:color w:val="FFFFFF"/>
                <w:sz w:val="20"/>
              </w:rPr>
              <w:t>3.0</w:t>
            </w:r>
          </w:p>
        </w:tc>
        <w:tc>
          <w:tcPr>
            <w:tcW w:type="dxa" w:w="833"/>
            <w:shd w:val="clear" w:color="auto" w:fill="041D3B"/>
          </w:tcPr>
          <w:p>
            <w:r/>
            <w:r>
              <w:rPr>
                <w:b/>
                <w:i w:val="0"/>
                <w:color w:val="FFFFFF"/>
                <w:sz w:val="20"/>
              </w:rPr>
              <w:t>4.0</w:t>
            </w:r>
          </w:p>
        </w:tc>
        <w:tc>
          <w:tcPr>
            <w:tcW w:type="dxa" w:w="833"/>
            <w:shd w:val="clear" w:color="auto" w:fill="041D3B"/>
          </w:tcPr>
          <w:p>
            <w:r/>
            <w:r>
              <w:rPr>
                <w:b/>
                <w:i w:val="0"/>
                <w:color w:val="FFFFFF"/>
                <w:sz w:val="20"/>
              </w:rPr>
              <w:t>5.0</w:t>
            </w:r>
          </w:p>
        </w:tc>
        <w:tc>
          <w:tcPr>
            <w:tcW w:type="dxa" w:w="833"/>
            <w:shd w:val="clear" w:color="auto" w:fill="041D3B"/>
          </w:tcPr>
          <w:p>
            <w:r/>
            <w:r>
              <w:rPr>
                <w:b/>
                <w:i w:val="0"/>
                <w:color w:val="FFFFFF"/>
                <w:sz w:val="20"/>
              </w:rPr>
              <w:t>6.0</w:t>
            </w:r>
          </w:p>
        </w:tc>
      </w:tr>
      <w:tr>
        <w:tc>
          <w:tcPr>
            <w:tcW w:type="dxa" w:w="1871"/>
          </w:tcPr>
          <w:p>
            <w:pPr>
              <w:spacing w:after="20"/>
            </w:pPr>
            <w:r/>
            <w:r>
              <w:rPr>
                <w:b w:val="0"/>
                <w:i w:val="0"/>
                <w:sz w:val="20"/>
              </w:rPr>
              <w:t>Africa residential</w:t>
            </w:r>
          </w:p>
        </w:tc>
        <w:tc>
          <w:tcPr>
            <w:tcW w:type="dxa" w:w="833"/>
          </w:tcPr>
          <w:p>
            <w:pPr>
              <w:spacing w:after="20"/>
            </w:pPr>
            <w:r/>
            <w:r>
              <w:rPr>
                <w:b w:val="0"/>
                <w:i w:val="0"/>
                <w:sz w:val="20"/>
              </w:rPr>
              <w:t>0</w:t>
            </w:r>
          </w:p>
        </w:tc>
        <w:tc>
          <w:tcPr>
            <w:tcW w:type="dxa" w:w="833"/>
          </w:tcPr>
          <w:p>
            <w:pPr>
              <w:spacing w:after="20"/>
            </w:pPr>
            <w:r/>
            <w:r>
              <w:rPr>
                <w:b w:val="0"/>
                <w:i w:val="0"/>
                <w:sz w:val="20"/>
              </w:rPr>
              <w:t>0.22</w:t>
            </w:r>
          </w:p>
        </w:tc>
        <w:tc>
          <w:tcPr>
            <w:tcW w:type="dxa" w:w="833"/>
          </w:tcPr>
          <w:p>
            <w:pPr>
              <w:spacing w:after="20"/>
            </w:pPr>
            <w:r/>
            <w:r>
              <w:rPr>
                <w:b w:val="0"/>
                <w:i w:val="0"/>
                <w:sz w:val="20"/>
              </w:rPr>
              <w:t>0.38</w:t>
            </w:r>
          </w:p>
        </w:tc>
        <w:tc>
          <w:tcPr>
            <w:tcW w:type="dxa" w:w="833"/>
          </w:tcPr>
          <w:p>
            <w:pPr>
              <w:spacing w:after="20"/>
            </w:pPr>
            <w:r/>
            <w:r>
              <w:rPr>
                <w:b w:val="0"/>
                <w:i w:val="0"/>
                <w:sz w:val="20"/>
              </w:rPr>
              <w:t>0.53</w:t>
            </w:r>
          </w:p>
        </w:tc>
        <w:tc>
          <w:tcPr>
            <w:tcW w:type="dxa" w:w="833"/>
          </w:tcPr>
          <w:p>
            <w:pPr>
              <w:spacing w:after="20"/>
            </w:pPr>
            <w:r/>
            <w:r>
              <w:rPr>
                <w:b w:val="0"/>
                <w:i w:val="0"/>
                <w:sz w:val="20"/>
              </w:rPr>
              <w:t>0.64</w:t>
            </w:r>
          </w:p>
        </w:tc>
        <w:tc>
          <w:tcPr>
            <w:tcW w:type="dxa" w:w="833"/>
          </w:tcPr>
          <w:p>
            <w:pPr>
              <w:spacing w:after="20"/>
            </w:pPr>
            <w:r/>
            <w:r>
              <w:rPr>
                <w:b w:val="0"/>
                <w:i w:val="0"/>
                <w:sz w:val="20"/>
              </w:rPr>
              <w:t>0.82</w:t>
            </w:r>
          </w:p>
        </w:tc>
        <w:tc>
          <w:tcPr>
            <w:tcW w:type="dxa" w:w="833"/>
          </w:tcPr>
          <w:p>
            <w:pPr>
              <w:spacing w:after="20"/>
            </w:pPr>
            <w:r/>
            <w:r>
              <w:rPr>
                <w:b w:val="0"/>
                <w:i w:val="0"/>
                <w:sz w:val="20"/>
              </w:rPr>
              <w:t>0.90</w:t>
            </w:r>
          </w:p>
        </w:tc>
        <w:tc>
          <w:tcPr>
            <w:tcW w:type="dxa" w:w="833"/>
          </w:tcPr>
          <w:p>
            <w:pPr>
              <w:spacing w:after="20"/>
            </w:pPr>
            <w:r/>
            <w:r>
              <w:rPr>
                <w:b w:val="0"/>
                <w:i w:val="0"/>
                <w:sz w:val="20"/>
              </w:rPr>
              <w:t>0.96</w:t>
            </w:r>
          </w:p>
        </w:tc>
        <w:tc>
          <w:tcPr>
            <w:tcW w:type="dxa" w:w="833"/>
          </w:tcPr>
          <w:p>
            <w:pPr>
              <w:spacing w:after="20"/>
            </w:pPr>
            <w:r/>
            <w:r>
              <w:rPr>
                <w:b w:val="0"/>
                <w:i w:val="0"/>
                <w:sz w:val="20"/>
              </w:rPr>
              <w:t>1.00</w:t>
            </w:r>
          </w:p>
        </w:tc>
      </w:tr>
      <w:tr>
        <w:tc>
          <w:tcPr>
            <w:tcW w:type="dxa" w:w="1871"/>
          </w:tcPr>
          <w:p>
            <w:pPr>
              <w:spacing w:after="20"/>
            </w:pPr>
            <w:r/>
            <w:r>
              <w:rPr>
                <w:b w:val="0"/>
                <w:i w:val="0"/>
                <w:sz w:val="20"/>
              </w:rPr>
              <w:t>Global residential</w:t>
            </w:r>
          </w:p>
        </w:tc>
        <w:tc>
          <w:tcPr>
            <w:tcW w:type="dxa" w:w="833"/>
          </w:tcPr>
          <w:p>
            <w:pPr>
              <w:spacing w:after="20"/>
            </w:pPr>
            <w:r/>
            <w:r>
              <w:rPr>
                <w:b w:val="0"/>
                <w:i w:val="0"/>
                <w:sz w:val="20"/>
              </w:rPr>
              <w:t>0</w:t>
            </w:r>
          </w:p>
        </w:tc>
        <w:tc>
          <w:tcPr>
            <w:tcW w:type="dxa" w:w="833"/>
          </w:tcPr>
          <w:p>
            <w:pPr>
              <w:spacing w:after="20"/>
            </w:pPr>
            <w:r/>
            <w:r>
              <w:rPr>
                <w:b w:val="0"/>
                <w:i w:val="0"/>
                <w:sz w:val="20"/>
              </w:rPr>
              <w:t>0.33</w:t>
            </w:r>
          </w:p>
        </w:tc>
        <w:tc>
          <w:tcPr>
            <w:tcW w:type="dxa" w:w="833"/>
          </w:tcPr>
          <w:p>
            <w:pPr>
              <w:spacing w:after="20"/>
            </w:pPr>
            <w:r/>
            <w:r>
              <w:rPr>
                <w:b w:val="0"/>
                <w:i w:val="0"/>
                <w:sz w:val="20"/>
              </w:rPr>
              <w:t>0.49</w:t>
            </w:r>
          </w:p>
        </w:tc>
        <w:tc>
          <w:tcPr>
            <w:tcW w:type="dxa" w:w="833"/>
          </w:tcPr>
          <w:p>
            <w:pPr>
              <w:spacing w:after="20"/>
            </w:pPr>
            <w:r/>
            <w:r>
              <w:rPr>
                <w:b w:val="0"/>
                <w:i w:val="0"/>
                <w:sz w:val="20"/>
              </w:rPr>
              <w:t>0.62</w:t>
            </w:r>
          </w:p>
        </w:tc>
        <w:tc>
          <w:tcPr>
            <w:tcW w:type="dxa" w:w="833"/>
          </w:tcPr>
          <w:p>
            <w:pPr>
              <w:spacing w:after="20"/>
            </w:pPr>
            <w:r/>
            <w:r>
              <w:rPr>
                <w:b w:val="0"/>
                <w:i w:val="0"/>
                <w:sz w:val="20"/>
              </w:rPr>
              <w:t>0.72</w:t>
            </w:r>
          </w:p>
        </w:tc>
        <w:tc>
          <w:tcPr>
            <w:tcW w:type="dxa" w:w="833"/>
          </w:tcPr>
          <w:p>
            <w:pPr>
              <w:spacing w:after="20"/>
            </w:pPr>
            <w:r/>
            <w:r>
              <w:rPr>
                <w:b w:val="0"/>
                <w:i w:val="0"/>
                <w:sz w:val="20"/>
              </w:rPr>
              <w:t>0.87</w:t>
            </w:r>
          </w:p>
        </w:tc>
        <w:tc>
          <w:tcPr>
            <w:tcW w:type="dxa" w:w="833"/>
          </w:tcPr>
          <w:p>
            <w:pPr>
              <w:spacing w:after="20"/>
            </w:pPr>
            <w:r/>
            <w:r>
              <w:rPr>
                <w:b w:val="0"/>
                <w:i w:val="0"/>
                <w:sz w:val="20"/>
              </w:rPr>
              <w:t>0.94</w:t>
            </w:r>
          </w:p>
        </w:tc>
        <w:tc>
          <w:tcPr>
            <w:tcW w:type="dxa" w:w="833"/>
          </w:tcPr>
          <w:p>
            <w:pPr>
              <w:spacing w:after="20"/>
            </w:pPr>
            <w:r/>
            <w:r>
              <w:rPr>
                <w:b w:val="0"/>
                <w:i w:val="0"/>
                <w:sz w:val="20"/>
              </w:rPr>
              <w:t>0.99</w:t>
            </w:r>
          </w:p>
        </w:tc>
        <w:tc>
          <w:tcPr>
            <w:tcW w:type="dxa" w:w="833"/>
          </w:tcPr>
          <w:p>
            <w:pPr>
              <w:spacing w:after="20"/>
            </w:pPr>
            <w:r/>
            <w:r>
              <w:rPr>
                <w:b w:val="0"/>
                <w:i w:val="0"/>
                <w:sz w:val="20"/>
              </w:rPr>
              <w:t>1.00</w:t>
            </w:r>
          </w:p>
        </w:tc>
      </w:tr>
    </w:tbl>
    <w:p>
      <w:pPr>
        <w:spacing w:after="40"/>
      </w:pPr>
    </w:p>
    <w:p>
      <w:pPr>
        <w:spacing w:after="120"/>
      </w:pPr>
      <w:r>
        <w:rPr>
          <w:b w:val="0"/>
          <w:i w:val="0"/>
        </w:rPr>
        <w:t>Kenya has no published curve of its own, and a mabati shop is far more fragile than a concrete office. So we adapted the curve to four construction classes with three intuitive knobs:</w:t>
      </w:r>
    </w:p>
    <w:tbl>
      <w:tblPr>
        <w:tblW w:type="auto" w:w="0"/>
        <w:jc w:val="center"/>
        <w:tblLook w:firstColumn="1" w:firstRow="1" w:lastColumn="0" w:lastRow="0" w:noHBand="0" w:noVBand="1" w:val="04A0"/>
      </w:tblPr>
      <w:tblGrid>
        <w:gridCol w:w="9746"/>
      </w:tblGrid>
      <w:tr>
        <w:tc>
          <w:tcPr>
            <w:tcW w:type="dxa" w:w="9354"/>
            <w:shd w:val="clear" w:color="auto" w:fill="F2F3F3"/>
          </w:tcPr>
          <w:p>
            <w:pPr>
              <w:spacing w:after="0"/>
            </w:pPr>
            <w:r>
              <w:rPr>
                <w:rFonts w:ascii="Consolas" w:hAnsi="Consolas"/>
                <w:b w:val="0"/>
                <w:i w:val="0"/>
                <w:sz w:val="19"/>
              </w:rPr>
              <w:t>damage ratio = ceiling × JRC( fragility × max(depth − raised floor, 0) )</w:t>
            </w:r>
          </w:p>
        </w:tc>
      </w:tr>
    </w:tbl>
    <w:p>
      <w:pPr>
        <w:spacing w:after="40"/>
      </w:pP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438"/>
            <w:shd w:val="clear" w:color="auto" w:fill="041D3B"/>
          </w:tcPr>
          <w:p>
            <w:r/>
            <w:r>
              <w:rPr>
                <w:b/>
                <w:i w:val="0"/>
                <w:color w:val="FFFFFF"/>
                <w:sz w:val="20"/>
              </w:rPr>
              <w:t>Class</w:t>
            </w:r>
          </w:p>
        </w:tc>
        <w:tc>
          <w:tcPr>
            <w:tcW w:type="dxa" w:w="1247"/>
            <w:shd w:val="clear" w:color="auto" w:fill="041D3B"/>
          </w:tcPr>
          <w:p>
            <w:r/>
            <w:r>
              <w:rPr>
                <w:b/>
                <w:i w:val="0"/>
                <w:color w:val="FFFFFF"/>
                <w:sz w:val="20"/>
              </w:rPr>
              <w:t>Raised floor</w:t>
            </w:r>
          </w:p>
        </w:tc>
        <w:tc>
          <w:tcPr>
            <w:tcW w:type="dxa" w:w="1134"/>
            <w:shd w:val="clear" w:color="auto" w:fill="041D3B"/>
          </w:tcPr>
          <w:p>
            <w:r/>
            <w:r>
              <w:rPr>
                <w:b/>
                <w:i w:val="0"/>
                <w:color w:val="FFFFFF"/>
                <w:sz w:val="20"/>
              </w:rPr>
              <w:t>Fragility</w:t>
            </w:r>
          </w:p>
        </w:tc>
        <w:tc>
          <w:tcPr>
            <w:tcW w:type="dxa" w:w="1361"/>
            <w:shd w:val="clear" w:color="auto" w:fill="041D3B"/>
          </w:tcPr>
          <w:p>
            <w:r/>
            <w:r>
              <w:rPr>
                <w:b/>
                <w:i w:val="0"/>
                <w:color w:val="FFFFFF"/>
                <w:sz w:val="20"/>
              </w:rPr>
              <w:t>Damage ceiling</w:t>
            </w:r>
          </w:p>
        </w:tc>
        <w:tc>
          <w:tcPr>
            <w:tcW w:type="dxa" w:w="3175"/>
            <w:shd w:val="clear" w:color="auto" w:fill="041D3B"/>
          </w:tcPr>
          <w:p>
            <w:r/>
            <w:r>
              <w:rPr>
                <w:b/>
                <w:i w:val="0"/>
                <w:color w:val="FFFFFF"/>
                <w:sz w:val="20"/>
              </w:rPr>
              <w:t>Why</w:t>
            </w:r>
          </w:p>
        </w:tc>
      </w:tr>
      <w:tr>
        <w:tc>
          <w:tcPr>
            <w:tcW w:type="dxa" w:w="2438"/>
          </w:tcPr>
          <w:p>
            <w:pPr>
              <w:spacing w:after="20"/>
            </w:pPr>
            <w:r/>
            <w:r>
              <w:rPr>
                <w:b w:val="0"/>
                <w:i w:val="0"/>
                <w:sz w:val="20"/>
              </w:rPr>
              <w:t>Informal (iron sheet / mabati)</w:t>
            </w:r>
          </w:p>
        </w:tc>
        <w:tc>
          <w:tcPr>
            <w:tcW w:type="dxa" w:w="1247"/>
          </w:tcPr>
          <w:p>
            <w:pPr>
              <w:spacing w:after="20"/>
            </w:pPr>
            <w:r/>
            <w:r>
              <w:rPr>
                <w:b w:val="0"/>
                <w:i w:val="0"/>
                <w:sz w:val="20"/>
              </w:rPr>
              <w:t>0 m</w:t>
            </w:r>
          </w:p>
        </w:tc>
        <w:tc>
          <w:tcPr>
            <w:tcW w:type="dxa" w:w="1134"/>
          </w:tcPr>
          <w:p>
            <w:pPr>
              <w:spacing w:after="20"/>
            </w:pPr>
            <w:r/>
            <w:r>
              <w:rPr>
                <w:b w:val="0"/>
                <w:i w:val="0"/>
                <w:sz w:val="20"/>
              </w:rPr>
              <w:t>× 1.35</w:t>
            </w:r>
          </w:p>
        </w:tc>
        <w:tc>
          <w:tcPr>
            <w:tcW w:type="dxa" w:w="1361"/>
          </w:tcPr>
          <w:p>
            <w:pPr>
              <w:spacing w:after="20"/>
            </w:pPr>
            <w:r/>
            <w:r>
              <w:rPr>
                <w:b w:val="0"/>
                <w:i w:val="0"/>
                <w:sz w:val="20"/>
              </w:rPr>
              <w:t>95 %</w:t>
            </w:r>
          </w:p>
        </w:tc>
        <w:tc>
          <w:tcPr>
            <w:tcW w:type="dxa" w:w="3175"/>
          </w:tcPr>
          <w:p>
            <w:pPr>
              <w:spacing w:after="20"/>
            </w:pPr>
            <w:r/>
            <w:r>
              <w:rPr>
                <w:b w:val="0"/>
                <w:i w:val="0"/>
                <w:sz w:val="20"/>
              </w:rPr>
              <w:t>Floor at ground level; walls slump in standing water</w:t>
            </w:r>
          </w:p>
        </w:tc>
      </w:tr>
      <w:tr>
        <w:tc>
          <w:tcPr>
            <w:tcW w:type="dxa" w:w="2438"/>
          </w:tcPr>
          <w:p>
            <w:pPr>
              <w:spacing w:after="20"/>
            </w:pPr>
            <w:r/>
            <w:r>
              <w:rPr>
                <w:b w:val="0"/>
                <w:i w:val="0"/>
                <w:sz w:val="20"/>
              </w:rPr>
              <w:t>Semi-permanent (mud, earth block)</w:t>
            </w:r>
          </w:p>
        </w:tc>
        <w:tc>
          <w:tcPr>
            <w:tcW w:type="dxa" w:w="1247"/>
          </w:tcPr>
          <w:p>
            <w:pPr>
              <w:spacing w:after="20"/>
            </w:pPr>
            <w:r/>
            <w:r>
              <w:rPr>
                <w:b w:val="0"/>
                <w:i w:val="0"/>
                <w:sz w:val="20"/>
              </w:rPr>
              <w:t>0.05 m</w:t>
            </w:r>
          </w:p>
        </w:tc>
        <w:tc>
          <w:tcPr>
            <w:tcW w:type="dxa" w:w="1134"/>
          </w:tcPr>
          <w:p>
            <w:pPr>
              <w:spacing w:after="20"/>
            </w:pPr>
            <w:r/>
            <w:r>
              <w:rPr>
                <w:b w:val="0"/>
                <w:i w:val="0"/>
                <w:sz w:val="20"/>
              </w:rPr>
              <w:t>× 1.15</w:t>
            </w:r>
          </w:p>
        </w:tc>
        <w:tc>
          <w:tcPr>
            <w:tcW w:type="dxa" w:w="1361"/>
          </w:tcPr>
          <w:p>
            <w:pPr>
              <w:spacing w:after="20"/>
            </w:pPr>
            <w:r/>
            <w:r>
              <w:rPr>
                <w:b w:val="0"/>
                <w:i w:val="0"/>
                <w:sz w:val="20"/>
              </w:rPr>
              <w:t>90 %</w:t>
            </w:r>
          </w:p>
        </w:tc>
        <w:tc>
          <w:tcPr>
            <w:tcW w:type="dxa" w:w="3175"/>
          </w:tcPr>
          <w:p>
            <w:pPr>
              <w:spacing w:after="20"/>
            </w:pPr>
            <w:r/>
            <w:r>
              <w:rPr>
                <w:b w:val="0"/>
                <w:i w:val="0"/>
                <w:sz w:val="20"/>
              </w:rPr>
              <w:t>Slightly raised screed; water-sensitive walls</w:t>
            </w:r>
          </w:p>
        </w:tc>
      </w:tr>
      <w:tr>
        <w:tc>
          <w:tcPr>
            <w:tcW w:type="dxa" w:w="2438"/>
          </w:tcPr>
          <w:p>
            <w:pPr>
              <w:spacing w:after="20"/>
            </w:pPr>
            <w:r/>
            <w:r>
              <w:rPr>
                <w:b w:val="0"/>
                <w:i w:val="0"/>
                <w:sz w:val="20"/>
              </w:rPr>
              <w:t>Permanent masonry (brick, block)</w:t>
            </w:r>
          </w:p>
        </w:tc>
        <w:tc>
          <w:tcPr>
            <w:tcW w:type="dxa" w:w="1247"/>
          </w:tcPr>
          <w:p>
            <w:pPr>
              <w:spacing w:after="20"/>
            </w:pPr>
            <w:r/>
            <w:r>
              <w:rPr>
                <w:b w:val="0"/>
                <w:i w:val="0"/>
                <w:sz w:val="20"/>
              </w:rPr>
              <w:t>0.20 m</w:t>
            </w:r>
          </w:p>
        </w:tc>
        <w:tc>
          <w:tcPr>
            <w:tcW w:type="dxa" w:w="1134"/>
          </w:tcPr>
          <w:p>
            <w:pPr>
              <w:spacing w:after="20"/>
            </w:pPr>
            <w:r/>
            <w:r>
              <w:rPr>
                <w:b w:val="0"/>
                <w:i w:val="0"/>
                <w:sz w:val="20"/>
              </w:rPr>
              <w:t>× 1.00</w:t>
            </w:r>
          </w:p>
        </w:tc>
        <w:tc>
          <w:tcPr>
            <w:tcW w:type="dxa" w:w="1361"/>
          </w:tcPr>
          <w:p>
            <w:pPr>
              <w:spacing w:after="20"/>
            </w:pPr>
            <w:r/>
            <w:r>
              <w:rPr>
                <w:b w:val="0"/>
                <w:i w:val="0"/>
                <w:sz w:val="20"/>
              </w:rPr>
              <w:t>85 %</w:t>
            </w:r>
          </w:p>
        </w:tc>
        <w:tc>
          <w:tcPr>
            <w:tcW w:type="dxa" w:w="3175"/>
          </w:tcPr>
          <w:p>
            <w:pPr>
              <w:spacing w:after="20"/>
            </w:pPr>
            <w:r/>
            <w:r>
              <w:rPr>
                <w:b w:val="0"/>
                <w:i w:val="0"/>
                <w:sz w:val="20"/>
              </w:rPr>
              <w:t>Raised slab; the JRC baseline</w:t>
            </w:r>
          </w:p>
        </w:tc>
      </w:tr>
      <w:tr>
        <w:tc>
          <w:tcPr>
            <w:tcW w:type="dxa" w:w="2438"/>
          </w:tcPr>
          <w:p>
            <w:pPr>
              <w:spacing w:after="20"/>
            </w:pPr>
            <w:r/>
            <w:r>
              <w:rPr>
                <w:b w:val="0"/>
                <w:i w:val="0"/>
                <w:sz w:val="20"/>
              </w:rPr>
              <w:t>Concrete / RCC frame</w:t>
            </w:r>
          </w:p>
        </w:tc>
        <w:tc>
          <w:tcPr>
            <w:tcW w:type="dxa" w:w="1247"/>
          </w:tcPr>
          <w:p>
            <w:pPr>
              <w:spacing w:after="20"/>
            </w:pPr>
            <w:r/>
            <w:r>
              <w:rPr>
                <w:b w:val="0"/>
                <w:i w:val="0"/>
                <w:sz w:val="20"/>
              </w:rPr>
              <w:t>0.30 m</w:t>
            </w:r>
          </w:p>
        </w:tc>
        <w:tc>
          <w:tcPr>
            <w:tcW w:type="dxa" w:w="1134"/>
          </w:tcPr>
          <w:p>
            <w:pPr>
              <w:spacing w:after="20"/>
            </w:pPr>
            <w:r/>
            <w:r>
              <w:rPr>
                <w:b w:val="0"/>
                <w:i w:val="0"/>
                <w:sz w:val="20"/>
              </w:rPr>
              <w:t>× 0.80</w:t>
            </w:r>
          </w:p>
        </w:tc>
        <w:tc>
          <w:tcPr>
            <w:tcW w:type="dxa" w:w="1361"/>
          </w:tcPr>
          <w:p>
            <w:pPr>
              <w:spacing w:after="20"/>
            </w:pPr>
            <w:r/>
            <w:r>
              <w:rPr>
                <w:b w:val="0"/>
                <w:i w:val="0"/>
                <w:sz w:val="20"/>
              </w:rPr>
              <w:t>75 %</w:t>
            </w:r>
          </w:p>
        </w:tc>
        <w:tc>
          <w:tcPr>
            <w:tcW w:type="dxa" w:w="3175"/>
          </w:tcPr>
          <w:p>
            <w:pPr>
              <w:spacing w:after="20"/>
            </w:pPr>
            <w:r/>
            <w:r>
              <w:rPr>
                <w:b w:val="0"/>
                <w:i w:val="0"/>
                <w:sz w:val="20"/>
              </w:rPr>
              <w:t>Frame survives; upper floors unaffected</w:t>
            </w:r>
          </w:p>
        </w:tc>
      </w:tr>
    </w:tbl>
    <w:p>
      <w:pPr>
        <w:spacing w:after="40"/>
      </w:pPr>
    </w:p>
    <w:p>
      <w:pPr>
        <w:spacing w:after="120"/>
      </w:pPr>
      <w:r>
        <w:rPr>
          <w:b w:val="0"/>
          <w:i w:val="0"/>
        </w:rPr>
        <w:t xml:space="preserve">This </w:t>
      </w:r>
      <w:r>
        <w:rPr>
          <w:b/>
          <w:i w:val="0"/>
        </w:rPr>
        <w:t>adapted JRC curve</w:t>
      </w:r>
      <w:r>
        <w:rPr>
          <w:b w:val="0"/>
          <w:i w:val="0"/>
        </w:rPr>
        <w:t xml:space="preserve"> is a perfectly reasonable model on its own, and the app keeps it as the </w:t>
      </w:r>
      <w:r>
        <w:rPr>
          <w:b/>
          <w:i w:val="0"/>
        </w:rPr>
        <w:t>“JRC baseline”</w:t>
      </w:r>
      <w:r>
        <w:rPr>
          <w:b w:val="0"/>
          <w:i w:val="0"/>
        </w:rPr>
        <w:t xml:space="preserve"> option (Model settings → Vulnerability model) so the effect of the ML layer can always be seen.</w:t>
      </w:r>
    </w:p>
    <w:p>
      <w:pPr>
        <w:pStyle w:val="Heading1"/>
      </w:pPr>
      <w:r>
        <w:t>Part 3 — Why add machine learning?</w:t>
      </w:r>
    </w:p>
    <w:p>
      <w:pPr>
        <w:spacing w:after="120"/>
      </w:pPr>
      <w:r>
        <w:rPr>
          <w:b w:val="0"/>
          <w:i w:val="0"/>
        </w:rPr>
        <w:t xml:space="preserve">The adapted curve gives </w:t>
      </w:r>
      <w:r>
        <w:rPr>
          <w:b/>
          <w:i w:val="0"/>
        </w:rPr>
        <w:t>one number</w:t>
      </w:r>
      <w:r>
        <w:rPr>
          <w:b w:val="0"/>
          <w:i w:val="0"/>
        </w:rPr>
        <w:t xml:space="preserve"> for a class and depth. Real damage is messier:</w:t>
      </w:r>
    </w:p>
    <w:p>
      <w:pPr>
        <w:pStyle w:val="ListBullet"/>
        <w:spacing w:after="60"/>
      </w:pPr>
      <w:r>
        <w:rPr>
          <w:b/>
          <w:i w:val="0"/>
        </w:rPr>
        <w:t>Two published sources disagree.</w:t>
      </w:r>
      <w:r>
        <w:rPr>
          <w:b w:val="0"/>
          <w:i w:val="0"/>
        </w:rPr>
        <w:t xml:space="preserve"> Africa says 38 % at 1 m, Global says 49 %. Choosing one hides the disagreement.</w:t>
      </w:r>
    </w:p>
    <w:p>
      <w:pPr>
        <w:pStyle w:val="ListBullet"/>
        <w:spacing w:after="60"/>
      </w:pPr>
      <w:r>
        <w:rPr>
          <w:b/>
          <w:i w:val="0"/>
        </w:rPr>
        <w:t>Flood duration matters.</w:t>
      </w:r>
      <w:r>
        <w:rPr>
          <w:b w:val="0"/>
          <w:i w:val="0"/>
        </w:rPr>
        <w:t xml:space="preserve"> Mud walls soaked for three weeks fail; soaked for two days they may survive.</w:t>
      </w:r>
    </w:p>
    <w:p>
      <w:pPr>
        <w:pStyle w:val="ListBullet"/>
        <w:spacing w:after="60"/>
      </w:pPr>
      <w:r>
        <w:rPr>
          <w:b/>
          <w:i w:val="0"/>
        </w:rPr>
        <w:t>Build quality matters.</w:t>
      </w:r>
      <w:r>
        <w:rPr>
          <w:b w:val="0"/>
          <w:i w:val="0"/>
        </w:rPr>
        <w:t xml:space="preserve"> A well-built house of the same class suffers less.</w:t>
      </w:r>
    </w:p>
    <w:p>
      <w:pPr>
        <w:pStyle w:val="ListBullet"/>
        <w:spacing w:after="60"/>
      </w:pPr>
      <w:r>
        <w:rPr>
          <w:b/>
          <w:i w:val="0"/>
        </w:rPr>
        <w:t>Identical buildings get different damage.</w:t>
      </w:r>
      <w:r>
        <w:rPr>
          <w:b w:val="0"/>
          <w:i w:val="0"/>
        </w:rPr>
        <w:t xml:space="preserve"> Debris, workmanship, luck — real claims scatter widely around the average.</w:t>
      </w:r>
    </w:p>
    <w:p>
      <w:pPr>
        <w:spacing w:after="120"/>
      </w:pPr>
      <w:r>
        <w:rPr>
          <w:b w:val="0"/>
          <w:i w:val="0"/>
        </w:rPr>
        <w:t>The ML model addresses all four. It:</w:t>
      </w:r>
    </w:p>
    <w:p>
      <w:pPr>
        <w:pStyle w:val="ListBullet"/>
        <w:spacing w:after="60"/>
      </w:pPr>
      <w:r>
        <w:rPr>
          <w:b w:val="0"/>
          <w:i w:val="0"/>
        </w:rPr>
        <w:t xml:space="preserve">learns the </w:t>
      </w:r>
      <w:r>
        <w:rPr>
          <w:b/>
          <w:i w:val="0"/>
        </w:rPr>
        <w:t>blend of the two sources</w:t>
      </w:r>
      <w:r>
        <w:rPr>
          <w:b w:val="0"/>
          <w:i w:val="0"/>
        </w:rPr>
        <w:t xml:space="preserve"> (so the uncertainty between them is priced in, not ignored);</w:t>
      </w:r>
    </w:p>
    <w:p>
      <w:pPr>
        <w:pStyle w:val="ListBullet"/>
        <w:spacing w:after="60"/>
      </w:pPr>
      <w:r>
        <w:rPr>
          <w:b w:val="0"/>
          <w:i w:val="0"/>
        </w:rPr>
        <w:t xml:space="preserve">uses </w:t>
      </w:r>
      <w:r>
        <w:rPr>
          <w:b/>
          <w:i w:val="0"/>
        </w:rPr>
        <w:t>duration and build quality</w:t>
      </w:r>
      <w:r>
        <w:rPr>
          <w:b w:val="0"/>
          <w:i w:val="0"/>
        </w:rPr>
        <w:t xml:space="preserve"> as inputs;</w:t>
      </w:r>
    </w:p>
    <w:p>
      <w:pPr>
        <w:pStyle w:val="ListBullet"/>
        <w:spacing w:after="60"/>
      </w:pPr>
      <w:r>
        <w:rPr>
          <w:b w:val="0"/>
          <w:i w:val="0"/>
        </w:rPr>
        <w:t xml:space="preserve">predicts a </w:t>
      </w:r>
      <w:r>
        <w:rPr>
          <w:b/>
          <w:i w:val="0"/>
        </w:rPr>
        <w:t>range</w:t>
      </w:r>
      <w:r>
        <w:rPr>
          <w:b w:val="0"/>
          <w:i w:val="0"/>
        </w:rPr>
        <w:t xml:space="preserve"> of damage, not just one number — which the Monte Carlo needs to estimate bad years;</w:t>
      </w:r>
    </w:p>
    <w:p>
      <w:pPr>
        <w:pStyle w:val="ListBullet"/>
        <w:spacing w:after="60"/>
      </w:pPr>
      <w:r>
        <w:rPr>
          <w:b w:val="0"/>
          <w:i w:val="0"/>
        </w:rPr>
        <w:t xml:space="preserve">can be </w:t>
      </w:r>
      <w:r>
        <w:rPr>
          <w:b/>
          <w:i w:val="0"/>
        </w:rPr>
        <w:t>retrained on real claims</w:t>
      </w:r>
      <w:r>
        <w:rPr>
          <w:b w:val="0"/>
          <w:i w:val="0"/>
        </w:rPr>
        <w:t xml:space="preserve"> the day Kenya Re or a cedant provides them, with no code changes.</w:t>
      </w:r>
    </w:p>
    <w:tbl>
      <w:tblPr>
        <w:tblW w:type="auto" w:w="0"/>
        <w:jc w:val="center"/>
        <w:tblLook w:firstColumn="1" w:firstRow="1" w:lastColumn="0" w:lastRow="0" w:noHBand="0" w:noVBand="1" w:val="04A0"/>
      </w:tblPr>
      <w:tblGrid>
        <w:gridCol w:w="9746"/>
      </w:tblGrid>
      <w:tr>
        <w:tc>
          <w:tcPr>
            <w:tcW w:type="dxa" w:w="9354"/>
            <w:shd w:val="clear" w:color="auto" w:fill="E6E8E8"/>
          </w:tcPr>
          <w:p>
            <w:r>
              <w:rPr>
                <w:b/>
                <w:i w:val="0"/>
                <w:color w:val="041D3B"/>
                <w:sz w:val="22"/>
              </w:rPr>
              <w:t>Honest framing (worth saying to judges)</w:t>
            </w:r>
          </w:p>
          <w:p>
            <w:pPr>
              <w:spacing w:after="40"/>
            </w:pPr>
            <w:r>
              <w:rPr>
                <w:b w:val="0"/>
                <w:i w:val="0"/>
                <w:sz w:val="21"/>
              </w:rPr>
              <w:t xml:space="preserve">No public Kenyan flood claims exist, so the model is trained on </w:t>
            </w:r>
            <w:r>
              <w:rPr>
                <w:b/>
                <w:i w:val="0"/>
                <w:sz w:val="21"/>
              </w:rPr>
              <w:t>synthetic</w:t>
            </w:r>
            <w:r>
              <w:rPr>
                <w:b w:val="0"/>
                <w:i w:val="0"/>
                <w:sz w:val="21"/>
              </w:rPr>
              <w:t xml:space="preserve"> claims built from the published curves plus documented assumptions. It therefore cannot discover patterns we did not put in; its value is that it combines the sources and effects properly, quantifies the uncertainty, and provides a calibration-ready pipeline for real data.</w:t>
            </w:r>
          </w:p>
        </w:tc>
      </w:tr>
    </w:tbl>
    <w:p>
      <w:pPr>
        <w:spacing w:after="40"/>
      </w:pPr>
    </w:p>
    <w:p>
      <w:pPr>
        <w:pStyle w:val="Heading1"/>
      </w:pPr>
      <w:r>
        <w:t>Part 4 — The training data: 30,000 pseudo-claims</w:t>
      </w:r>
    </w:p>
    <w:p>
      <w:pPr>
        <w:spacing w:after="120"/>
      </w:pPr>
      <w:r>
        <w:rPr>
          <w:b/>
          <w:i w:val="0"/>
        </w:rPr>
        <w:t>In plain words.</w:t>
      </w:r>
      <w:r>
        <w:rPr>
          <w:b w:val="0"/>
          <w:i w:val="0"/>
        </w:rPr>
        <w:t xml:space="preserve"> We simulated 30,000 loss-adjuster reports. Each one is a random building in a random flood. We first compute the damage we'd *expect* for it, then add realistic randomness to get the damage that was *“observed”* — exactly what a real claims file would contain.</w:t>
      </w:r>
    </w:p>
    <w:tbl>
      <w:tblPr>
        <w:tblStyle w:val="TableGrid"/>
        <w:tblW w:type="auto" w:w="0"/>
        <w:jc w:val="center"/>
        <w:tblLook w:firstColumn="1" w:firstRow="1" w:lastColumn="0" w:lastRow="0" w:noHBand="0" w:noVBand="1" w:val="04A0"/>
      </w:tblPr>
      <w:tblGrid>
        <w:gridCol w:w="3249"/>
        <w:gridCol w:w="3249"/>
        <w:gridCol w:w="3249"/>
      </w:tblGrid>
      <w:tr>
        <w:tc>
          <w:tcPr>
            <w:tcW w:type="dxa" w:w="1984"/>
            <w:shd w:val="clear" w:color="auto" w:fill="041D3B"/>
          </w:tcPr>
          <w:p>
            <w:r/>
            <w:r>
              <w:rPr>
                <w:b/>
                <w:i w:val="0"/>
                <w:color w:val="FFFFFF"/>
                <w:sz w:val="20"/>
              </w:rPr>
              <w:t>Ingredient</w:t>
            </w:r>
          </w:p>
        </w:tc>
        <w:tc>
          <w:tcPr>
            <w:tcW w:type="dxa" w:w="3969"/>
            <w:shd w:val="clear" w:color="auto" w:fill="041D3B"/>
          </w:tcPr>
          <w:p>
            <w:r/>
            <w:r>
              <w:rPr>
                <w:b/>
                <w:i w:val="0"/>
                <w:color w:val="FFFFFF"/>
                <w:sz w:val="20"/>
              </w:rPr>
              <w:t>How it is drawn</w:t>
            </w:r>
          </w:p>
        </w:tc>
        <w:tc>
          <w:tcPr>
            <w:tcW w:type="dxa" w:w="3402"/>
            <w:shd w:val="clear" w:color="auto" w:fill="041D3B"/>
          </w:tcPr>
          <w:p>
            <w:r/>
            <w:r>
              <w:rPr>
                <w:b/>
                <w:i w:val="0"/>
                <w:color w:val="FFFFFF"/>
                <w:sz w:val="20"/>
              </w:rPr>
              <w:t>Why</w:t>
            </w:r>
          </w:p>
        </w:tc>
      </w:tr>
      <w:tr>
        <w:tc>
          <w:tcPr>
            <w:tcW w:type="dxa" w:w="1984"/>
          </w:tcPr>
          <w:p>
            <w:pPr>
              <w:spacing w:after="20"/>
            </w:pPr>
            <w:r/>
            <w:r>
              <w:rPr>
                <w:b w:val="0"/>
                <w:i w:val="0"/>
                <w:sz w:val="20"/>
              </w:rPr>
              <w:t>Construction class</w:t>
            </w:r>
          </w:p>
        </w:tc>
        <w:tc>
          <w:tcPr>
            <w:tcW w:type="dxa" w:w="3969"/>
          </w:tcPr>
          <w:p>
            <w:pPr>
              <w:spacing w:after="20"/>
            </w:pPr>
            <w:r/>
            <w:r>
              <w:rPr>
                <w:b w:val="0"/>
                <w:i w:val="0"/>
                <w:sz w:val="20"/>
              </w:rPr>
              <w:t>Equal shares of the 4 classes</w:t>
            </w:r>
          </w:p>
        </w:tc>
        <w:tc>
          <w:tcPr>
            <w:tcW w:type="dxa" w:w="3402"/>
          </w:tcPr>
          <w:p>
            <w:pPr>
              <w:spacing w:after="20"/>
            </w:pPr>
            <w:r/>
            <w:r>
              <w:rPr>
                <w:b w:val="0"/>
                <w:i w:val="0"/>
                <w:sz w:val="20"/>
              </w:rPr>
              <w:t>Every class well represented, including rare RCC</w:t>
            </w:r>
          </w:p>
        </w:tc>
      </w:tr>
      <w:tr>
        <w:tc>
          <w:tcPr>
            <w:tcW w:type="dxa" w:w="1984"/>
          </w:tcPr>
          <w:p>
            <w:pPr>
              <w:spacing w:after="20"/>
            </w:pPr>
            <w:r/>
            <w:r>
              <w:rPr>
                <w:b w:val="0"/>
                <w:i w:val="0"/>
                <w:sz w:val="20"/>
              </w:rPr>
              <w:t>Depth</w:t>
            </w:r>
          </w:p>
        </w:tc>
        <w:tc>
          <w:tcPr>
            <w:tcW w:type="dxa" w:w="3969"/>
          </w:tcPr>
          <w:p>
            <w:pPr>
              <w:spacing w:after="20"/>
            </w:pPr>
            <w:r/>
            <w:r>
              <w:rPr>
                <w:b w:val="0"/>
                <w:i w:val="0"/>
                <w:sz w:val="20"/>
              </w:rPr>
              <w:t>70 % from a curve weighted to shallow water (mean 1.2 m), 30 % evenly 0–7 m; limited to 0.02–8 m</w:t>
            </w:r>
          </w:p>
        </w:tc>
        <w:tc>
          <w:tcPr>
            <w:tcW w:type="dxa" w:w="3402"/>
          </w:tcPr>
          <w:p>
            <w:pPr>
              <w:spacing w:after="20"/>
            </w:pPr>
            <w:r/>
            <w:r>
              <w:rPr>
                <w:b w:val="0"/>
                <w:i w:val="0"/>
                <w:sz w:val="20"/>
              </w:rPr>
              <w:t>Most real claims are shallow, but deep water must be covered too</w:t>
            </w:r>
          </w:p>
        </w:tc>
      </w:tr>
      <w:tr>
        <w:tc>
          <w:tcPr>
            <w:tcW w:type="dxa" w:w="1984"/>
          </w:tcPr>
          <w:p>
            <w:pPr>
              <w:spacing w:after="20"/>
            </w:pPr>
            <w:r/>
            <w:r>
              <w:rPr>
                <w:b w:val="0"/>
                <w:i w:val="0"/>
                <w:sz w:val="20"/>
              </w:rPr>
              <w:t>Duration</w:t>
            </w:r>
          </w:p>
        </w:tc>
        <w:tc>
          <w:tcPr>
            <w:tcW w:type="dxa" w:w="3969"/>
          </w:tcPr>
          <w:p>
            <w:pPr>
              <w:spacing w:after="20"/>
            </w:pPr>
            <w:r/>
            <w:r>
              <w:rPr>
                <w:b w:val="0"/>
                <w:i w:val="0"/>
                <w:sz w:val="20"/>
              </w:rPr>
              <w:t>Typically 7 days, ranging 1–45 days (lognormal)</w:t>
            </w:r>
          </w:p>
        </w:tc>
        <w:tc>
          <w:tcPr>
            <w:tcW w:type="dxa" w:w="3402"/>
          </w:tcPr>
          <w:p>
            <w:pPr>
              <w:spacing w:after="20"/>
            </w:pPr>
            <w:r/>
            <w:r>
              <w:rPr>
                <w:b w:val="0"/>
                <w:i w:val="0"/>
                <w:sz w:val="20"/>
              </w:rPr>
              <w:t>Budalangi floods stand for days to weeks</w:t>
            </w:r>
          </w:p>
        </w:tc>
      </w:tr>
      <w:tr>
        <w:tc>
          <w:tcPr>
            <w:tcW w:type="dxa" w:w="1984"/>
          </w:tcPr>
          <w:p>
            <w:pPr>
              <w:spacing w:after="20"/>
            </w:pPr>
            <w:r/>
            <w:r>
              <w:rPr>
                <w:b w:val="0"/>
                <w:i w:val="0"/>
                <w:sz w:val="20"/>
              </w:rPr>
              <w:t>Build quality</w:t>
            </w:r>
          </w:p>
        </w:tc>
        <w:tc>
          <w:tcPr>
            <w:tcW w:type="dxa" w:w="3969"/>
          </w:tcPr>
          <w:p>
            <w:pPr>
              <w:spacing w:after="20"/>
            </w:pPr>
            <w:r/>
            <w:r>
              <w:rPr>
                <w:b w:val="0"/>
                <w:i w:val="0"/>
                <w:sz w:val="20"/>
              </w:rPr>
              <w:t>Evenly 0–1</w:t>
            </w:r>
          </w:p>
        </w:tc>
        <w:tc>
          <w:tcPr>
            <w:tcW w:type="dxa" w:w="3402"/>
          </w:tcPr>
          <w:p>
            <w:pPr>
              <w:spacing w:after="20"/>
            </w:pPr>
            <w:r/>
            <w:r>
              <w:rPr>
                <w:b w:val="0"/>
                <w:i w:val="0"/>
                <w:sz w:val="20"/>
              </w:rPr>
              <w:t>Full range from poor to excellent</w:t>
            </w:r>
          </w:p>
        </w:tc>
      </w:tr>
      <w:tr>
        <w:tc>
          <w:tcPr>
            <w:tcW w:type="dxa" w:w="1984"/>
          </w:tcPr>
          <w:p>
            <w:pPr>
              <w:spacing w:after="20"/>
            </w:pPr>
            <w:r/>
            <w:r>
              <w:rPr>
                <w:b w:val="0"/>
                <w:i w:val="0"/>
                <w:sz w:val="20"/>
              </w:rPr>
              <w:t>Which published curve</w:t>
            </w:r>
          </w:p>
        </w:tc>
        <w:tc>
          <w:tcPr>
            <w:tcW w:type="dxa" w:w="3969"/>
          </w:tcPr>
          <w:p>
            <w:pPr>
              <w:spacing w:after="20"/>
            </w:pPr>
            <w:r/>
            <w:r>
              <w:rPr>
                <w:b w:val="0"/>
                <w:i w:val="0"/>
                <w:sz w:val="20"/>
              </w:rPr>
              <w:t>Africa 70 % of claims, Global 30 %</w:t>
            </w:r>
          </w:p>
        </w:tc>
        <w:tc>
          <w:tcPr>
            <w:tcW w:type="dxa" w:w="3402"/>
          </w:tcPr>
          <w:p>
            <w:pPr>
              <w:spacing w:after="20"/>
            </w:pPr>
            <w:r/>
            <w:r>
              <w:rPr>
                <w:b w:val="0"/>
                <w:i w:val="0"/>
                <w:sz w:val="20"/>
              </w:rPr>
              <w:t>So the model learns the spread between sources</w:t>
            </w:r>
          </w:p>
        </w:tc>
      </w:tr>
    </w:tbl>
    <w:p>
      <w:pPr>
        <w:spacing w:after="40"/>
      </w:pPr>
    </w:p>
    <w:p>
      <w:pPr>
        <w:spacing w:after="120"/>
      </w:pPr>
      <w:r>
        <w:rPr>
          <w:b w:val="0"/>
          <w:i w:val="0"/>
        </w:rPr>
        <w:t>For each claim:</w:t>
      </w:r>
    </w:p>
    <w:tbl>
      <w:tblPr>
        <w:tblW w:type="auto" w:w="0"/>
        <w:jc w:val="center"/>
        <w:tblLook w:firstColumn="1" w:firstRow="1" w:lastColumn="0" w:lastRow="0" w:noHBand="0" w:noVBand="1" w:val="04A0"/>
      </w:tblPr>
      <w:tblGrid>
        <w:gridCol w:w="9746"/>
      </w:tblGrid>
      <w:tr>
        <w:tc>
          <w:tcPr>
            <w:tcW w:type="dxa" w:w="9354"/>
            <w:shd w:val="clear" w:color="auto" w:fill="F2F3F3"/>
          </w:tcPr>
          <w:p>
            <w:pPr>
              <w:spacing w:after="0"/>
            </w:pPr>
            <w:r>
              <w:rPr>
                <w:rFonts w:ascii="Consolas" w:hAnsi="Consolas"/>
                <w:b w:val="0"/>
                <w:i w:val="0"/>
                <w:sz w:val="19"/>
              </w:rPr>
              <w:t>expected damage μ = adapted curve(class, depth, source)</w:t>
            </w:r>
          </w:p>
          <w:p>
            <w:pPr>
              <w:spacing w:after="0"/>
            </w:pPr>
            <w:r>
              <w:rPr>
                <w:rFonts w:ascii="Consolas" w:hAnsi="Consolas"/>
                <w:b w:val="0"/>
                <w:i w:val="0"/>
                <w:sz w:val="19"/>
              </w:rPr>
              <w:t xml:space="preserve">                    × duration effect   (1 + k_dur · ln(duration / 7))</w:t>
            </w:r>
          </w:p>
          <w:p>
            <w:pPr>
              <w:spacing w:after="0"/>
            </w:pPr>
            <w:r>
              <w:rPr>
                <w:rFonts w:ascii="Consolas" w:hAnsi="Consolas"/>
                <w:b w:val="0"/>
                <w:i w:val="0"/>
                <w:sz w:val="19"/>
              </w:rPr>
              <w:t xml:space="preserve">                    × quality effect    (1 − k_q · (quality − 0.5))</w:t>
            </w:r>
          </w:p>
          <w:p>
            <w:pPr>
              <w:spacing w:after="0"/>
            </w:pPr>
            <w:r>
              <w:rPr>
                <w:rFonts w:ascii="Consolas" w:hAnsi="Consolas"/>
                <w:b w:val="0"/>
                <w:i w:val="0"/>
                <w:sz w:val="19"/>
              </w:rPr>
              <w:t xml:space="preserve">                    capped at the class ceiling</w:t>
            </w:r>
          </w:p>
          <w:p>
            <w:pPr>
              <w:spacing w:after="0"/>
            </w:pPr>
            <w:r>
              <w:rPr>
                <w:rFonts w:ascii="Consolas" w:hAnsi="Consolas"/>
                <w:b w:val="0"/>
                <w:i w:val="0"/>
                <w:sz w:val="19"/>
              </w:rPr>
              <w:t>observed damage   = random draw from a Beta distribution centred on μ   (realistic scatter)</w:t>
            </w:r>
          </w:p>
          <w:p>
            <w:pPr>
              <w:spacing w:after="0"/>
            </w:pPr>
            <w:r>
              <w:rPr>
                <w:rFonts w:ascii="Consolas" w:hAnsi="Consolas"/>
                <w:b w:val="0"/>
                <w:i w:val="0"/>
                <w:sz w:val="19"/>
              </w:rPr>
              <w:t xml:space="preserve">                    or exactly 0 with probability 0.5·e^(−depth/0.2)    (shallow water often causes no claim)</w:t>
            </w:r>
          </w:p>
        </w:tc>
      </w:tr>
    </w:tbl>
    <w:p>
      <w:pPr>
        <w:spacing w:after="40"/>
      </w:pPr>
    </w:p>
    <w:p>
      <w:pPr>
        <w:spacing w:after="120"/>
      </w:pPr>
      <w:r>
        <w:rPr>
          <w:b w:val="0"/>
          <w:i w:val="0"/>
        </w:rPr>
        <w:t xml:space="preserve">The file `outputs/pseudo_claims_synthetic.csv` keeps both columns: </w:t>
      </w:r>
      <w:r>
        <w:rPr>
          <w:b/>
          <w:i w:val="0"/>
        </w:rPr>
        <w:t>`expected_dr`</w:t>
      </w:r>
      <w:r>
        <w:rPr>
          <w:b w:val="0"/>
          <w:i w:val="0"/>
        </w:rPr>
        <w:t xml:space="preserve"> (the true average, μ) and </w:t>
      </w:r>
      <w:r>
        <w:rPr>
          <w:b/>
          <w:i w:val="0"/>
        </w:rPr>
        <w:t>`damage_ratio`</w:t>
      </w:r>
      <w:r>
        <w:rPr>
          <w:b w:val="0"/>
          <w:i w:val="0"/>
        </w:rPr>
        <w:t xml:space="preserve"> (the noisy observed value). The model is trained </w:t>
      </w:r>
      <w:r>
        <w:rPr>
          <w:b/>
          <w:i w:val="0"/>
        </w:rPr>
        <w:t>only on `damage_ratio`</w:t>
      </w:r>
      <w:r>
        <w:rPr>
          <w:b w:val="0"/>
          <w:i w:val="0"/>
        </w:rPr>
        <w:t xml:space="preserve"> — as it would be with real claims. `expected_dr` is kept so we can measure how close the model gets to the truth.</w:t>
      </w:r>
    </w:p>
    <w:p>
      <w:pPr>
        <w:spacing w:after="120"/>
      </w:pPr>
      <w:r>
        <w:rPr>
          <w:b w:val="0"/>
          <w:i w:val="0"/>
        </w:rPr>
        <w:t>Example: a semi-permanent house, 1 m of water, 7 days, average quality, Africa curve → expected damage ≈ 0.37. The observed claim might come out as 0.29, 0.44 or 0.35 — just like real adjusters' figures for similar houses.</w:t>
      </w:r>
    </w:p>
    <w:p>
      <w:pPr>
        <w:pStyle w:val="Heading1"/>
      </w:pPr>
      <w:r>
        <w:t>Part 5 — What a gradient-boosted tree model is</w:t>
      </w:r>
    </w:p>
    <w:p>
      <w:pPr>
        <w:pStyle w:val="Heading2"/>
      </w:pPr>
      <w:r>
        <w:t>5.1 One decision tree</w:t>
      </w:r>
    </w:p>
    <w:p>
      <w:pPr>
        <w:spacing w:after="120"/>
      </w:pPr>
      <w:r>
        <w:rPr>
          <w:b w:val="0"/>
          <w:i w:val="0"/>
        </w:rPr>
        <w:t xml:space="preserve">A </w:t>
      </w:r>
      <w:r>
        <w:rPr>
          <w:b/>
          <w:i w:val="0"/>
        </w:rPr>
        <w:t>decision tree</w:t>
      </w:r>
      <w:r>
        <w:rPr>
          <w:b w:val="0"/>
          <w:i w:val="0"/>
        </w:rPr>
        <w:t xml:space="preserve"> is a game of twenty questions. “Is the depth above 0.8 m? Yes. Is the class informal? No. Is the flood longer than 10 days? Yes. → predict 47 % damage.” Each final answer is the average damage of the training claims that ended up in that branch.</w:t>
      </w:r>
    </w:p>
    <w:p>
      <w:pPr>
        <w:pStyle w:val="Heading2"/>
      </w:pPr>
      <w:r>
        <w:t>5.2 Many trees, each fixing the last one's mistakes (boosting)</w:t>
      </w:r>
    </w:p>
    <w:p>
      <w:pPr>
        <w:spacing w:after="120"/>
      </w:pPr>
      <w:r>
        <w:rPr>
          <w:b w:val="0"/>
          <w:i w:val="0"/>
        </w:rPr>
        <w:t xml:space="preserve">One tree is crude. </w:t>
      </w:r>
      <w:r>
        <w:rPr>
          <w:b/>
          <w:i w:val="0"/>
        </w:rPr>
        <w:t>Gradient boosting</w:t>
      </w:r>
      <w:r>
        <w:rPr>
          <w:b w:val="0"/>
          <w:i w:val="0"/>
        </w:rPr>
        <w:t xml:space="preserve"> builds hundreds of small trees in sequence. The first makes a rough guess; the second is trained on the first one's errors and corrects them a little; the third corrects what is still wrong, and so on. The final prediction is the sum of all the small corrections. Each step is deliberately small (a “learning rate” of 0.05) so the model improves gradually and does not memorise noise.</w:t>
      </w:r>
    </w:p>
    <w:p>
      <w:pPr>
        <w:pStyle w:val="Heading2"/>
      </w:pPr>
      <w:r>
        <w:t>5.3 Teaching it physics: monotonic constraints</w:t>
      </w:r>
    </w:p>
    <w:p>
      <w:pPr>
        <w:spacing w:after="120"/>
      </w:pPr>
      <w:r>
        <w:rPr>
          <w:b w:val="0"/>
          <w:i w:val="0"/>
        </w:rPr>
        <w:t>We forced the model to respect common sense, whatever the data noise suggests:</w:t>
      </w:r>
    </w:p>
    <w:tbl>
      <w:tblPr>
        <w:tblStyle w:val="TableGrid"/>
        <w:tblW w:type="auto" w:w="0"/>
        <w:jc w:val="center"/>
        <w:tblLook w:firstColumn="1" w:firstRow="1" w:lastColumn="0" w:lastRow="0" w:noHBand="0" w:noVBand="1" w:val="04A0"/>
      </w:tblPr>
      <w:tblGrid>
        <w:gridCol w:w="3249"/>
        <w:gridCol w:w="3249"/>
        <w:gridCol w:w="3249"/>
      </w:tblGrid>
      <w:tr>
        <w:tc>
          <w:tcPr>
            <w:tcW w:type="dxa" w:w="1984"/>
            <w:shd w:val="clear" w:color="auto" w:fill="041D3B"/>
          </w:tcPr>
          <w:p>
            <w:r/>
            <w:r>
              <w:rPr>
                <w:b/>
                <w:i w:val="0"/>
                <w:color w:val="FFFFFF"/>
                <w:sz w:val="20"/>
              </w:rPr>
              <w:t>Input</w:t>
            </w:r>
          </w:p>
        </w:tc>
        <w:tc>
          <w:tcPr>
            <w:tcW w:type="dxa" w:w="2835"/>
            <w:shd w:val="clear" w:color="auto" w:fill="041D3B"/>
          </w:tcPr>
          <w:p>
            <w:r/>
            <w:r>
              <w:rPr>
                <w:b/>
                <w:i w:val="0"/>
                <w:color w:val="FFFFFF"/>
                <w:sz w:val="20"/>
              </w:rPr>
              <w:t>Constraint</w:t>
            </w:r>
          </w:p>
        </w:tc>
        <w:tc>
          <w:tcPr>
            <w:tcW w:type="dxa" w:w="4535"/>
            <w:shd w:val="clear" w:color="auto" w:fill="041D3B"/>
          </w:tcPr>
          <w:p>
            <w:r/>
            <w:r>
              <w:rPr>
                <w:b/>
                <w:i w:val="0"/>
                <w:color w:val="FFFFFF"/>
                <w:sz w:val="20"/>
              </w:rPr>
              <w:t>Meaning</w:t>
            </w:r>
          </w:p>
        </w:tc>
      </w:tr>
      <w:tr>
        <w:tc>
          <w:tcPr>
            <w:tcW w:type="dxa" w:w="1984"/>
          </w:tcPr>
          <w:p>
            <w:pPr>
              <w:spacing w:after="20"/>
            </w:pPr>
            <w:r/>
            <w:r>
              <w:rPr>
                <w:b w:val="0"/>
                <w:i w:val="0"/>
                <w:sz w:val="20"/>
              </w:rPr>
              <w:t>Flood depth</w:t>
            </w:r>
          </w:p>
        </w:tc>
        <w:tc>
          <w:tcPr>
            <w:tcW w:type="dxa" w:w="2835"/>
          </w:tcPr>
          <w:p>
            <w:pPr>
              <w:spacing w:after="20"/>
            </w:pPr>
            <w:r/>
            <w:r>
              <w:rPr>
                <w:b w:val="0"/>
                <w:i w:val="0"/>
                <w:sz w:val="20"/>
              </w:rPr>
              <w:t>can only increase damage</w:t>
            </w:r>
          </w:p>
        </w:tc>
        <w:tc>
          <w:tcPr>
            <w:tcW w:type="dxa" w:w="4535"/>
          </w:tcPr>
          <w:p>
            <w:pPr>
              <w:spacing w:after="20"/>
            </w:pPr>
            <w:r/>
            <w:r>
              <w:rPr>
                <w:b w:val="0"/>
                <w:i w:val="0"/>
                <w:sz w:val="20"/>
              </w:rPr>
              <w:t>Deeper water never means less damage</w:t>
            </w:r>
          </w:p>
        </w:tc>
      </w:tr>
      <w:tr>
        <w:tc>
          <w:tcPr>
            <w:tcW w:type="dxa" w:w="1984"/>
          </w:tcPr>
          <w:p>
            <w:pPr>
              <w:spacing w:after="20"/>
            </w:pPr>
            <w:r/>
            <w:r>
              <w:rPr>
                <w:b w:val="0"/>
                <w:i w:val="0"/>
                <w:sz w:val="20"/>
              </w:rPr>
              <w:t>Flood duration</w:t>
            </w:r>
          </w:p>
        </w:tc>
        <w:tc>
          <w:tcPr>
            <w:tcW w:type="dxa" w:w="2835"/>
          </w:tcPr>
          <w:p>
            <w:pPr>
              <w:spacing w:after="20"/>
            </w:pPr>
            <w:r/>
            <w:r>
              <w:rPr>
                <w:b w:val="0"/>
                <w:i w:val="0"/>
                <w:sz w:val="20"/>
              </w:rPr>
              <w:t>can only increase damage</w:t>
            </w:r>
          </w:p>
        </w:tc>
        <w:tc>
          <w:tcPr>
            <w:tcW w:type="dxa" w:w="4535"/>
          </w:tcPr>
          <w:p>
            <w:pPr>
              <w:spacing w:after="20"/>
            </w:pPr>
            <w:r/>
            <w:r>
              <w:rPr>
                <w:b w:val="0"/>
                <w:i w:val="0"/>
                <w:sz w:val="20"/>
              </w:rPr>
              <w:t>A longer flood never means less damage</w:t>
            </w:r>
          </w:p>
        </w:tc>
      </w:tr>
      <w:tr>
        <w:tc>
          <w:tcPr>
            <w:tcW w:type="dxa" w:w="1984"/>
          </w:tcPr>
          <w:p>
            <w:pPr>
              <w:spacing w:after="20"/>
            </w:pPr>
            <w:r/>
            <w:r>
              <w:rPr>
                <w:b w:val="0"/>
                <w:i w:val="0"/>
                <w:sz w:val="20"/>
              </w:rPr>
              <w:t>Build quality</w:t>
            </w:r>
          </w:p>
        </w:tc>
        <w:tc>
          <w:tcPr>
            <w:tcW w:type="dxa" w:w="2835"/>
          </w:tcPr>
          <w:p>
            <w:pPr>
              <w:spacing w:after="20"/>
            </w:pPr>
            <w:r/>
            <w:r>
              <w:rPr>
                <w:b w:val="0"/>
                <w:i w:val="0"/>
                <w:sz w:val="20"/>
              </w:rPr>
              <w:t>can only decrease damage</w:t>
            </w:r>
          </w:p>
        </w:tc>
        <w:tc>
          <w:tcPr>
            <w:tcW w:type="dxa" w:w="4535"/>
          </w:tcPr>
          <w:p>
            <w:pPr>
              <w:spacing w:after="20"/>
            </w:pPr>
            <w:r/>
            <w:r>
              <w:rPr>
                <w:b w:val="0"/>
                <w:i w:val="0"/>
                <w:sz w:val="20"/>
              </w:rPr>
              <w:t>Better construction never means more damage</w:t>
            </w:r>
          </w:p>
        </w:tc>
      </w:tr>
      <w:tr>
        <w:tc>
          <w:tcPr>
            <w:tcW w:type="dxa" w:w="1984"/>
          </w:tcPr>
          <w:p>
            <w:pPr>
              <w:spacing w:after="20"/>
            </w:pPr>
            <w:r/>
            <w:r>
              <w:rPr>
                <w:b w:val="0"/>
                <w:i w:val="0"/>
                <w:sz w:val="20"/>
              </w:rPr>
              <w:t>Construction class</w:t>
            </w:r>
          </w:p>
        </w:tc>
        <w:tc>
          <w:tcPr>
            <w:tcW w:type="dxa" w:w="2835"/>
          </w:tcPr>
          <w:p>
            <w:pPr>
              <w:spacing w:after="20"/>
            </w:pPr>
            <w:r/>
            <w:r>
              <w:rPr>
                <w:b w:val="0"/>
                <w:i w:val="0"/>
                <w:sz w:val="20"/>
              </w:rPr>
              <w:t>no constraint (category)</w:t>
            </w:r>
          </w:p>
        </w:tc>
        <w:tc>
          <w:tcPr>
            <w:tcW w:type="dxa" w:w="4535"/>
          </w:tcPr>
          <w:p>
            <w:pPr>
              <w:spacing w:after="20"/>
            </w:pPr>
            <w:r/>
            <w:r>
              <w:rPr>
                <w:b w:val="0"/>
                <w:i w:val="0"/>
                <w:sz w:val="20"/>
              </w:rPr>
              <w:t>Each class learns its own curve</w:t>
            </w:r>
          </w:p>
        </w:tc>
      </w:tr>
    </w:tbl>
    <w:p>
      <w:pPr>
        <w:spacing w:after="40"/>
      </w:pPr>
    </w:p>
    <w:p>
      <w:pPr>
        <w:spacing w:after="120"/>
      </w:pPr>
      <w:r>
        <w:rPr>
          <w:b w:val="0"/>
          <w:i w:val="0"/>
        </w:rPr>
        <w:t>This makes the model safe to put in front of underwriters: it can never produce a nonsensical result such as “raising the floor increases the loss”.</w:t>
      </w:r>
    </w:p>
    <w:p>
      <w:pPr>
        <w:pStyle w:val="Heading2"/>
      </w:pPr>
      <w:r>
        <w:t>5.4 The exact tool</w:t>
      </w:r>
    </w:p>
    <w:p>
      <w:pPr>
        <w:spacing w:after="120"/>
      </w:pPr>
      <w:r>
        <w:rPr>
          <w:b w:val="0"/>
          <w:i w:val="0"/>
        </w:rPr>
        <w:t xml:space="preserve">scikit-learn's </w:t>
      </w:r>
      <w:r>
        <w:rPr>
          <w:b/>
          <w:i w:val="0"/>
        </w:rPr>
        <w:t>HistGradientBoostingRegressor</w:t>
      </w:r>
      <w:r>
        <w:rPr>
          <w:b w:val="0"/>
          <w:i w:val="0"/>
        </w:rPr>
        <w:t xml:space="preserve"> — a fast, well-tested implementation of gradient boosting that natively supports categories (the class) and monotonic constraints. Inputs: class, depth, duration, quality.</w:t>
      </w:r>
    </w:p>
    <w:p>
      <w:pPr>
        <w:pStyle w:val="Heading1"/>
      </w:pPr>
      <w:r>
        <w:t>Part 6 — The mean model and the quantile models</w:t>
      </w:r>
    </w:p>
    <w:p>
      <w:pPr>
        <w:spacing w:after="120"/>
      </w:pPr>
      <w:r>
        <w:rPr>
          <w:b w:val="0"/>
          <w:i w:val="0"/>
        </w:rPr>
        <w:t xml:space="preserve">This is the part that is most often confusing, so we take it slowly. We train the </w:t>
      </w:r>
      <w:r>
        <w:rPr>
          <w:b/>
          <w:i w:val="0"/>
        </w:rPr>
        <w:t>same kind of model six times on the same data</w:t>
      </w:r>
      <w:r>
        <w:rPr>
          <w:b w:val="0"/>
          <w:i w:val="0"/>
        </w:rPr>
        <w:t xml:space="preserve">. The only thing that changes is </w:t>
      </w:r>
      <w:r>
        <w:rPr>
          <w:b/>
          <w:i w:val="0"/>
        </w:rPr>
        <w:t>what each one is asked to aim for</w:t>
      </w:r>
      <w:r>
        <w:rPr>
          <w:b w:val="0"/>
          <w:i w:val="0"/>
        </w:rPr>
        <w:t>.</w:t>
      </w:r>
    </w:p>
    <w:p>
      <w:pPr>
        <w:pStyle w:val="Heading2"/>
      </w:pPr>
      <w:r>
        <w:t>6.1 An analogy: a commute</w:t>
      </w:r>
    </w:p>
    <w:p>
      <w:pPr>
        <w:spacing w:after="120"/>
      </w:pPr>
      <w:r>
        <w:rPr>
          <w:b w:val="0"/>
          <w:i w:val="0"/>
        </w:rPr>
        <w:t>Ask a colleague how long their commute takes. They might say: “</w:t>
      </w:r>
      <w:r>
        <w:rPr>
          <w:b/>
          <w:i w:val="0"/>
        </w:rPr>
        <w:t>On average 40 minutes.</w:t>
      </w:r>
      <w:r>
        <w:rPr>
          <w:b w:val="0"/>
          <w:i w:val="0"/>
        </w:rPr>
        <w:t xml:space="preserve"> Half the time it's under 38. On a good day 25, on a bad day 55, and once in a while — an accident, heavy rain — over 70.” Each of those numbers answers a different question about the same journey:</w:t>
      </w:r>
    </w:p>
    <w:tbl>
      <w:tblPr>
        <w:tblStyle w:val="TableGrid"/>
        <w:tblW w:type="auto" w:w="0"/>
        <w:jc w:val="center"/>
        <w:tblLook w:firstColumn="1" w:firstRow="1" w:lastColumn="0" w:lastRow="0" w:noHBand="0" w:noVBand="1" w:val="04A0"/>
      </w:tblPr>
      <w:tblGrid>
        <w:gridCol w:w="3249"/>
        <w:gridCol w:w="3249"/>
        <w:gridCol w:w="3249"/>
      </w:tblGrid>
      <w:tr>
        <w:tc>
          <w:tcPr>
            <w:tcW w:type="dxa" w:w="3118"/>
            <w:shd w:val="clear" w:color="auto" w:fill="041D3B"/>
          </w:tcPr>
          <w:p>
            <w:r/>
            <w:r>
              <w:rPr>
                <w:b/>
                <w:i w:val="0"/>
                <w:color w:val="FFFFFF"/>
                <w:sz w:val="20"/>
              </w:rPr>
              <w:t>Statement</w:t>
            </w:r>
          </w:p>
        </w:tc>
        <w:tc>
          <w:tcPr>
            <w:tcW w:type="dxa" w:w="2835"/>
            <w:shd w:val="clear" w:color="auto" w:fill="041D3B"/>
          </w:tcPr>
          <w:p>
            <w:r/>
            <w:r>
              <w:rPr>
                <w:b/>
                <w:i w:val="0"/>
                <w:color w:val="FFFFFF"/>
                <w:sz w:val="20"/>
              </w:rPr>
              <w:t>Statistical name</w:t>
            </w:r>
          </w:p>
        </w:tc>
        <w:tc>
          <w:tcPr>
            <w:tcW w:type="dxa" w:w="3402"/>
            <w:shd w:val="clear" w:color="auto" w:fill="041D3B"/>
          </w:tcPr>
          <w:p>
            <w:r/>
            <w:r>
              <w:rPr>
                <w:b/>
                <w:i w:val="0"/>
                <w:color w:val="FFFFFF"/>
                <w:sz w:val="20"/>
              </w:rPr>
              <w:t>Our equivalent</w:t>
            </w:r>
          </w:p>
        </w:tc>
      </w:tr>
      <w:tr>
        <w:tc>
          <w:tcPr>
            <w:tcW w:type="dxa" w:w="3118"/>
          </w:tcPr>
          <w:p>
            <w:pPr>
              <w:spacing w:after="20"/>
            </w:pPr>
            <w:r/>
            <w:r>
              <w:rPr>
                <w:b w:val="0"/>
                <w:i w:val="0"/>
                <w:sz w:val="20"/>
              </w:rPr>
              <w:t>“On average 40 minutes”</w:t>
            </w:r>
          </w:p>
        </w:tc>
        <w:tc>
          <w:tcPr>
            <w:tcW w:type="dxa" w:w="2835"/>
          </w:tcPr>
          <w:p>
            <w:pPr>
              <w:spacing w:after="20"/>
            </w:pPr>
            <w:r/>
            <w:r>
              <w:rPr>
                <w:b w:val="0"/>
                <w:i w:val="0"/>
                <w:sz w:val="20"/>
              </w:rPr>
              <w:t>Mean</w:t>
            </w:r>
          </w:p>
        </w:tc>
        <w:tc>
          <w:tcPr>
            <w:tcW w:type="dxa" w:w="3402"/>
          </w:tcPr>
          <w:p>
            <w:pPr>
              <w:spacing w:after="20"/>
            </w:pPr>
            <w:r/>
            <w:r>
              <w:rPr>
                <w:b w:val="0"/>
                <w:i w:val="0"/>
                <w:sz w:val="20"/>
              </w:rPr>
              <w:t>Mean model</w:t>
            </w:r>
          </w:p>
        </w:tc>
      </w:tr>
      <w:tr>
        <w:tc>
          <w:tcPr>
            <w:tcW w:type="dxa" w:w="3118"/>
          </w:tcPr>
          <w:p>
            <w:pPr>
              <w:spacing w:after="20"/>
            </w:pPr>
            <w:r/>
            <w:r>
              <w:rPr>
                <w:b w:val="0"/>
                <w:i w:val="0"/>
                <w:sz w:val="20"/>
              </w:rPr>
              <w:t>“1 day in 20 it's under 25”</w:t>
            </w:r>
          </w:p>
        </w:tc>
        <w:tc>
          <w:tcPr>
            <w:tcW w:type="dxa" w:w="2835"/>
          </w:tcPr>
          <w:p>
            <w:pPr>
              <w:spacing w:after="20"/>
            </w:pPr>
            <w:r/>
            <w:r>
              <w:rPr>
                <w:b w:val="0"/>
                <w:i w:val="0"/>
                <w:sz w:val="20"/>
              </w:rPr>
              <w:t>5th percentile (q05)</w:t>
            </w:r>
          </w:p>
        </w:tc>
        <w:tc>
          <w:tcPr>
            <w:tcW w:type="dxa" w:w="3402"/>
          </w:tcPr>
          <w:p>
            <w:pPr>
              <w:spacing w:after="20"/>
            </w:pPr>
            <w:r/>
            <w:r>
              <w:rPr>
                <w:b w:val="0"/>
                <w:i w:val="0"/>
                <w:sz w:val="20"/>
              </w:rPr>
              <w:t>q05 model</w:t>
            </w:r>
          </w:p>
        </w:tc>
      </w:tr>
      <w:tr>
        <w:tc>
          <w:tcPr>
            <w:tcW w:type="dxa" w:w="3118"/>
          </w:tcPr>
          <w:p>
            <w:pPr>
              <w:spacing w:after="20"/>
            </w:pPr>
            <w:r/>
            <w:r>
              <w:rPr>
                <w:b w:val="0"/>
                <w:i w:val="0"/>
                <w:sz w:val="20"/>
              </w:rPr>
              <w:t>“1 day in 4 it's under 31”</w:t>
            </w:r>
          </w:p>
        </w:tc>
        <w:tc>
          <w:tcPr>
            <w:tcW w:type="dxa" w:w="2835"/>
          </w:tcPr>
          <w:p>
            <w:pPr>
              <w:spacing w:after="20"/>
            </w:pPr>
            <w:r/>
            <w:r>
              <w:rPr>
                <w:b w:val="0"/>
                <w:i w:val="0"/>
                <w:sz w:val="20"/>
              </w:rPr>
              <w:t>25th percentile (q25)</w:t>
            </w:r>
          </w:p>
        </w:tc>
        <w:tc>
          <w:tcPr>
            <w:tcW w:type="dxa" w:w="3402"/>
          </w:tcPr>
          <w:p>
            <w:pPr>
              <w:spacing w:after="20"/>
            </w:pPr>
            <w:r/>
            <w:r>
              <w:rPr>
                <w:b w:val="0"/>
                <w:i w:val="0"/>
                <w:sz w:val="20"/>
              </w:rPr>
              <w:t>q25 model</w:t>
            </w:r>
          </w:p>
        </w:tc>
      </w:tr>
      <w:tr>
        <w:tc>
          <w:tcPr>
            <w:tcW w:type="dxa" w:w="3118"/>
          </w:tcPr>
          <w:p>
            <w:pPr>
              <w:spacing w:after="20"/>
            </w:pPr>
            <w:r/>
            <w:r>
              <w:rPr>
                <w:b w:val="0"/>
                <w:i w:val="0"/>
                <w:sz w:val="20"/>
              </w:rPr>
              <w:t>“Half the time under 38”</w:t>
            </w:r>
          </w:p>
        </w:tc>
        <w:tc>
          <w:tcPr>
            <w:tcW w:type="dxa" w:w="2835"/>
          </w:tcPr>
          <w:p>
            <w:pPr>
              <w:spacing w:after="20"/>
            </w:pPr>
            <w:r/>
            <w:r>
              <w:rPr>
                <w:b w:val="0"/>
                <w:i w:val="0"/>
                <w:sz w:val="20"/>
              </w:rPr>
              <w:t>Median, 50th percentile (q50)</w:t>
            </w:r>
          </w:p>
        </w:tc>
        <w:tc>
          <w:tcPr>
            <w:tcW w:type="dxa" w:w="3402"/>
          </w:tcPr>
          <w:p>
            <w:pPr>
              <w:spacing w:after="20"/>
            </w:pPr>
            <w:r/>
            <w:r>
              <w:rPr>
                <w:b w:val="0"/>
                <w:i w:val="0"/>
                <w:sz w:val="20"/>
              </w:rPr>
              <w:t>q50 model</w:t>
            </w:r>
          </w:p>
        </w:tc>
      </w:tr>
      <w:tr>
        <w:tc>
          <w:tcPr>
            <w:tcW w:type="dxa" w:w="3118"/>
          </w:tcPr>
          <w:p>
            <w:pPr>
              <w:spacing w:after="20"/>
            </w:pPr>
            <w:r/>
            <w:r>
              <w:rPr>
                <w:b w:val="0"/>
                <w:i w:val="0"/>
                <w:sz w:val="20"/>
              </w:rPr>
              <w:t>“3 days in 4 it's under 48”</w:t>
            </w:r>
          </w:p>
        </w:tc>
        <w:tc>
          <w:tcPr>
            <w:tcW w:type="dxa" w:w="2835"/>
          </w:tcPr>
          <w:p>
            <w:pPr>
              <w:spacing w:after="20"/>
            </w:pPr>
            <w:r/>
            <w:r>
              <w:rPr>
                <w:b w:val="0"/>
                <w:i w:val="0"/>
                <w:sz w:val="20"/>
              </w:rPr>
              <w:t>75th percentile (q75)</w:t>
            </w:r>
          </w:p>
        </w:tc>
        <w:tc>
          <w:tcPr>
            <w:tcW w:type="dxa" w:w="3402"/>
          </w:tcPr>
          <w:p>
            <w:pPr>
              <w:spacing w:after="20"/>
            </w:pPr>
            <w:r/>
            <w:r>
              <w:rPr>
                <w:b w:val="0"/>
                <w:i w:val="0"/>
                <w:sz w:val="20"/>
              </w:rPr>
              <w:t>q75 model</w:t>
            </w:r>
          </w:p>
        </w:tc>
      </w:tr>
      <w:tr>
        <w:tc>
          <w:tcPr>
            <w:tcW w:type="dxa" w:w="3118"/>
          </w:tcPr>
          <w:p>
            <w:pPr>
              <w:spacing w:after="20"/>
            </w:pPr>
            <w:r/>
            <w:r>
              <w:rPr>
                <w:b w:val="0"/>
                <w:i w:val="0"/>
                <w:sz w:val="20"/>
              </w:rPr>
              <w:t>“19 days in 20 it's under 70”</w:t>
            </w:r>
          </w:p>
        </w:tc>
        <w:tc>
          <w:tcPr>
            <w:tcW w:type="dxa" w:w="2835"/>
          </w:tcPr>
          <w:p>
            <w:pPr>
              <w:spacing w:after="20"/>
            </w:pPr>
            <w:r/>
            <w:r>
              <w:rPr>
                <w:b w:val="0"/>
                <w:i w:val="0"/>
                <w:sz w:val="20"/>
              </w:rPr>
              <w:t>95th percentile (q95)</w:t>
            </w:r>
          </w:p>
        </w:tc>
        <w:tc>
          <w:tcPr>
            <w:tcW w:type="dxa" w:w="3402"/>
          </w:tcPr>
          <w:p>
            <w:pPr>
              <w:spacing w:after="20"/>
            </w:pPr>
            <w:r/>
            <w:r>
              <w:rPr>
                <w:b w:val="0"/>
                <w:i w:val="0"/>
                <w:sz w:val="20"/>
              </w:rPr>
              <w:t>q95 model</w:t>
            </w:r>
          </w:p>
        </w:tc>
      </w:tr>
    </w:tbl>
    <w:p>
      <w:pPr>
        <w:spacing w:after="40"/>
      </w:pPr>
    </w:p>
    <w:p>
      <w:pPr>
        <w:spacing w:after="120"/>
      </w:pPr>
      <w:r>
        <w:rPr>
          <w:b w:val="0"/>
          <w:i w:val="0"/>
        </w:rPr>
        <w:t xml:space="preserve">Our models do the same for flood damage: for a given building and depth, the </w:t>
      </w:r>
      <w:r>
        <w:rPr>
          <w:b/>
          <w:i w:val="0"/>
        </w:rPr>
        <w:t>mean model</w:t>
      </w:r>
      <w:r>
        <w:rPr>
          <w:b w:val="0"/>
          <w:i w:val="0"/>
        </w:rPr>
        <w:t xml:space="preserve"> gives the average damage and the </w:t>
      </w:r>
      <w:r>
        <w:rPr>
          <w:b/>
          <w:i w:val="0"/>
        </w:rPr>
        <w:t>quantile models</w:t>
      </w:r>
      <w:r>
        <w:rPr>
          <w:b w:val="0"/>
          <w:i w:val="0"/>
        </w:rPr>
        <w:t xml:space="preserve"> describe how spread out the possible outcomes are.</w:t>
      </w:r>
    </w:p>
    <w:p>
      <w:pPr>
        <w:pStyle w:val="Heading2"/>
      </w:pPr>
      <w:r>
        <w:t>6.2 Real example: a semi-permanent house in 1 m of water</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color="auto" w:fill="041D3B"/>
          </w:tcPr>
          <w:p>
            <w:r/>
            <w:r>
              <w:rPr>
                <w:b/>
                <w:i w:val="0"/>
                <w:color w:val="FFFFFF"/>
                <w:sz w:val="20"/>
              </w:rPr>
              <w:t>Model</w:t>
            </w:r>
          </w:p>
        </w:tc>
        <w:tc>
          <w:tcPr>
            <w:tcW w:type="dxa" w:w="1474"/>
            <w:shd w:val="clear" w:color="auto" w:fill="041D3B"/>
          </w:tcPr>
          <w:p>
            <w:r/>
            <w:r>
              <w:rPr>
                <w:b/>
                <w:i w:val="0"/>
                <w:color w:val="FFFFFF"/>
                <w:sz w:val="20"/>
              </w:rPr>
              <w:t>Prediction</w:t>
            </w:r>
          </w:p>
        </w:tc>
        <w:tc>
          <w:tcPr>
            <w:tcW w:type="dxa" w:w="6180"/>
            <w:shd w:val="clear" w:color="auto" w:fill="041D3B"/>
          </w:tcPr>
          <w:p>
            <w:r/>
            <w:r>
              <w:rPr>
                <w:b/>
                <w:i w:val="0"/>
                <w:color w:val="FFFFFF"/>
                <w:sz w:val="20"/>
              </w:rPr>
              <w:t>How to read it</w:t>
            </w:r>
          </w:p>
        </w:tc>
      </w:tr>
      <w:tr>
        <w:tc>
          <w:tcPr>
            <w:tcW w:type="dxa" w:w="1701"/>
          </w:tcPr>
          <w:p>
            <w:pPr>
              <w:spacing w:after="20"/>
            </w:pPr>
            <w:r/>
            <w:r>
              <w:rPr>
                <w:b w:val="0"/>
                <w:i w:val="0"/>
                <w:sz w:val="20"/>
              </w:rPr>
              <w:t>q05</w:t>
            </w:r>
          </w:p>
        </w:tc>
        <w:tc>
          <w:tcPr>
            <w:tcW w:type="dxa" w:w="1474"/>
          </w:tcPr>
          <w:p>
            <w:pPr>
              <w:spacing w:after="20"/>
            </w:pPr>
            <w:r/>
            <w:r>
              <w:rPr>
                <w:b w:val="0"/>
                <w:i w:val="0"/>
                <w:sz w:val="20"/>
              </w:rPr>
              <w:t>19.5 %</w:t>
            </w:r>
          </w:p>
        </w:tc>
        <w:tc>
          <w:tcPr>
            <w:tcW w:type="dxa" w:w="6180"/>
          </w:tcPr>
          <w:p>
            <w:pPr>
              <w:spacing w:after="20"/>
            </w:pPr>
            <w:r/>
            <w:r>
              <w:rPr>
                <w:b w:val="0"/>
                <w:i w:val="0"/>
                <w:sz w:val="20"/>
              </w:rPr>
              <w:t>Only 1 in 20 such houses would lose less than this (a lucky outcome)</w:t>
            </w:r>
          </w:p>
        </w:tc>
      </w:tr>
      <w:tr>
        <w:tc>
          <w:tcPr>
            <w:tcW w:type="dxa" w:w="1701"/>
          </w:tcPr>
          <w:p>
            <w:pPr>
              <w:spacing w:after="20"/>
            </w:pPr>
            <w:r/>
            <w:r>
              <w:rPr>
                <w:b w:val="0"/>
                <w:i w:val="0"/>
                <w:sz w:val="20"/>
              </w:rPr>
              <w:t>q25</w:t>
            </w:r>
          </w:p>
        </w:tc>
        <w:tc>
          <w:tcPr>
            <w:tcW w:type="dxa" w:w="1474"/>
          </w:tcPr>
          <w:p>
            <w:pPr>
              <w:spacing w:after="20"/>
            </w:pPr>
            <w:r/>
            <w:r>
              <w:rPr>
                <w:b w:val="0"/>
                <w:i w:val="0"/>
                <w:sz w:val="20"/>
              </w:rPr>
              <w:t>30.4 %</w:t>
            </w:r>
          </w:p>
        </w:tc>
        <w:tc>
          <w:tcPr>
            <w:tcW w:type="dxa" w:w="6180"/>
          </w:tcPr>
          <w:p>
            <w:pPr>
              <w:spacing w:after="20"/>
            </w:pPr>
            <w:r/>
            <w:r>
              <w:rPr>
                <w:b w:val="0"/>
                <w:i w:val="0"/>
                <w:sz w:val="20"/>
              </w:rPr>
              <w:t>1 in 4 lose less than this</w:t>
            </w:r>
          </w:p>
        </w:tc>
      </w:tr>
      <w:tr>
        <w:tc>
          <w:tcPr>
            <w:tcW w:type="dxa" w:w="1701"/>
          </w:tcPr>
          <w:p>
            <w:pPr>
              <w:spacing w:after="20"/>
            </w:pPr>
            <w:r/>
            <w:r>
              <w:rPr>
                <w:b w:val="0"/>
                <w:i w:val="0"/>
                <w:sz w:val="20"/>
              </w:rPr>
              <w:t>q50 (median)</w:t>
            </w:r>
          </w:p>
        </w:tc>
        <w:tc>
          <w:tcPr>
            <w:tcW w:type="dxa" w:w="1474"/>
          </w:tcPr>
          <w:p>
            <w:pPr>
              <w:spacing w:after="20"/>
            </w:pPr>
            <w:r/>
            <w:r>
              <w:rPr>
                <w:b w:val="0"/>
                <w:i w:val="0"/>
                <w:sz w:val="20"/>
              </w:rPr>
              <w:t>39.3 %</w:t>
            </w:r>
          </w:p>
        </w:tc>
        <w:tc>
          <w:tcPr>
            <w:tcW w:type="dxa" w:w="6180"/>
          </w:tcPr>
          <w:p>
            <w:pPr>
              <w:spacing w:after="20"/>
            </w:pPr>
            <w:r/>
            <w:r>
              <w:rPr>
                <w:b w:val="0"/>
                <w:i w:val="0"/>
                <w:sz w:val="20"/>
              </w:rPr>
              <w:t>Half lose less, half lose more — the “typical” house</w:t>
            </w:r>
          </w:p>
        </w:tc>
      </w:tr>
      <w:tr>
        <w:tc>
          <w:tcPr>
            <w:tcW w:type="dxa" w:w="1701"/>
          </w:tcPr>
          <w:p>
            <w:pPr>
              <w:spacing w:after="20"/>
            </w:pPr>
            <w:r/>
            <w:r>
              <w:rPr>
                <w:b/>
                <w:i w:val="0"/>
                <w:sz w:val="20"/>
              </w:rPr>
              <w:t>mean</w:t>
            </w:r>
          </w:p>
        </w:tc>
        <w:tc>
          <w:tcPr>
            <w:tcW w:type="dxa" w:w="1474"/>
          </w:tcPr>
          <w:p>
            <w:pPr>
              <w:spacing w:after="20"/>
            </w:pPr>
            <w:r/>
            <w:r>
              <w:rPr>
                <w:b/>
                <w:i w:val="0"/>
                <w:sz w:val="20"/>
              </w:rPr>
              <w:t>40.0 %</w:t>
            </w:r>
          </w:p>
        </w:tc>
        <w:tc>
          <w:tcPr>
            <w:tcW w:type="dxa" w:w="6180"/>
          </w:tcPr>
          <w:p>
            <w:pPr>
              <w:spacing w:after="20"/>
            </w:pPr>
            <w:r/>
            <w:r>
              <w:rPr>
                <w:b/>
                <w:i w:val="0"/>
                <w:sz w:val="20"/>
              </w:rPr>
              <w:t>The average over many such houses — the best single estimate of cost</w:t>
            </w:r>
          </w:p>
        </w:tc>
      </w:tr>
      <w:tr>
        <w:tc>
          <w:tcPr>
            <w:tcW w:type="dxa" w:w="1701"/>
          </w:tcPr>
          <w:p>
            <w:pPr>
              <w:spacing w:after="20"/>
            </w:pPr>
            <w:r/>
            <w:r>
              <w:rPr>
                <w:b w:val="0"/>
                <w:i w:val="0"/>
                <w:sz w:val="20"/>
              </w:rPr>
              <w:t>q75</w:t>
            </w:r>
          </w:p>
        </w:tc>
        <w:tc>
          <w:tcPr>
            <w:tcW w:type="dxa" w:w="1474"/>
          </w:tcPr>
          <w:p>
            <w:pPr>
              <w:spacing w:after="20"/>
            </w:pPr>
            <w:r/>
            <w:r>
              <w:rPr>
                <w:b w:val="0"/>
                <w:i w:val="0"/>
                <w:sz w:val="20"/>
              </w:rPr>
              <w:t>47.1 %</w:t>
            </w:r>
          </w:p>
        </w:tc>
        <w:tc>
          <w:tcPr>
            <w:tcW w:type="dxa" w:w="6180"/>
          </w:tcPr>
          <w:p>
            <w:pPr>
              <w:spacing w:after="20"/>
            </w:pPr>
            <w:r/>
            <w:r>
              <w:rPr>
                <w:b w:val="0"/>
                <w:i w:val="0"/>
                <w:sz w:val="20"/>
              </w:rPr>
              <w:t>3 in 4 lose less than this</w:t>
            </w:r>
          </w:p>
        </w:tc>
      </w:tr>
      <w:tr>
        <w:tc>
          <w:tcPr>
            <w:tcW w:type="dxa" w:w="1701"/>
          </w:tcPr>
          <w:p>
            <w:pPr>
              <w:spacing w:after="20"/>
            </w:pPr>
            <w:r/>
            <w:r>
              <w:rPr>
                <w:b w:val="0"/>
                <w:i w:val="0"/>
                <w:sz w:val="20"/>
              </w:rPr>
              <w:t>q95</w:t>
            </w:r>
          </w:p>
        </w:tc>
        <w:tc>
          <w:tcPr>
            <w:tcW w:type="dxa" w:w="1474"/>
          </w:tcPr>
          <w:p>
            <w:pPr>
              <w:spacing w:after="20"/>
            </w:pPr>
            <w:r/>
            <w:r>
              <w:rPr>
                <w:b w:val="0"/>
                <w:i w:val="0"/>
                <w:sz w:val="20"/>
              </w:rPr>
              <w:t>60.7 %</w:t>
            </w:r>
          </w:p>
        </w:tc>
        <w:tc>
          <w:tcPr>
            <w:tcW w:type="dxa" w:w="6180"/>
          </w:tcPr>
          <w:p>
            <w:pPr>
              <w:spacing w:after="20"/>
            </w:pPr>
            <w:r/>
            <w:r>
              <w:rPr>
                <w:b w:val="0"/>
                <w:i w:val="0"/>
                <w:sz w:val="20"/>
              </w:rPr>
              <w:t>Only 1 in 20 lose more than this (a bad outcome)</w:t>
            </w:r>
          </w:p>
        </w:tc>
      </w:tr>
      <w:tr>
        <w:tc>
          <w:tcPr>
            <w:tcW w:type="dxa" w:w="1701"/>
          </w:tcPr>
          <w:p>
            <w:pPr>
              <w:spacing w:after="20"/>
            </w:pPr>
            <w:r/>
            <w:r>
              <w:rPr>
                <w:b w:val="0"/>
                <w:i w:val="0"/>
                <w:sz w:val="20"/>
              </w:rPr>
              <w:t>(JRC baseline)</w:t>
            </w:r>
          </w:p>
        </w:tc>
        <w:tc>
          <w:tcPr>
            <w:tcW w:type="dxa" w:w="1474"/>
          </w:tcPr>
          <w:p>
            <w:pPr>
              <w:spacing w:after="20"/>
            </w:pPr>
            <w:r/>
            <w:r>
              <w:rPr>
                <w:b w:val="0"/>
                <w:i w:val="0"/>
                <w:sz w:val="20"/>
              </w:rPr>
              <w:t>36.6 %</w:t>
            </w:r>
          </w:p>
        </w:tc>
        <w:tc>
          <w:tcPr>
            <w:tcW w:type="dxa" w:w="6180"/>
          </w:tcPr>
          <w:p>
            <w:pPr>
              <w:spacing w:after="20"/>
            </w:pPr>
            <w:r/>
            <w:r>
              <w:rPr>
                <w:b w:val="0"/>
                <w:i w:val="0"/>
                <w:sz w:val="20"/>
              </w:rPr>
              <w:t>The adapted Africa curve alone, for comparison</w:t>
            </w:r>
          </w:p>
        </w:tc>
      </w:tr>
    </w:tbl>
    <w:p>
      <w:pPr>
        <w:spacing w:after="40"/>
      </w:pPr>
    </w:p>
    <w:p>
      <w:pPr>
        <w:spacing w:after="120"/>
      </w:pPr>
      <w:r>
        <w:rPr>
          <w:b w:val="0"/>
          <w:i w:val="0"/>
        </w:rPr>
        <w:t xml:space="preserve">So: “about 40 % on average; usually between 30 % and 47 % (the </w:t>
      </w:r>
      <w:r>
        <w:rPr>
          <w:b/>
          <w:i w:val="0"/>
        </w:rPr>
        <w:t>50 % band</w:t>
      </w:r>
      <w:r>
        <w:rPr>
          <w:b w:val="0"/>
          <w:i w:val="0"/>
        </w:rPr>
        <w:t xml:space="preserve">); and 90 % of the time between 19.5 % and 61 % (the </w:t>
      </w:r>
      <w:r>
        <w:rPr>
          <w:b/>
          <w:i w:val="0"/>
        </w:rPr>
        <w:t>90 % band</w:t>
      </w:r>
      <w:r>
        <w:rPr>
          <w:b w:val="0"/>
          <w:i w:val="0"/>
        </w:rPr>
        <w:t>).” The ML mean sits a little above the JRC baseline (40 % vs 36.6 %) mainly because 30 % of the training claims came from the more severe Global curve.</w:t>
      </w:r>
    </w:p>
    <w:p>
      <w:pPr>
        <w:pStyle w:val="Heading2"/>
      </w:pPr>
      <w:r>
        <w:t>6.3 Why the mean and the median are different</w:t>
      </w:r>
    </w:p>
    <w:p>
      <w:pPr>
        <w:spacing w:after="120"/>
      </w:pPr>
      <w:r>
        <w:rPr>
          <w:b w:val="0"/>
          <w:i w:val="0"/>
        </w:rPr>
        <w:t xml:space="preserve">If damage were perfectly symmetric, mean and median would be equal. But damage is </w:t>
      </w:r>
      <w:r>
        <w:rPr>
          <w:b/>
          <w:i w:val="0"/>
        </w:rPr>
        <w:t>skewed</w:t>
      </w:r>
      <w:r>
        <w:rPr>
          <w:b w:val="0"/>
          <w:i w:val="0"/>
        </w:rPr>
        <w:t>: it can't go below 0, but a few buildings get hit very hard. Those few pull the average up. Example: a masonry building at 0.5 m has a median of 10.5 % but a mean of 12.1%; a semi-permanent house at 2 m, median 60.8 % but mean 64.5 %.</w:t>
      </w:r>
    </w:p>
    <w:p>
      <w:pPr>
        <w:spacing w:after="120"/>
      </w:pPr>
      <w:r>
        <w:rPr>
          <w:b/>
          <w:i w:val="0"/>
        </w:rPr>
        <w:t>For insurance, the mean is the right number for cost</w:t>
      </w:r>
      <w:r>
        <w:rPr>
          <w:b w:val="0"/>
          <w:i w:val="0"/>
        </w:rPr>
        <w:t>: if you insure 1,000 such buildings, total damage is 1,000 × the mean, not 1,000 × the median. That is why every money figure in the app uses the mean model.</w:t>
      </w:r>
    </w:p>
    <w:p>
      <w:pPr>
        <w:pStyle w:val="Heading2"/>
      </w:pPr>
      <w:r>
        <w:t>6.4 How one model “aims” at the mean and another at the 95th percentile (loss functions)</w:t>
      </w:r>
    </w:p>
    <w:p>
      <w:pPr>
        <w:spacing w:after="120"/>
      </w:pPr>
      <w:r>
        <w:rPr>
          <w:b/>
          <w:i w:val="0"/>
        </w:rPr>
        <w:t>In plain words.</w:t>
      </w:r>
      <w:r>
        <w:rPr>
          <w:b w:val="0"/>
          <w:i w:val="0"/>
        </w:rPr>
        <w:t xml:space="preserve"> During training, each model is scored on its mistakes, and it adjusts itself to get a better score. The six models are scored with different rules, and the rule decides what they end up predicting.</w:t>
      </w:r>
    </w:p>
    <w:p>
      <w:pPr>
        <w:pStyle w:val="ListBullet"/>
        <w:spacing w:after="60"/>
      </w:pPr>
      <w:r>
        <w:rPr>
          <w:b/>
          <w:i w:val="0"/>
        </w:rPr>
        <w:t>Mean model — “squared error”.</w:t>
      </w:r>
      <w:r>
        <w:rPr>
          <w:b w:val="0"/>
          <w:i w:val="0"/>
        </w:rPr>
        <w:t xml:space="preserve"> Every miss is squared (a miss of 0.2 costs 0.04; a miss of 0.4 costs 0.16). The prediction that minimises the total squared error is the </w:t>
      </w:r>
      <w:r>
        <w:rPr>
          <w:b/>
          <w:i w:val="0"/>
        </w:rPr>
        <w:t>average</w:t>
      </w:r>
      <w:r>
        <w:rPr>
          <w:b w:val="0"/>
          <w:i w:val="0"/>
        </w:rPr>
        <w:t>. So this model learns the mean.</w:t>
      </w:r>
    </w:p>
    <w:p>
      <w:pPr>
        <w:pStyle w:val="ListBullet"/>
        <w:spacing w:after="60"/>
      </w:pPr>
      <w:r>
        <w:rPr>
          <w:b/>
          <w:i w:val="0"/>
        </w:rPr>
        <w:t>Quantile models — “pinball loss”.</w:t>
      </w:r>
      <w:r>
        <w:rPr>
          <w:b w:val="0"/>
          <w:i w:val="0"/>
        </w:rPr>
        <w:t xml:space="preserve"> Misses are penalised unequally depending on direction. For the q95 model, predicting too *low* costs 19 times more than predicting too *high*. The best it can do is to sit at a level that only 5 % of claims exceed — the 95th percentile. For q05 it's the opposite (too high is 19× worse). For q50 both directions cost the same, giving the median.</w:t>
      </w:r>
    </w:p>
    <w:p>
      <w:pPr>
        <w:spacing w:after="120"/>
      </w:pPr>
      <w:r>
        <w:rPr>
          <w:b/>
          <w:i w:val="0"/>
        </w:rPr>
        <w:t>Technically</w:t>
      </w:r>
      <w:r>
        <w:rPr>
          <w:b w:val="0"/>
          <w:i w:val="0"/>
        </w:rPr>
        <w:t>, for quantile q, true value y and prediction ŷ:</w:t>
      </w:r>
    </w:p>
    <w:tbl>
      <w:tblPr>
        <w:tblW w:type="auto" w:w="0"/>
        <w:jc w:val="center"/>
        <w:tblLook w:firstColumn="1" w:firstRow="1" w:lastColumn="0" w:lastRow="0" w:noHBand="0" w:noVBand="1" w:val="04A0"/>
      </w:tblPr>
      <w:tblGrid>
        <w:gridCol w:w="9746"/>
      </w:tblGrid>
      <w:tr>
        <w:tc>
          <w:tcPr>
            <w:tcW w:type="dxa" w:w="9354"/>
            <w:shd w:val="clear" w:color="auto" w:fill="F2F3F3"/>
          </w:tcPr>
          <w:p>
            <w:pPr>
              <w:spacing w:after="0"/>
            </w:pPr>
            <w:r>
              <w:rPr>
                <w:rFonts w:ascii="Consolas" w:hAnsi="Consolas"/>
                <w:b w:val="0"/>
                <w:i w:val="0"/>
                <w:sz w:val="19"/>
              </w:rPr>
              <w:t>pinball loss = q · (y − ŷ)        if y ≥ ŷ   (under-prediction)</w:t>
            </w:r>
          </w:p>
          <w:p>
            <w:pPr>
              <w:spacing w:after="0"/>
            </w:pPr>
            <w:r>
              <w:rPr>
                <w:rFonts w:ascii="Consolas" w:hAnsi="Consolas"/>
                <w:b w:val="0"/>
                <w:i w:val="0"/>
                <w:sz w:val="19"/>
              </w:rPr>
              <w:t xml:space="preserve">               (1 − q) · (ŷ − y)  if y &lt; ŷ   (over-prediction)</w:t>
            </w:r>
          </w:p>
          <w:p>
            <w:pPr>
              <w:spacing w:after="0"/>
            </w:pPr>
          </w:p>
          <w:p>
            <w:pPr>
              <w:spacing w:after="0"/>
            </w:pPr>
            <w:r>
              <w:rPr>
                <w:rFonts w:ascii="Consolas" w:hAnsi="Consolas"/>
                <w:b w:val="0"/>
                <w:i w:val="0"/>
                <w:sz w:val="19"/>
              </w:rPr>
              <w:t>q = 0.95: under-prediction weight 0.95, over-prediction weight 0.05  → ratio 19 : 1</w:t>
            </w:r>
          </w:p>
          <w:p>
            <w:pPr>
              <w:spacing w:after="0"/>
            </w:pPr>
            <w:r>
              <w:rPr>
                <w:rFonts w:ascii="Consolas" w:hAnsi="Consolas"/>
                <w:b w:val="0"/>
                <w:i w:val="0"/>
                <w:sz w:val="19"/>
              </w:rPr>
              <w:t>q = 0.50: equal weights → median;   mean model: (y − ŷ)² → mean</w:t>
            </w:r>
          </w:p>
        </w:tc>
      </w:tr>
    </w:tbl>
    <w:p>
      <w:pPr>
        <w:spacing w:after="40"/>
      </w:pPr>
    </w:p>
    <w:p>
      <w:pPr>
        <w:spacing w:after="120"/>
      </w:pPr>
      <w:r>
        <w:rPr>
          <w:b w:val="0"/>
          <w:i w:val="0"/>
        </w:rPr>
        <w:t xml:space="preserve">Worked example (q95, true damage 0.50): predicting 0.40 (too low by 0.10) costs 0.95 × 0.10 = </w:t>
      </w:r>
      <w:r>
        <w:rPr>
          <w:b/>
          <w:i w:val="0"/>
        </w:rPr>
        <w:t>0.095</w:t>
      </w:r>
      <w:r>
        <w:rPr>
          <w:b w:val="0"/>
          <w:i w:val="0"/>
        </w:rPr>
        <w:t xml:space="preserve">; predicting 0.60 (too high by 0.10) costs 0.05 × 0.10 = </w:t>
      </w:r>
      <w:r>
        <w:rPr>
          <w:b/>
          <w:i w:val="0"/>
        </w:rPr>
        <w:t>0.005</w:t>
      </w:r>
      <w:r>
        <w:rPr>
          <w:b w:val="0"/>
          <w:i w:val="0"/>
        </w:rPr>
        <w:t>. The model therefore learns to “aim high”, ending up at the level only 5 % of claims exceed.</w:t>
      </w:r>
    </w:p>
    <w:p>
      <w:pPr>
        <w:pStyle w:val="Heading2"/>
      </w:pPr>
      <w:r>
        <w:t>6.5 The range differs by class and depth</w:t>
      </w:r>
    </w:p>
    <w:p>
      <w:pPr>
        <w:spacing w:after="120"/>
      </w:pPr>
      <w:r>
        <w:rPr>
          <w:b w:val="0"/>
          <w:i w:val="0"/>
        </w:rPr>
        <w:t>Mean and 90 % range (q05–q95) at 1 m, 7-day flood, average quality:</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2551"/>
            <w:shd w:val="clear" w:color="auto" w:fill="041D3B"/>
          </w:tcPr>
          <w:p>
            <w:r/>
            <w:r>
              <w:rPr>
                <w:b/>
                <w:i w:val="0"/>
                <w:color w:val="FFFFFF"/>
                <w:sz w:val="20"/>
              </w:rPr>
              <w:t>Class</w:t>
            </w:r>
          </w:p>
        </w:tc>
        <w:tc>
          <w:tcPr>
            <w:tcW w:type="dxa" w:w="1247"/>
            <w:shd w:val="clear" w:color="auto" w:fill="041D3B"/>
          </w:tcPr>
          <w:p>
            <w:r/>
            <w:r>
              <w:rPr>
                <w:b/>
                <w:i w:val="0"/>
                <w:color w:val="FFFFFF"/>
                <w:sz w:val="20"/>
              </w:rPr>
              <w:t>q05</w:t>
            </w:r>
          </w:p>
        </w:tc>
        <w:tc>
          <w:tcPr>
            <w:tcW w:type="dxa" w:w="1247"/>
            <w:shd w:val="clear" w:color="auto" w:fill="041D3B"/>
          </w:tcPr>
          <w:p>
            <w:r/>
            <w:r>
              <w:rPr>
                <w:b/>
                <w:i w:val="0"/>
                <w:color w:val="FFFFFF"/>
                <w:sz w:val="20"/>
              </w:rPr>
              <w:t>Median</w:t>
            </w:r>
          </w:p>
        </w:tc>
        <w:tc>
          <w:tcPr>
            <w:tcW w:type="dxa" w:w="1247"/>
            <w:shd w:val="clear" w:color="auto" w:fill="041D3B"/>
          </w:tcPr>
          <w:p>
            <w:r/>
            <w:r>
              <w:rPr>
                <w:b/>
                <w:i w:val="0"/>
                <w:color w:val="FFFFFF"/>
                <w:sz w:val="20"/>
              </w:rPr>
              <w:t>Mean</w:t>
            </w:r>
          </w:p>
        </w:tc>
        <w:tc>
          <w:tcPr>
            <w:tcW w:type="dxa" w:w="1247"/>
            <w:shd w:val="clear" w:color="auto" w:fill="041D3B"/>
          </w:tcPr>
          <w:p>
            <w:r/>
            <w:r>
              <w:rPr>
                <w:b/>
                <w:i w:val="0"/>
                <w:color w:val="FFFFFF"/>
                <w:sz w:val="20"/>
              </w:rPr>
              <w:t>q95</w:t>
            </w:r>
          </w:p>
        </w:tc>
        <w:tc>
          <w:tcPr>
            <w:tcW w:type="dxa" w:w="1814"/>
            <w:shd w:val="clear" w:color="auto" w:fill="041D3B"/>
          </w:tcPr>
          <w:p>
            <w:r/>
            <w:r>
              <w:rPr>
                <w:b/>
                <w:i w:val="0"/>
                <w:color w:val="FFFFFF"/>
                <w:sz w:val="20"/>
              </w:rPr>
              <w:t>JRC baseline</w:t>
            </w:r>
          </w:p>
        </w:tc>
      </w:tr>
      <w:tr>
        <w:tc>
          <w:tcPr>
            <w:tcW w:type="dxa" w:w="2551"/>
          </w:tcPr>
          <w:p>
            <w:pPr>
              <w:spacing w:after="20"/>
            </w:pPr>
            <w:r/>
            <w:r>
              <w:rPr>
                <w:b w:val="0"/>
                <w:i w:val="0"/>
                <w:sz w:val="20"/>
              </w:rPr>
              <w:t>Informal (mabati)</w:t>
            </w:r>
          </w:p>
        </w:tc>
        <w:tc>
          <w:tcPr>
            <w:tcW w:type="dxa" w:w="1247"/>
          </w:tcPr>
          <w:p>
            <w:pPr>
              <w:spacing w:after="20"/>
            </w:pPr>
            <w:r/>
            <w:r>
              <w:rPr>
                <w:b w:val="0"/>
                <w:i w:val="0"/>
                <w:sz w:val="20"/>
              </w:rPr>
              <w:t>30.1 %</w:t>
            </w:r>
          </w:p>
        </w:tc>
        <w:tc>
          <w:tcPr>
            <w:tcW w:type="dxa" w:w="1247"/>
          </w:tcPr>
          <w:p>
            <w:pPr>
              <w:spacing w:after="20"/>
            </w:pPr>
            <w:r/>
            <w:r>
              <w:rPr>
                <w:b w:val="0"/>
                <w:i w:val="0"/>
                <w:sz w:val="20"/>
              </w:rPr>
              <w:t>50.1 %</w:t>
            </w:r>
          </w:p>
        </w:tc>
        <w:tc>
          <w:tcPr>
            <w:tcW w:type="dxa" w:w="1247"/>
          </w:tcPr>
          <w:p>
            <w:pPr>
              <w:spacing w:after="20"/>
            </w:pPr>
            <w:r/>
            <w:r>
              <w:rPr>
                <w:b w:val="0"/>
                <w:i w:val="0"/>
                <w:sz w:val="20"/>
              </w:rPr>
              <w:t>50.3 %</w:t>
            </w:r>
          </w:p>
        </w:tc>
        <w:tc>
          <w:tcPr>
            <w:tcW w:type="dxa" w:w="1247"/>
          </w:tcPr>
          <w:p>
            <w:pPr>
              <w:spacing w:after="20"/>
            </w:pPr>
            <w:r/>
            <w:r>
              <w:rPr>
                <w:b w:val="0"/>
                <w:i w:val="0"/>
                <w:sz w:val="20"/>
              </w:rPr>
              <w:t>71.5 %</w:t>
            </w:r>
          </w:p>
        </w:tc>
        <w:tc>
          <w:tcPr>
            <w:tcW w:type="dxa" w:w="1814"/>
          </w:tcPr>
          <w:p>
            <w:pPr>
              <w:spacing w:after="20"/>
            </w:pPr>
            <w:r/>
            <w:r>
              <w:rPr>
                <w:b w:val="0"/>
                <w:i w:val="0"/>
                <w:sz w:val="20"/>
              </w:rPr>
              <w:t>46.1 %</w:t>
            </w:r>
          </w:p>
        </w:tc>
      </w:tr>
      <w:tr>
        <w:tc>
          <w:tcPr>
            <w:tcW w:type="dxa" w:w="2551"/>
          </w:tcPr>
          <w:p>
            <w:pPr>
              <w:spacing w:after="20"/>
            </w:pPr>
            <w:r/>
            <w:r>
              <w:rPr>
                <w:b w:val="0"/>
                <w:i w:val="0"/>
                <w:sz w:val="20"/>
              </w:rPr>
              <w:t>Semi-permanent</w:t>
            </w:r>
          </w:p>
        </w:tc>
        <w:tc>
          <w:tcPr>
            <w:tcW w:type="dxa" w:w="1247"/>
          </w:tcPr>
          <w:p>
            <w:pPr>
              <w:spacing w:after="20"/>
            </w:pPr>
            <w:r/>
            <w:r>
              <w:rPr>
                <w:b w:val="0"/>
                <w:i w:val="0"/>
                <w:sz w:val="20"/>
              </w:rPr>
              <w:t>19.5 %</w:t>
            </w:r>
          </w:p>
        </w:tc>
        <w:tc>
          <w:tcPr>
            <w:tcW w:type="dxa" w:w="1247"/>
          </w:tcPr>
          <w:p>
            <w:pPr>
              <w:spacing w:after="20"/>
            </w:pPr>
            <w:r/>
            <w:r>
              <w:rPr>
                <w:b w:val="0"/>
                <w:i w:val="0"/>
                <w:sz w:val="20"/>
              </w:rPr>
              <w:t>39.3 %</w:t>
            </w:r>
          </w:p>
        </w:tc>
        <w:tc>
          <w:tcPr>
            <w:tcW w:type="dxa" w:w="1247"/>
          </w:tcPr>
          <w:p>
            <w:pPr>
              <w:spacing w:after="20"/>
            </w:pPr>
            <w:r/>
            <w:r>
              <w:rPr>
                <w:b w:val="0"/>
                <w:i w:val="0"/>
                <w:sz w:val="20"/>
              </w:rPr>
              <w:t>40.0 %</w:t>
            </w:r>
          </w:p>
        </w:tc>
        <w:tc>
          <w:tcPr>
            <w:tcW w:type="dxa" w:w="1247"/>
          </w:tcPr>
          <w:p>
            <w:pPr>
              <w:spacing w:after="20"/>
            </w:pPr>
            <w:r/>
            <w:r>
              <w:rPr>
                <w:b w:val="0"/>
                <w:i w:val="0"/>
                <w:sz w:val="20"/>
              </w:rPr>
              <w:t>60.7 %</w:t>
            </w:r>
          </w:p>
        </w:tc>
        <w:tc>
          <w:tcPr>
            <w:tcW w:type="dxa" w:w="1814"/>
          </w:tcPr>
          <w:p>
            <w:pPr>
              <w:spacing w:after="20"/>
            </w:pPr>
            <w:r/>
            <w:r>
              <w:rPr>
                <w:b w:val="0"/>
                <w:i w:val="0"/>
                <w:sz w:val="20"/>
              </w:rPr>
              <w:t>36.6 %</w:t>
            </w:r>
          </w:p>
        </w:tc>
      </w:tr>
      <w:tr>
        <w:tc>
          <w:tcPr>
            <w:tcW w:type="dxa" w:w="2551"/>
          </w:tcPr>
          <w:p>
            <w:pPr>
              <w:spacing w:after="20"/>
            </w:pPr>
            <w:r/>
            <w:r>
              <w:rPr>
                <w:b w:val="0"/>
                <w:i w:val="0"/>
                <w:sz w:val="20"/>
              </w:rPr>
              <w:t>Permanent masonry</w:t>
            </w:r>
          </w:p>
        </w:tc>
        <w:tc>
          <w:tcPr>
            <w:tcW w:type="dxa" w:w="1247"/>
          </w:tcPr>
          <w:p>
            <w:pPr>
              <w:spacing w:after="20"/>
            </w:pPr>
            <w:r/>
            <w:r>
              <w:rPr>
                <w:b w:val="0"/>
                <w:i w:val="0"/>
                <w:sz w:val="20"/>
              </w:rPr>
              <w:t>11.3 %</w:t>
            </w:r>
          </w:p>
        </w:tc>
        <w:tc>
          <w:tcPr>
            <w:tcW w:type="dxa" w:w="1247"/>
          </w:tcPr>
          <w:p>
            <w:pPr>
              <w:spacing w:after="20"/>
            </w:pPr>
            <w:r/>
            <w:r>
              <w:rPr>
                <w:b w:val="0"/>
                <w:i w:val="0"/>
                <w:sz w:val="20"/>
              </w:rPr>
              <w:t>28.9 %</w:t>
            </w:r>
          </w:p>
        </w:tc>
        <w:tc>
          <w:tcPr>
            <w:tcW w:type="dxa" w:w="1247"/>
          </w:tcPr>
          <w:p>
            <w:pPr>
              <w:spacing w:after="20"/>
            </w:pPr>
            <w:r/>
            <w:r>
              <w:rPr>
                <w:b w:val="0"/>
                <w:i w:val="0"/>
                <w:sz w:val="20"/>
              </w:rPr>
              <w:t>28.8 %</w:t>
            </w:r>
          </w:p>
        </w:tc>
        <w:tc>
          <w:tcPr>
            <w:tcW w:type="dxa" w:w="1247"/>
          </w:tcPr>
          <w:p>
            <w:pPr>
              <w:spacing w:after="20"/>
            </w:pPr>
            <w:r/>
            <w:r>
              <w:rPr>
                <w:b w:val="0"/>
                <w:i w:val="0"/>
                <w:sz w:val="20"/>
              </w:rPr>
              <w:t>50.9 %</w:t>
            </w:r>
          </w:p>
        </w:tc>
        <w:tc>
          <w:tcPr>
            <w:tcW w:type="dxa" w:w="1814"/>
          </w:tcPr>
          <w:p>
            <w:pPr>
              <w:spacing w:after="20"/>
            </w:pPr>
            <w:r/>
            <w:r>
              <w:rPr>
                <w:b w:val="0"/>
                <w:i w:val="0"/>
                <w:sz w:val="20"/>
              </w:rPr>
              <w:t>26.8 %</w:t>
            </w:r>
          </w:p>
        </w:tc>
      </w:tr>
      <w:tr>
        <w:tc>
          <w:tcPr>
            <w:tcW w:type="dxa" w:w="2551"/>
          </w:tcPr>
          <w:p>
            <w:pPr>
              <w:spacing w:after="20"/>
            </w:pPr>
            <w:r/>
            <w:r>
              <w:rPr>
                <w:b w:val="0"/>
                <w:i w:val="0"/>
                <w:sz w:val="20"/>
              </w:rPr>
              <w:t>Concrete / RCC</w:t>
            </w:r>
          </w:p>
        </w:tc>
        <w:tc>
          <w:tcPr>
            <w:tcW w:type="dxa" w:w="1247"/>
          </w:tcPr>
          <w:p>
            <w:pPr>
              <w:spacing w:after="20"/>
            </w:pPr>
            <w:r/>
            <w:r>
              <w:rPr>
                <w:b w:val="0"/>
                <w:i w:val="0"/>
                <w:sz w:val="20"/>
              </w:rPr>
              <w:t>5.2 %</w:t>
            </w:r>
          </w:p>
        </w:tc>
        <w:tc>
          <w:tcPr>
            <w:tcW w:type="dxa" w:w="1247"/>
          </w:tcPr>
          <w:p>
            <w:pPr>
              <w:spacing w:after="20"/>
            </w:pPr>
            <w:r/>
            <w:r>
              <w:rPr>
                <w:b w:val="0"/>
                <w:i w:val="0"/>
                <w:sz w:val="20"/>
              </w:rPr>
              <w:t>18.7 %</w:t>
            </w:r>
          </w:p>
        </w:tc>
        <w:tc>
          <w:tcPr>
            <w:tcW w:type="dxa" w:w="1247"/>
          </w:tcPr>
          <w:p>
            <w:pPr>
              <w:spacing w:after="20"/>
            </w:pPr>
            <w:r/>
            <w:r>
              <w:rPr>
                <w:b w:val="0"/>
                <w:i w:val="0"/>
                <w:sz w:val="20"/>
              </w:rPr>
              <w:t>20.4 %</w:t>
            </w:r>
          </w:p>
        </w:tc>
        <w:tc>
          <w:tcPr>
            <w:tcW w:type="dxa" w:w="1247"/>
          </w:tcPr>
          <w:p>
            <w:pPr>
              <w:spacing w:after="20"/>
            </w:pPr>
            <w:r/>
            <w:r>
              <w:rPr>
                <w:b w:val="0"/>
                <w:i w:val="0"/>
                <w:sz w:val="20"/>
              </w:rPr>
              <w:t>40.5 %</w:t>
            </w:r>
          </w:p>
        </w:tc>
        <w:tc>
          <w:tcPr>
            <w:tcW w:type="dxa" w:w="1814"/>
          </w:tcPr>
          <w:p>
            <w:pPr>
              <w:spacing w:after="20"/>
            </w:pPr>
            <w:r/>
            <w:r>
              <w:rPr>
                <w:b w:val="0"/>
                <w:i w:val="0"/>
                <w:sz w:val="20"/>
              </w:rPr>
              <w:t>17.9 %</w:t>
            </w:r>
          </w:p>
        </w:tc>
      </w:tr>
    </w:tbl>
    <w:p>
      <w:pPr>
        <w:spacing w:after="40"/>
      </w:pPr>
    </w:p>
    <w:p>
      <w:pPr>
        <w:spacing w:after="120"/>
      </w:pPr>
      <w:r>
        <w:rPr>
          <w:b w:val="0"/>
          <w:i w:val="0"/>
        </w:rPr>
        <w:t>And across depths for the same class (semi-permanent):</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247"/>
            <w:shd w:val="clear" w:color="auto" w:fill="041D3B"/>
          </w:tcPr>
          <w:p>
            <w:r/>
            <w:r>
              <w:rPr>
                <w:b/>
                <w:i w:val="0"/>
                <w:color w:val="FFFFFF"/>
                <w:sz w:val="20"/>
              </w:rPr>
              <w:t>Depth</w:t>
            </w:r>
          </w:p>
        </w:tc>
        <w:tc>
          <w:tcPr>
            <w:tcW w:type="dxa" w:w="1247"/>
            <w:shd w:val="clear" w:color="auto" w:fill="041D3B"/>
          </w:tcPr>
          <w:p>
            <w:r/>
            <w:r>
              <w:rPr>
                <w:b/>
                <w:i w:val="0"/>
                <w:color w:val="FFFFFF"/>
                <w:sz w:val="20"/>
              </w:rPr>
              <w:t>q05</w:t>
            </w:r>
          </w:p>
        </w:tc>
        <w:tc>
          <w:tcPr>
            <w:tcW w:type="dxa" w:w="1247"/>
            <w:shd w:val="clear" w:color="auto" w:fill="041D3B"/>
          </w:tcPr>
          <w:p>
            <w:r/>
            <w:r>
              <w:rPr>
                <w:b/>
                <w:i w:val="0"/>
                <w:color w:val="FFFFFF"/>
                <w:sz w:val="20"/>
              </w:rPr>
              <w:t>q25</w:t>
            </w:r>
          </w:p>
        </w:tc>
        <w:tc>
          <w:tcPr>
            <w:tcW w:type="dxa" w:w="1361"/>
            <w:shd w:val="clear" w:color="auto" w:fill="041D3B"/>
          </w:tcPr>
          <w:p>
            <w:r/>
            <w:r>
              <w:rPr>
                <w:b/>
                <w:i w:val="0"/>
                <w:color w:val="FFFFFF"/>
                <w:sz w:val="20"/>
              </w:rPr>
              <w:t>Median</w:t>
            </w:r>
          </w:p>
        </w:tc>
        <w:tc>
          <w:tcPr>
            <w:tcW w:type="dxa" w:w="1361"/>
            <w:shd w:val="clear" w:color="auto" w:fill="041D3B"/>
          </w:tcPr>
          <w:p>
            <w:r/>
            <w:r>
              <w:rPr>
                <w:b/>
                <w:i w:val="0"/>
                <w:color w:val="FFFFFF"/>
                <w:sz w:val="20"/>
              </w:rPr>
              <w:t>Mean</w:t>
            </w:r>
          </w:p>
        </w:tc>
        <w:tc>
          <w:tcPr>
            <w:tcW w:type="dxa" w:w="1247"/>
            <w:shd w:val="clear" w:color="auto" w:fill="041D3B"/>
          </w:tcPr>
          <w:p>
            <w:r/>
            <w:r>
              <w:rPr>
                <w:b/>
                <w:i w:val="0"/>
                <w:color w:val="FFFFFF"/>
                <w:sz w:val="20"/>
              </w:rPr>
              <w:t>q75</w:t>
            </w:r>
          </w:p>
        </w:tc>
        <w:tc>
          <w:tcPr>
            <w:tcW w:type="dxa" w:w="1247"/>
            <w:shd w:val="clear" w:color="auto" w:fill="041D3B"/>
          </w:tcPr>
          <w:p>
            <w:r/>
            <w:r>
              <w:rPr>
                <w:b/>
                <w:i w:val="0"/>
                <w:color w:val="FFFFFF"/>
                <w:sz w:val="20"/>
              </w:rPr>
              <w:t>q95</w:t>
            </w:r>
          </w:p>
        </w:tc>
      </w:tr>
      <w:tr>
        <w:tc>
          <w:tcPr>
            <w:tcW w:type="dxa" w:w="1247"/>
          </w:tcPr>
          <w:p>
            <w:pPr>
              <w:spacing w:after="20"/>
            </w:pPr>
            <w:r/>
            <w:r>
              <w:rPr>
                <w:b w:val="0"/>
                <w:i w:val="0"/>
                <w:sz w:val="20"/>
              </w:rPr>
              <w:t>0.5 m</w:t>
            </w:r>
          </w:p>
        </w:tc>
        <w:tc>
          <w:tcPr>
            <w:tcW w:type="dxa" w:w="1247"/>
          </w:tcPr>
          <w:p>
            <w:pPr>
              <w:spacing w:after="20"/>
            </w:pPr>
            <w:r/>
            <w:r>
              <w:rPr>
                <w:b w:val="0"/>
                <w:i w:val="0"/>
                <w:sz w:val="20"/>
              </w:rPr>
              <w:t>2.4 %</w:t>
            </w:r>
          </w:p>
        </w:tc>
        <w:tc>
          <w:tcPr>
            <w:tcW w:type="dxa" w:w="1247"/>
          </w:tcPr>
          <w:p>
            <w:pPr>
              <w:spacing w:after="20"/>
            </w:pPr>
            <w:r/>
            <w:r>
              <w:rPr>
                <w:b w:val="0"/>
                <w:i w:val="0"/>
                <w:sz w:val="20"/>
              </w:rPr>
              <w:t>14.4 %</w:t>
            </w:r>
          </w:p>
        </w:tc>
        <w:tc>
          <w:tcPr>
            <w:tcW w:type="dxa" w:w="1361"/>
          </w:tcPr>
          <w:p>
            <w:pPr>
              <w:spacing w:after="20"/>
            </w:pPr>
            <w:r/>
            <w:r>
              <w:rPr>
                <w:b w:val="0"/>
                <w:i w:val="0"/>
                <w:sz w:val="20"/>
              </w:rPr>
              <w:t>21.1 %</w:t>
            </w:r>
          </w:p>
        </w:tc>
        <w:tc>
          <w:tcPr>
            <w:tcW w:type="dxa" w:w="1361"/>
          </w:tcPr>
          <w:p>
            <w:pPr>
              <w:spacing w:after="20"/>
            </w:pPr>
            <w:r/>
            <w:r>
              <w:rPr>
                <w:b w:val="0"/>
                <w:i w:val="0"/>
                <w:sz w:val="20"/>
              </w:rPr>
              <w:t>21.3 %</w:t>
            </w:r>
          </w:p>
        </w:tc>
        <w:tc>
          <w:tcPr>
            <w:tcW w:type="dxa" w:w="1247"/>
          </w:tcPr>
          <w:p>
            <w:pPr>
              <w:spacing w:after="20"/>
            </w:pPr>
            <w:r/>
            <w:r>
              <w:rPr>
                <w:b w:val="0"/>
                <w:i w:val="0"/>
                <w:sz w:val="20"/>
              </w:rPr>
              <w:t>28.9 %</w:t>
            </w:r>
          </w:p>
        </w:tc>
        <w:tc>
          <w:tcPr>
            <w:tcW w:type="dxa" w:w="1247"/>
          </w:tcPr>
          <w:p>
            <w:pPr>
              <w:spacing w:after="20"/>
            </w:pPr>
            <w:r/>
            <w:r>
              <w:rPr>
                <w:b w:val="0"/>
                <w:i w:val="0"/>
                <w:sz w:val="20"/>
              </w:rPr>
              <w:t>41.9 %</w:t>
            </w:r>
          </w:p>
        </w:tc>
      </w:tr>
      <w:tr>
        <w:tc>
          <w:tcPr>
            <w:tcW w:type="dxa" w:w="1247"/>
          </w:tcPr>
          <w:p>
            <w:pPr>
              <w:spacing w:after="20"/>
            </w:pPr>
            <w:r/>
            <w:r>
              <w:rPr>
                <w:b w:val="0"/>
                <w:i w:val="0"/>
                <w:sz w:val="20"/>
              </w:rPr>
              <w:t>1.0 m</w:t>
            </w:r>
          </w:p>
        </w:tc>
        <w:tc>
          <w:tcPr>
            <w:tcW w:type="dxa" w:w="1247"/>
          </w:tcPr>
          <w:p>
            <w:pPr>
              <w:spacing w:after="20"/>
            </w:pPr>
            <w:r/>
            <w:r>
              <w:rPr>
                <w:b w:val="0"/>
                <w:i w:val="0"/>
                <w:sz w:val="20"/>
              </w:rPr>
              <w:t>19.5 %</w:t>
            </w:r>
          </w:p>
        </w:tc>
        <w:tc>
          <w:tcPr>
            <w:tcW w:type="dxa" w:w="1247"/>
          </w:tcPr>
          <w:p>
            <w:pPr>
              <w:spacing w:after="20"/>
            </w:pPr>
            <w:r/>
            <w:r>
              <w:rPr>
                <w:b w:val="0"/>
                <w:i w:val="0"/>
                <w:sz w:val="20"/>
              </w:rPr>
              <w:t>30.4 %</w:t>
            </w:r>
          </w:p>
        </w:tc>
        <w:tc>
          <w:tcPr>
            <w:tcW w:type="dxa" w:w="1361"/>
          </w:tcPr>
          <w:p>
            <w:pPr>
              <w:spacing w:after="20"/>
            </w:pPr>
            <w:r/>
            <w:r>
              <w:rPr>
                <w:b w:val="0"/>
                <w:i w:val="0"/>
                <w:sz w:val="20"/>
              </w:rPr>
              <w:t>39.3 %</w:t>
            </w:r>
          </w:p>
        </w:tc>
        <w:tc>
          <w:tcPr>
            <w:tcW w:type="dxa" w:w="1361"/>
          </w:tcPr>
          <w:p>
            <w:pPr>
              <w:spacing w:after="20"/>
            </w:pPr>
            <w:r/>
            <w:r>
              <w:rPr>
                <w:b w:val="0"/>
                <w:i w:val="0"/>
                <w:sz w:val="20"/>
              </w:rPr>
              <w:t>40.0 %</w:t>
            </w:r>
          </w:p>
        </w:tc>
        <w:tc>
          <w:tcPr>
            <w:tcW w:type="dxa" w:w="1247"/>
          </w:tcPr>
          <w:p>
            <w:pPr>
              <w:spacing w:after="20"/>
            </w:pPr>
            <w:r/>
            <w:r>
              <w:rPr>
                <w:b w:val="0"/>
                <w:i w:val="0"/>
                <w:sz w:val="20"/>
              </w:rPr>
              <w:t>47.1 %</w:t>
            </w:r>
          </w:p>
        </w:tc>
        <w:tc>
          <w:tcPr>
            <w:tcW w:type="dxa" w:w="1247"/>
          </w:tcPr>
          <w:p>
            <w:pPr>
              <w:spacing w:after="20"/>
            </w:pPr>
            <w:r/>
            <w:r>
              <w:rPr>
                <w:b w:val="0"/>
                <w:i w:val="0"/>
                <w:sz w:val="20"/>
              </w:rPr>
              <w:t>60.7 %</w:t>
            </w:r>
          </w:p>
        </w:tc>
      </w:tr>
      <w:tr>
        <w:tc>
          <w:tcPr>
            <w:tcW w:type="dxa" w:w="1247"/>
          </w:tcPr>
          <w:p>
            <w:pPr>
              <w:spacing w:after="20"/>
            </w:pPr>
            <w:r/>
            <w:r>
              <w:rPr>
                <w:b w:val="0"/>
                <w:i w:val="0"/>
                <w:sz w:val="20"/>
              </w:rPr>
              <w:t>2.0 m</w:t>
            </w:r>
          </w:p>
        </w:tc>
        <w:tc>
          <w:tcPr>
            <w:tcW w:type="dxa" w:w="1247"/>
          </w:tcPr>
          <w:p>
            <w:pPr>
              <w:spacing w:after="20"/>
            </w:pPr>
            <w:r/>
            <w:r>
              <w:rPr>
                <w:b w:val="0"/>
                <w:i w:val="0"/>
                <w:sz w:val="20"/>
              </w:rPr>
              <w:t>41.9 %</w:t>
            </w:r>
          </w:p>
        </w:tc>
        <w:tc>
          <w:tcPr>
            <w:tcW w:type="dxa" w:w="1247"/>
          </w:tcPr>
          <w:p>
            <w:pPr>
              <w:spacing w:after="20"/>
            </w:pPr>
            <w:r/>
            <w:r>
              <w:rPr>
                <w:b w:val="0"/>
                <w:i w:val="0"/>
                <w:sz w:val="20"/>
              </w:rPr>
              <w:t>55.3 %</w:t>
            </w:r>
          </w:p>
        </w:tc>
        <w:tc>
          <w:tcPr>
            <w:tcW w:type="dxa" w:w="1361"/>
          </w:tcPr>
          <w:p>
            <w:pPr>
              <w:spacing w:after="20"/>
            </w:pPr>
            <w:r/>
            <w:r>
              <w:rPr>
                <w:b w:val="0"/>
                <w:i w:val="0"/>
                <w:sz w:val="20"/>
              </w:rPr>
              <w:t>60.8 %</w:t>
            </w:r>
          </w:p>
        </w:tc>
        <w:tc>
          <w:tcPr>
            <w:tcW w:type="dxa" w:w="1361"/>
          </w:tcPr>
          <w:p>
            <w:pPr>
              <w:spacing w:after="20"/>
            </w:pPr>
            <w:r/>
            <w:r>
              <w:rPr>
                <w:b w:val="0"/>
                <w:i w:val="0"/>
                <w:sz w:val="20"/>
              </w:rPr>
              <w:t>64.5 %</w:t>
            </w:r>
          </w:p>
        </w:tc>
        <w:tc>
          <w:tcPr>
            <w:tcW w:type="dxa" w:w="1247"/>
          </w:tcPr>
          <w:p>
            <w:pPr>
              <w:spacing w:after="20"/>
            </w:pPr>
            <w:r/>
            <w:r>
              <w:rPr>
                <w:b w:val="0"/>
                <w:i w:val="0"/>
                <w:sz w:val="20"/>
              </w:rPr>
              <w:t>72.3 %</w:t>
            </w:r>
          </w:p>
        </w:tc>
        <w:tc>
          <w:tcPr>
            <w:tcW w:type="dxa" w:w="1247"/>
          </w:tcPr>
          <w:p>
            <w:pPr>
              <w:spacing w:after="20"/>
            </w:pPr>
            <w:r/>
            <w:r>
              <w:rPr>
                <w:b w:val="0"/>
                <w:i w:val="0"/>
                <w:sz w:val="20"/>
              </w:rPr>
              <w:t>82.1 %</w:t>
            </w:r>
          </w:p>
        </w:tc>
      </w:tr>
    </w:tbl>
    <w:p>
      <w:pPr>
        <w:spacing w:after="40"/>
      </w:pPr>
    </w:p>
    <w:p>
      <w:pPr>
        <w:pStyle w:val="Heading2"/>
      </w:pPr>
      <w:r>
        <w:t>6.6 What duration and quality do (mean model, semi-permanent, 1 m)</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268"/>
            <w:shd w:val="clear" w:color="auto" w:fill="041D3B"/>
          </w:tcPr>
          <w:p>
            <w:r/>
            <w:r>
              <w:rPr>
                <w:b/>
                <w:i w:val="0"/>
                <w:color w:val="FFFFFF"/>
                <w:sz w:val="20"/>
              </w:rPr>
              <w:t>Flood duration</w:t>
            </w:r>
          </w:p>
        </w:tc>
        <w:tc>
          <w:tcPr>
            <w:tcW w:type="dxa" w:w="2268"/>
            <w:shd w:val="clear" w:color="auto" w:fill="041D3B"/>
          </w:tcPr>
          <w:p>
            <w:r/>
            <w:r>
              <w:rPr>
                <w:b/>
                <w:i w:val="0"/>
                <w:color w:val="FFFFFF"/>
                <w:sz w:val="20"/>
              </w:rPr>
              <w:t>Poor quality (0)</w:t>
            </w:r>
          </w:p>
        </w:tc>
        <w:tc>
          <w:tcPr>
            <w:tcW w:type="dxa" w:w="2268"/>
            <w:shd w:val="clear" w:color="auto" w:fill="041D3B"/>
          </w:tcPr>
          <w:p>
            <w:r/>
            <w:r>
              <w:rPr>
                <w:b/>
                <w:i w:val="0"/>
                <w:color w:val="FFFFFF"/>
                <w:sz w:val="20"/>
              </w:rPr>
              <w:t>Average (0.5)</w:t>
            </w:r>
          </w:p>
        </w:tc>
        <w:tc>
          <w:tcPr>
            <w:tcW w:type="dxa" w:w="2551"/>
            <w:shd w:val="clear" w:color="auto" w:fill="041D3B"/>
          </w:tcPr>
          <w:p>
            <w:r/>
            <w:r>
              <w:rPr>
                <w:b/>
                <w:i w:val="0"/>
                <w:color w:val="FFFFFF"/>
                <w:sz w:val="20"/>
              </w:rPr>
              <w:t>Excellent (1)</w:t>
            </w:r>
          </w:p>
        </w:tc>
      </w:tr>
      <w:tr>
        <w:tc>
          <w:tcPr>
            <w:tcW w:type="dxa" w:w="2268"/>
          </w:tcPr>
          <w:p>
            <w:pPr>
              <w:spacing w:after="20"/>
            </w:pPr>
            <w:r/>
            <w:r>
              <w:rPr>
                <w:b w:val="0"/>
                <w:i w:val="0"/>
                <w:sz w:val="20"/>
              </w:rPr>
              <w:t>2 days</w:t>
            </w:r>
          </w:p>
        </w:tc>
        <w:tc>
          <w:tcPr>
            <w:tcW w:type="dxa" w:w="2268"/>
          </w:tcPr>
          <w:p>
            <w:pPr>
              <w:spacing w:after="20"/>
            </w:pPr>
            <w:r/>
            <w:r>
              <w:rPr>
                <w:b w:val="0"/>
                <w:i w:val="0"/>
                <w:sz w:val="20"/>
              </w:rPr>
              <w:t>40.4 %</w:t>
            </w:r>
          </w:p>
        </w:tc>
        <w:tc>
          <w:tcPr>
            <w:tcW w:type="dxa" w:w="2268"/>
          </w:tcPr>
          <w:p>
            <w:pPr>
              <w:spacing w:after="20"/>
            </w:pPr>
            <w:r/>
            <w:r>
              <w:rPr>
                <w:b w:val="0"/>
                <w:i w:val="0"/>
                <w:sz w:val="20"/>
              </w:rPr>
              <w:t>35.5 %</w:t>
            </w:r>
          </w:p>
        </w:tc>
        <w:tc>
          <w:tcPr>
            <w:tcW w:type="dxa" w:w="2551"/>
          </w:tcPr>
          <w:p>
            <w:pPr>
              <w:spacing w:after="20"/>
            </w:pPr>
            <w:r/>
            <w:r>
              <w:rPr>
                <w:b w:val="0"/>
                <w:i w:val="0"/>
                <w:sz w:val="20"/>
              </w:rPr>
              <w:t>32.3 %</w:t>
            </w:r>
          </w:p>
        </w:tc>
      </w:tr>
      <w:tr>
        <w:tc>
          <w:tcPr>
            <w:tcW w:type="dxa" w:w="2268"/>
          </w:tcPr>
          <w:p>
            <w:pPr>
              <w:spacing w:after="20"/>
            </w:pPr>
            <w:r/>
            <w:r>
              <w:rPr>
                <w:b w:val="0"/>
                <w:i w:val="0"/>
                <w:sz w:val="20"/>
              </w:rPr>
              <w:t>7 days</w:t>
            </w:r>
          </w:p>
        </w:tc>
        <w:tc>
          <w:tcPr>
            <w:tcW w:type="dxa" w:w="2268"/>
          </w:tcPr>
          <w:p>
            <w:pPr>
              <w:spacing w:after="20"/>
            </w:pPr>
            <w:r/>
            <w:r>
              <w:rPr>
                <w:b w:val="0"/>
                <w:i w:val="0"/>
                <w:sz w:val="20"/>
              </w:rPr>
              <w:t>46.0 %</w:t>
            </w:r>
          </w:p>
        </w:tc>
        <w:tc>
          <w:tcPr>
            <w:tcW w:type="dxa" w:w="2268"/>
          </w:tcPr>
          <w:p>
            <w:pPr>
              <w:spacing w:after="20"/>
            </w:pPr>
            <w:r/>
            <w:r>
              <w:rPr>
                <w:b w:val="0"/>
                <w:i w:val="0"/>
                <w:sz w:val="20"/>
              </w:rPr>
              <w:t>40.0 %</w:t>
            </w:r>
          </w:p>
        </w:tc>
        <w:tc>
          <w:tcPr>
            <w:tcW w:type="dxa" w:w="2551"/>
          </w:tcPr>
          <w:p>
            <w:pPr>
              <w:spacing w:after="20"/>
            </w:pPr>
            <w:r/>
            <w:r>
              <w:rPr>
                <w:b w:val="0"/>
                <w:i w:val="0"/>
                <w:sz w:val="20"/>
              </w:rPr>
              <w:t>36.4 %</w:t>
            </w:r>
          </w:p>
        </w:tc>
      </w:tr>
      <w:tr>
        <w:tc>
          <w:tcPr>
            <w:tcW w:type="dxa" w:w="2268"/>
          </w:tcPr>
          <w:p>
            <w:pPr>
              <w:spacing w:after="20"/>
            </w:pPr>
            <w:r/>
            <w:r>
              <w:rPr>
                <w:b w:val="0"/>
                <w:i w:val="0"/>
                <w:sz w:val="20"/>
              </w:rPr>
              <w:t>21 days</w:t>
            </w:r>
          </w:p>
        </w:tc>
        <w:tc>
          <w:tcPr>
            <w:tcW w:type="dxa" w:w="2268"/>
          </w:tcPr>
          <w:p>
            <w:pPr>
              <w:spacing w:after="20"/>
            </w:pPr>
            <w:r/>
            <w:r>
              <w:rPr>
                <w:b w:val="0"/>
                <w:i w:val="0"/>
                <w:sz w:val="20"/>
              </w:rPr>
              <w:t>47.5 %</w:t>
            </w:r>
          </w:p>
        </w:tc>
        <w:tc>
          <w:tcPr>
            <w:tcW w:type="dxa" w:w="2268"/>
          </w:tcPr>
          <w:p>
            <w:pPr>
              <w:spacing w:after="20"/>
            </w:pPr>
            <w:r/>
            <w:r>
              <w:rPr>
                <w:b w:val="0"/>
                <w:i w:val="0"/>
                <w:sz w:val="20"/>
              </w:rPr>
              <w:t>42.9 %</w:t>
            </w:r>
          </w:p>
        </w:tc>
        <w:tc>
          <w:tcPr>
            <w:tcW w:type="dxa" w:w="2551"/>
          </w:tcPr>
          <w:p>
            <w:pPr>
              <w:spacing w:after="20"/>
            </w:pPr>
            <w:r/>
            <w:r>
              <w:rPr>
                <w:b w:val="0"/>
                <w:i w:val="0"/>
                <w:sz w:val="20"/>
              </w:rPr>
              <w:t>40.5 %</w:t>
            </w:r>
          </w:p>
        </w:tc>
      </w:tr>
    </w:tbl>
    <w:p>
      <w:pPr>
        <w:spacing w:after="40"/>
      </w:pPr>
    </w:p>
    <w:p>
      <w:pPr>
        <w:spacing w:after="120"/>
      </w:pPr>
      <w:r>
        <w:rPr>
          <w:b w:val="0"/>
          <w:i w:val="0"/>
        </w:rPr>
        <w:t>Longer floods raise damage; better construction lowers it — exactly as the monotonic constraints require. The JRC baseline ignores both and would say 36.6 % in every cell.</w:t>
      </w:r>
    </w:p>
    <w:tbl>
      <w:tblPr>
        <w:tblW w:type="auto" w:w="0"/>
        <w:jc w:val="center"/>
        <w:tblLook w:firstColumn="1" w:firstRow="1" w:lastColumn="0" w:lastRow="0" w:noHBand="0" w:noVBand="1" w:val="04A0"/>
      </w:tblPr>
      <w:tblGrid>
        <w:gridCol w:w="9746"/>
      </w:tblGrid>
      <w:tr>
        <w:tc>
          <w:tcPr>
            <w:tcW w:type="dxa" w:w="9354"/>
            <w:shd w:val="clear" w:color="auto" w:fill="F6DDE3"/>
          </w:tcPr>
          <w:p>
            <w:r>
              <w:rPr>
                <w:b/>
                <w:i w:val="0"/>
                <w:color w:val="D11242"/>
                <w:sz w:val="22"/>
              </w:rPr>
              <w:t>In plain words</w:t>
            </w:r>
          </w:p>
          <w:p>
            <w:pPr>
              <w:spacing w:after="40"/>
            </w:pPr>
            <w:r>
              <w:rPr>
                <w:b/>
                <w:i w:val="0"/>
                <w:sz w:val="21"/>
              </w:rPr>
              <w:t>Mean model</w:t>
            </w:r>
            <w:r>
              <w:rPr>
                <w:b w:val="0"/>
                <w:i w:val="0"/>
                <w:sz w:val="21"/>
              </w:rPr>
              <w:t xml:space="preserve"> = the best single estimate of damage, used to compute money.</w:t>
            </w:r>
          </w:p>
          <w:p>
            <w:pPr>
              <w:spacing w:after="40"/>
            </w:pPr>
            <w:r>
              <w:rPr>
                <w:b/>
                <w:i w:val="0"/>
                <w:sz w:val="21"/>
              </w:rPr>
              <w:t>Quantile models</w:t>
            </w:r>
            <w:r>
              <w:rPr>
                <w:b w:val="0"/>
                <w:i w:val="0"/>
                <w:sz w:val="21"/>
              </w:rPr>
              <w:t xml:space="preserve"> = five lines describing the range of possible damage: lucky (q05), good (q25), typical (q50), bad (q75), very bad (q95). Together they draw the uncertainty band around the mean.</w:t>
            </w:r>
          </w:p>
          <w:p>
            <w:pPr>
              <w:spacing w:after="40"/>
            </w:pPr>
            <w:r>
              <w:rPr>
                <w:b w:val="0"/>
                <w:i w:val="0"/>
                <w:sz w:val="21"/>
              </w:rPr>
              <w:t>They are separate models trained on the same claims; only the scoring rule differs.</w:t>
            </w:r>
          </w:p>
        </w:tc>
      </w:tr>
    </w:tbl>
    <w:p>
      <w:pPr>
        <w:spacing w:after="40"/>
      </w:pPr>
    </w:p>
    <w:p>
      <w:pPr>
        <w:pStyle w:val="Heading1"/>
      </w:pPr>
      <w:r>
        <w:t>Part 7 — How the models were trained</w:t>
      </w:r>
    </w:p>
    <w:tbl>
      <w:tblPr>
        <w:tblStyle w:val="TableGrid"/>
        <w:tblW w:type="auto" w:w="0"/>
        <w:jc w:val="center"/>
        <w:tblLook w:firstColumn="1" w:firstRow="1" w:lastColumn="0" w:lastRow="0" w:noHBand="0" w:noVBand="1" w:val="04A0"/>
      </w:tblPr>
      <w:tblGrid>
        <w:gridCol w:w="3249"/>
        <w:gridCol w:w="3249"/>
        <w:gridCol w:w="3249"/>
      </w:tblGrid>
      <w:tr>
        <w:tc>
          <w:tcPr>
            <w:tcW w:type="dxa" w:w="2098"/>
            <w:shd w:val="clear" w:color="auto" w:fill="041D3B"/>
          </w:tcPr>
          <w:p>
            <w:r/>
            <w:r>
              <w:rPr>
                <w:b/>
                <w:i w:val="0"/>
                <w:color w:val="FFFFFF"/>
                <w:sz w:val="20"/>
              </w:rPr>
              <w:t>Setting</w:t>
            </w:r>
          </w:p>
        </w:tc>
        <w:tc>
          <w:tcPr>
            <w:tcW w:type="dxa" w:w="3855"/>
            <w:shd w:val="clear" w:color="auto" w:fill="041D3B"/>
          </w:tcPr>
          <w:p>
            <w:r/>
            <w:r>
              <w:rPr>
                <w:b/>
                <w:i w:val="0"/>
                <w:color w:val="FFFFFF"/>
                <w:sz w:val="20"/>
              </w:rPr>
              <w:t>Value</w:t>
            </w:r>
          </w:p>
        </w:tc>
        <w:tc>
          <w:tcPr>
            <w:tcW w:type="dxa" w:w="3402"/>
            <w:shd w:val="clear" w:color="auto" w:fill="041D3B"/>
          </w:tcPr>
          <w:p>
            <w:r/>
            <w:r>
              <w:rPr>
                <w:b/>
                <w:i w:val="0"/>
                <w:color w:val="FFFFFF"/>
                <w:sz w:val="20"/>
              </w:rPr>
              <w:t>Why</w:t>
            </w:r>
          </w:p>
        </w:tc>
      </w:tr>
      <w:tr>
        <w:tc>
          <w:tcPr>
            <w:tcW w:type="dxa" w:w="2098"/>
          </w:tcPr>
          <w:p>
            <w:pPr>
              <w:spacing w:after="20"/>
            </w:pPr>
            <w:r/>
            <w:r>
              <w:rPr>
                <w:b w:val="0"/>
                <w:i w:val="0"/>
                <w:sz w:val="20"/>
              </w:rPr>
              <w:t>Data split</w:t>
            </w:r>
          </w:p>
        </w:tc>
        <w:tc>
          <w:tcPr>
            <w:tcW w:type="dxa" w:w="3855"/>
          </w:tcPr>
          <w:p>
            <w:pPr>
              <w:spacing w:after="20"/>
            </w:pPr>
            <w:r/>
            <w:r>
              <w:rPr>
                <w:b w:val="0"/>
                <w:i w:val="0"/>
                <w:sz w:val="20"/>
              </w:rPr>
              <w:t>80 % training (24,000 claims) / 20 % test (6,000), balanced by class</w:t>
            </w:r>
          </w:p>
        </w:tc>
        <w:tc>
          <w:tcPr>
            <w:tcW w:type="dxa" w:w="3402"/>
          </w:tcPr>
          <w:p>
            <w:pPr>
              <w:spacing w:after="20"/>
            </w:pPr>
            <w:r/>
            <w:r>
              <w:rPr>
                <w:b w:val="0"/>
                <w:i w:val="0"/>
                <w:sz w:val="20"/>
              </w:rPr>
              <w:t>The test set is never seen during training, so scores are honest</w:t>
            </w:r>
          </w:p>
        </w:tc>
      </w:tr>
      <w:tr>
        <w:tc>
          <w:tcPr>
            <w:tcW w:type="dxa" w:w="2098"/>
          </w:tcPr>
          <w:p>
            <w:pPr>
              <w:spacing w:after="20"/>
            </w:pPr>
            <w:r/>
            <w:r>
              <w:rPr>
                <w:b w:val="0"/>
                <w:i w:val="0"/>
                <w:sz w:val="20"/>
              </w:rPr>
              <w:t>Mean model</w:t>
            </w:r>
          </w:p>
        </w:tc>
        <w:tc>
          <w:tcPr>
            <w:tcW w:type="dxa" w:w="3855"/>
          </w:tcPr>
          <w:p>
            <w:pPr>
              <w:spacing w:after="20"/>
            </w:pPr>
            <w:r/>
            <w:r>
              <w:rPr>
                <w:b w:val="0"/>
                <w:i w:val="0"/>
                <w:sz w:val="20"/>
              </w:rPr>
              <w:t>up to 600 trees, learning rate 0.05, max 31 leaves per tree, ≥ 40 claims per leaf, L2 regularisation 1.0</w:t>
            </w:r>
          </w:p>
        </w:tc>
        <w:tc>
          <w:tcPr>
            <w:tcW w:type="dxa" w:w="3402"/>
          </w:tcPr>
          <w:p>
            <w:pPr>
              <w:spacing w:after="20"/>
            </w:pPr>
            <w:r/>
            <w:r>
              <w:rPr>
                <w:b w:val="0"/>
                <w:i w:val="0"/>
                <w:sz w:val="20"/>
              </w:rPr>
              <w:t>Small steps and minimum leaf size stop it memorising noise</w:t>
            </w:r>
          </w:p>
        </w:tc>
      </w:tr>
      <w:tr>
        <w:tc>
          <w:tcPr>
            <w:tcW w:type="dxa" w:w="2098"/>
          </w:tcPr>
          <w:p>
            <w:pPr>
              <w:spacing w:after="20"/>
            </w:pPr>
            <w:r/>
            <w:r>
              <w:rPr>
                <w:b w:val="0"/>
                <w:i w:val="0"/>
                <w:sz w:val="20"/>
              </w:rPr>
              <w:t>Early stopping (mean model)</w:t>
            </w:r>
          </w:p>
        </w:tc>
        <w:tc>
          <w:tcPr>
            <w:tcW w:type="dxa" w:w="3855"/>
          </w:tcPr>
          <w:p>
            <w:pPr>
              <w:spacing w:after="20"/>
            </w:pPr>
            <w:r/>
            <w:r>
              <w:rPr>
                <w:b w:val="0"/>
                <w:i w:val="0"/>
                <w:sz w:val="20"/>
              </w:rPr>
              <w:t>10 % of the training set held aside; stop after 30 rounds with no improvement</w:t>
            </w:r>
          </w:p>
        </w:tc>
        <w:tc>
          <w:tcPr>
            <w:tcW w:type="dxa" w:w="3402"/>
          </w:tcPr>
          <w:p>
            <w:pPr>
              <w:spacing w:after="20"/>
            </w:pPr>
            <w:r/>
            <w:r>
              <w:rPr>
                <w:b w:val="0"/>
                <w:i w:val="0"/>
                <w:sz w:val="20"/>
              </w:rPr>
              <w:t>Picks the number of trees automatically</w:t>
            </w:r>
          </w:p>
        </w:tc>
      </w:tr>
      <w:tr>
        <w:tc>
          <w:tcPr>
            <w:tcW w:type="dxa" w:w="2098"/>
          </w:tcPr>
          <w:p>
            <w:pPr>
              <w:spacing w:after="20"/>
            </w:pPr>
            <w:r/>
            <w:r>
              <w:rPr>
                <w:b w:val="0"/>
                <w:i w:val="0"/>
                <w:sz w:val="20"/>
              </w:rPr>
              <w:t>Quantile models</w:t>
            </w:r>
          </w:p>
        </w:tc>
        <w:tc>
          <w:tcPr>
            <w:tcW w:type="dxa" w:w="3855"/>
          </w:tcPr>
          <w:p>
            <w:pPr>
              <w:spacing w:after="20"/>
            </w:pPr>
            <w:r/>
            <w:r>
              <w:rPr>
                <w:b w:val="0"/>
                <w:i w:val="0"/>
                <w:sz w:val="20"/>
              </w:rPr>
              <w:t>Same settings, fixed 400 trees, no early stopping</w:t>
            </w:r>
          </w:p>
        </w:tc>
        <w:tc>
          <w:tcPr>
            <w:tcW w:type="dxa" w:w="3402"/>
          </w:tcPr>
          <w:p>
            <w:pPr>
              <w:spacing w:after="20"/>
            </w:pPr>
            <w:r/>
            <w:r>
              <w:rPr>
                <w:b w:val="0"/>
                <w:i w:val="0"/>
                <w:sz w:val="20"/>
              </w:rPr>
              <w:t>Early stopping on the noisy tail quantiles can halt them too soon</w:t>
            </w:r>
          </w:p>
        </w:tc>
      </w:tr>
      <w:tr>
        <w:tc>
          <w:tcPr>
            <w:tcW w:type="dxa" w:w="2098"/>
          </w:tcPr>
          <w:p>
            <w:pPr>
              <w:spacing w:after="20"/>
            </w:pPr>
            <w:r/>
            <w:r>
              <w:rPr>
                <w:b w:val="0"/>
                <w:i w:val="0"/>
                <w:sz w:val="20"/>
              </w:rPr>
              <w:t>Tie-breaking jitter</w:t>
            </w:r>
          </w:p>
        </w:tc>
        <w:tc>
          <w:tcPr>
            <w:tcW w:type="dxa" w:w="3855"/>
          </w:tcPr>
          <w:p>
            <w:pPr>
              <w:spacing w:after="20"/>
            </w:pPr>
            <w:r/>
            <w:r>
              <w:rPr>
                <w:b w:val="0"/>
                <w:i w:val="0"/>
                <w:sz w:val="20"/>
              </w:rPr>
              <w:t>Training targets nudged by up to 0.001 for the quantile models</w:t>
            </w:r>
          </w:p>
        </w:tc>
        <w:tc>
          <w:tcPr>
            <w:tcW w:type="dxa" w:w="3402"/>
          </w:tcPr>
          <w:p>
            <w:pPr>
              <w:spacing w:after="20"/>
            </w:pPr>
            <w:r/>
            <w:r>
              <w:rPr>
                <w:b w:val="0"/>
                <w:i w:val="0"/>
                <w:sz w:val="20"/>
              </w:rPr>
              <w:t>About 20 % of claims are exactly 0; the tie would otherwise stall the low quantiles</w:t>
            </w:r>
          </w:p>
        </w:tc>
      </w:tr>
      <w:tr>
        <w:tc>
          <w:tcPr>
            <w:tcW w:type="dxa" w:w="2098"/>
          </w:tcPr>
          <w:p>
            <w:pPr>
              <w:spacing w:after="20"/>
            </w:pPr>
            <w:r/>
            <w:r>
              <w:rPr>
                <w:b w:val="0"/>
                <w:i w:val="0"/>
                <w:sz w:val="20"/>
              </w:rPr>
              <w:t>Monotonic constraints</w:t>
            </w:r>
          </w:p>
        </w:tc>
        <w:tc>
          <w:tcPr>
            <w:tcW w:type="dxa" w:w="3855"/>
          </w:tcPr>
          <w:p>
            <w:pPr>
              <w:spacing w:after="20"/>
            </w:pPr>
            <w:r/>
            <w:r>
              <w:rPr>
                <w:b w:val="0"/>
                <w:i w:val="0"/>
                <w:sz w:val="20"/>
              </w:rPr>
              <w:t>class: none · depth: + · duration: + · quality: −</w:t>
            </w:r>
          </w:p>
        </w:tc>
        <w:tc>
          <w:tcPr>
            <w:tcW w:type="dxa" w:w="3402"/>
          </w:tcPr>
          <w:p>
            <w:pPr>
              <w:spacing w:after="20"/>
            </w:pPr>
            <w:r/>
            <w:r>
              <w:rPr>
                <w:b w:val="0"/>
                <w:i w:val="0"/>
                <w:sz w:val="20"/>
              </w:rPr>
              <w:t>Physics (Part 5.3)</w:t>
            </w:r>
          </w:p>
        </w:tc>
      </w:tr>
      <w:tr>
        <w:tc>
          <w:tcPr>
            <w:tcW w:type="dxa" w:w="2098"/>
          </w:tcPr>
          <w:p>
            <w:pPr>
              <w:spacing w:after="20"/>
            </w:pPr>
            <w:r/>
            <w:r>
              <w:rPr>
                <w:b w:val="0"/>
                <w:i w:val="0"/>
                <w:sz w:val="20"/>
              </w:rPr>
              <w:t>Seed</w:t>
            </w:r>
          </w:p>
        </w:tc>
        <w:tc>
          <w:tcPr>
            <w:tcW w:type="dxa" w:w="3855"/>
          </w:tcPr>
          <w:p>
            <w:pPr>
              <w:spacing w:after="20"/>
            </w:pPr>
            <w:r/>
            <w:r>
              <w:rPr>
                <w:b w:val="0"/>
                <w:i w:val="0"/>
                <w:sz w:val="20"/>
              </w:rPr>
              <w:t>2026</w:t>
            </w:r>
          </w:p>
        </w:tc>
        <w:tc>
          <w:tcPr>
            <w:tcW w:type="dxa" w:w="3402"/>
          </w:tcPr>
          <w:p>
            <w:pPr>
              <w:spacing w:after="20"/>
            </w:pPr>
            <w:r/>
            <w:r>
              <w:rPr>
                <w:b w:val="0"/>
                <w:i w:val="0"/>
                <w:sz w:val="20"/>
              </w:rPr>
              <w:t>Fully reproducible</w:t>
            </w:r>
          </w:p>
        </w:tc>
      </w:tr>
    </w:tbl>
    <w:p>
      <w:pPr>
        <w:spacing w:after="40"/>
      </w:pPr>
    </w:p>
    <w:p>
      <w:pPr>
        <w:spacing w:after="120"/>
      </w:pPr>
      <w:r>
        <w:rPr>
          <w:b/>
          <w:i w:val="0"/>
        </w:rPr>
        <w:t>Baselines</w:t>
      </w:r>
      <w:r>
        <w:rPr>
          <w:b w:val="0"/>
          <w:i w:val="0"/>
        </w:rPr>
        <w:t xml:space="preserve"> trained/evaluated on the same split for comparison:</w:t>
      </w:r>
    </w:p>
    <w:p>
      <w:pPr>
        <w:pStyle w:val="ListBullet"/>
        <w:spacing w:after="60"/>
      </w:pPr>
      <w:r>
        <w:rPr>
          <w:b w:val="0"/>
          <w:i w:val="0"/>
        </w:rPr>
        <w:t xml:space="preserve">the </w:t>
      </w:r>
      <w:r>
        <w:rPr>
          <w:b/>
          <w:i w:val="0"/>
        </w:rPr>
        <w:t>adapted JRC curve</w:t>
      </w:r>
      <w:r>
        <w:rPr>
          <w:b w:val="0"/>
          <w:i w:val="0"/>
        </w:rPr>
        <w:t xml:space="preserve"> (no training — the deterministic formula from Part 2);</w:t>
      </w:r>
    </w:p>
    <w:p>
      <w:pPr>
        <w:pStyle w:val="ListBullet"/>
        <w:spacing w:after="60"/>
      </w:pPr>
      <w:r>
        <w:rPr>
          <w:b w:val="0"/>
          <w:i w:val="0"/>
        </w:rPr>
        <w:t xml:space="preserve">a </w:t>
      </w:r>
      <w:r>
        <w:rPr>
          <w:b/>
          <w:i w:val="0"/>
        </w:rPr>
        <w:t>per-class logistic (S-shaped) curve</w:t>
      </w:r>
      <w:r>
        <w:rPr>
          <w:b w:val="0"/>
          <w:i w:val="0"/>
        </w:rPr>
        <w:t xml:space="preserve"> fitted to the claims — the classic “fit a curve” approach.</w:t>
      </w:r>
    </w:p>
    <w:p>
      <w:pPr>
        <w:pStyle w:val="Heading1"/>
      </w:pPr>
      <w:r>
        <w:t>Part 8 — How good is it? Reading the validation results</w:t>
      </w:r>
    </w:p>
    <w:p>
      <w:pPr>
        <w:pStyle w:val="Heading2"/>
      </w:pPr>
      <w:r>
        <w:t>8.1 The mean model</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948"/>
            <w:shd w:val="clear" w:color="auto" w:fill="041D3B"/>
          </w:tcPr>
          <w:p>
            <w:r/>
            <w:r>
              <w:rPr>
                <w:b/>
                <w:i w:val="0"/>
                <w:color w:val="FFFFFF"/>
                <w:sz w:val="20"/>
              </w:rPr>
              <w:t>Model (6,000 test claims)</w:t>
            </w:r>
          </w:p>
        </w:tc>
        <w:tc>
          <w:tcPr>
            <w:tcW w:type="dxa" w:w="1531"/>
            <w:shd w:val="clear" w:color="auto" w:fill="041D3B"/>
          </w:tcPr>
          <w:p>
            <w:r/>
            <w:r>
              <w:rPr>
                <w:b/>
                <w:i w:val="0"/>
                <w:color w:val="FFFFFF"/>
                <w:sz w:val="20"/>
              </w:rPr>
              <w:t>R² vs observed</w:t>
            </w:r>
          </w:p>
        </w:tc>
        <w:tc>
          <w:tcPr>
            <w:tcW w:type="dxa" w:w="1587"/>
            <w:shd w:val="clear" w:color="auto" w:fill="041D3B"/>
          </w:tcPr>
          <w:p>
            <w:r/>
            <w:r>
              <w:rPr>
                <w:b/>
                <w:i w:val="0"/>
                <w:color w:val="FFFFFF"/>
                <w:sz w:val="20"/>
              </w:rPr>
              <w:t>MAE vs observed</w:t>
            </w:r>
          </w:p>
        </w:tc>
        <w:tc>
          <w:tcPr>
            <w:tcW w:type="dxa" w:w="1871"/>
            <w:shd w:val="clear" w:color="auto" w:fill="041D3B"/>
          </w:tcPr>
          <w:p>
            <w:r/>
            <w:r>
              <w:rPr>
                <w:b/>
                <w:i w:val="0"/>
                <w:color w:val="FFFFFF"/>
                <w:sz w:val="20"/>
              </w:rPr>
              <w:t>MAE vs true expected</w:t>
            </w:r>
          </w:p>
        </w:tc>
        <w:tc>
          <w:tcPr>
            <w:tcW w:type="dxa" w:w="1417"/>
            <w:shd w:val="clear" w:color="auto" w:fill="041D3B"/>
          </w:tcPr>
          <w:p>
            <w:r/>
            <w:r>
              <w:rPr>
                <w:b/>
                <w:i w:val="0"/>
                <w:color w:val="FFFFFF"/>
                <w:sz w:val="20"/>
              </w:rPr>
              <w:t>Bias</w:t>
            </w:r>
          </w:p>
        </w:tc>
      </w:tr>
      <w:tr>
        <w:tc>
          <w:tcPr>
            <w:tcW w:type="dxa" w:w="2948"/>
          </w:tcPr>
          <w:p>
            <w:pPr>
              <w:spacing w:after="20"/>
            </w:pPr>
            <w:r/>
            <w:r>
              <w:rPr>
                <w:b/>
                <w:i w:val="0"/>
                <w:sz w:val="20"/>
              </w:rPr>
              <w:t>ML mean model</w:t>
            </w:r>
          </w:p>
        </w:tc>
        <w:tc>
          <w:tcPr>
            <w:tcW w:type="dxa" w:w="1531"/>
          </w:tcPr>
          <w:p>
            <w:pPr>
              <w:spacing w:after="20"/>
            </w:pPr>
            <w:r/>
            <w:r>
              <w:rPr>
                <w:b/>
                <w:i w:val="0"/>
                <w:sz w:val="20"/>
              </w:rPr>
              <w:t>0.888</w:t>
            </w:r>
          </w:p>
        </w:tc>
        <w:tc>
          <w:tcPr>
            <w:tcW w:type="dxa" w:w="1587"/>
          </w:tcPr>
          <w:p>
            <w:pPr>
              <w:spacing w:after="20"/>
            </w:pPr>
            <w:r/>
            <w:r>
              <w:rPr>
                <w:b/>
                <w:i w:val="0"/>
                <w:sz w:val="20"/>
              </w:rPr>
              <w:t>0.078</w:t>
            </w:r>
          </w:p>
        </w:tc>
        <w:tc>
          <w:tcPr>
            <w:tcW w:type="dxa" w:w="1871"/>
          </w:tcPr>
          <w:p>
            <w:pPr>
              <w:spacing w:after="20"/>
            </w:pPr>
            <w:r/>
            <w:r>
              <w:rPr>
                <w:b/>
                <w:i w:val="0"/>
                <w:sz w:val="20"/>
              </w:rPr>
              <w:t>0.025</w:t>
            </w:r>
          </w:p>
        </w:tc>
        <w:tc>
          <w:tcPr>
            <w:tcW w:type="dxa" w:w="1417"/>
          </w:tcPr>
          <w:p>
            <w:pPr>
              <w:spacing w:after="20"/>
            </w:pPr>
            <w:r/>
            <w:r>
              <w:rPr>
                <w:b w:val="0"/>
                <w:i w:val="0"/>
                <w:sz w:val="20"/>
              </w:rPr>
              <w:t>+0.002</w:t>
            </w:r>
          </w:p>
        </w:tc>
      </w:tr>
      <w:tr>
        <w:tc>
          <w:tcPr>
            <w:tcW w:type="dxa" w:w="2948"/>
          </w:tcPr>
          <w:p>
            <w:pPr>
              <w:spacing w:after="20"/>
            </w:pPr>
            <w:r/>
            <w:r>
              <w:rPr>
                <w:b w:val="0"/>
                <w:i w:val="0"/>
                <w:sz w:val="20"/>
              </w:rPr>
              <w:t>Per-class logistic curve</w:t>
            </w:r>
          </w:p>
        </w:tc>
        <w:tc>
          <w:tcPr>
            <w:tcW w:type="dxa" w:w="1531"/>
          </w:tcPr>
          <w:p>
            <w:pPr>
              <w:spacing w:after="20"/>
            </w:pPr>
            <w:r/>
            <w:r>
              <w:rPr>
                <w:b w:val="0"/>
                <w:i w:val="0"/>
                <w:sz w:val="20"/>
              </w:rPr>
              <w:t>0.870</w:t>
            </w:r>
          </w:p>
        </w:tc>
        <w:tc>
          <w:tcPr>
            <w:tcW w:type="dxa" w:w="1587"/>
          </w:tcPr>
          <w:p>
            <w:pPr>
              <w:spacing w:after="20"/>
            </w:pPr>
            <w:r/>
            <w:r>
              <w:rPr>
                <w:b w:val="0"/>
                <w:i w:val="0"/>
                <w:sz w:val="20"/>
              </w:rPr>
              <w:t>0.087</w:t>
            </w:r>
          </w:p>
        </w:tc>
        <w:tc>
          <w:tcPr>
            <w:tcW w:type="dxa" w:w="1871"/>
          </w:tcPr>
          <w:p>
            <w:pPr>
              <w:spacing w:after="20"/>
            </w:pPr>
            <w:r/>
            <w:r>
              <w:rPr>
                <w:b w:val="0"/>
                <w:i w:val="0"/>
                <w:sz w:val="20"/>
              </w:rPr>
              <w:t>0.039</w:t>
            </w:r>
          </w:p>
        </w:tc>
        <w:tc>
          <w:tcPr>
            <w:tcW w:type="dxa" w:w="1417"/>
          </w:tcPr>
          <w:p>
            <w:pPr>
              <w:spacing w:after="20"/>
            </w:pPr>
            <w:r/>
            <w:r>
              <w:rPr>
                <w:b w:val="0"/>
                <w:i w:val="0"/>
                <w:sz w:val="20"/>
              </w:rPr>
              <w:t>+0.005</w:t>
            </w:r>
          </w:p>
        </w:tc>
      </w:tr>
      <w:tr>
        <w:tc>
          <w:tcPr>
            <w:tcW w:type="dxa" w:w="2948"/>
          </w:tcPr>
          <w:p>
            <w:pPr>
              <w:spacing w:after="20"/>
            </w:pPr>
            <w:r/>
            <w:r>
              <w:rPr>
                <w:b w:val="0"/>
                <w:i w:val="0"/>
                <w:sz w:val="20"/>
              </w:rPr>
              <w:t>Adapted JRC curve</w:t>
            </w:r>
          </w:p>
        </w:tc>
        <w:tc>
          <w:tcPr>
            <w:tcW w:type="dxa" w:w="1531"/>
          </w:tcPr>
          <w:p>
            <w:pPr>
              <w:spacing w:after="20"/>
            </w:pPr>
            <w:r/>
            <w:r>
              <w:rPr>
                <w:b w:val="0"/>
                <w:i w:val="0"/>
                <w:sz w:val="20"/>
              </w:rPr>
              <w:t>0.870</w:t>
            </w:r>
          </w:p>
        </w:tc>
        <w:tc>
          <w:tcPr>
            <w:tcW w:type="dxa" w:w="1587"/>
          </w:tcPr>
          <w:p>
            <w:pPr>
              <w:spacing w:after="20"/>
            </w:pPr>
            <w:r/>
            <w:r>
              <w:rPr>
                <w:b w:val="0"/>
                <w:i w:val="0"/>
                <w:sz w:val="20"/>
              </w:rPr>
              <w:t>0.084</w:t>
            </w:r>
          </w:p>
        </w:tc>
        <w:tc>
          <w:tcPr>
            <w:tcW w:type="dxa" w:w="1871"/>
          </w:tcPr>
          <w:p>
            <w:pPr>
              <w:spacing w:after="20"/>
            </w:pPr>
            <w:r/>
            <w:r>
              <w:rPr>
                <w:b w:val="0"/>
                <w:i w:val="0"/>
                <w:sz w:val="20"/>
              </w:rPr>
              <w:t>0.035</w:t>
            </w:r>
          </w:p>
        </w:tc>
        <w:tc>
          <w:tcPr>
            <w:tcW w:type="dxa" w:w="1417"/>
          </w:tcPr>
          <w:p>
            <w:pPr>
              <w:spacing w:after="20"/>
            </w:pPr>
            <w:r/>
            <w:r>
              <w:rPr>
                <w:b w:val="0"/>
                <w:i w:val="0"/>
                <w:sz w:val="20"/>
              </w:rPr>
              <w:t>−0.007</w:t>
            </w:r>
          </w:p>
        </w:tc>
      </w:tr>
    </w:tbl>
    <w:p>
      <w:pPr>
        <w:spacing w:after="40"/>
      </w:pPr>
    </w:p>
    <w:p>
      <w:pPr>
        <w:pStyle w:val="ListBullet"/>
        <w:spacing w:after="60"/>
      </w:pPr>
      <w:r>
        <w:rPr>
          <w:b/>
          <w:i w:val="0"/>
        </w:rPr>
        <w:t>R² (0 to 1)</w:t>
      </w:r>
      <w:r>
        <w:rPr>
          <w:b w:val="0"/>
          <w:i w:val="0"/>
        </w:rPr>
        <w:t xml:space="preserve"> — the share of the variation in claims the model explains. 0.888 = 88.8 %.</w:t>
      </w:r>
    </w:p>
    <w:p>
      <w:pPr>
        <w:pStyle w:val="ListBullet"/>
        <w:spacing w:after="60"/>
      </w:pPr>
      <w:r>
        <w:rPr>
          <w:b/>
          <w:i w:val="0"/>
        </w:rPr>
        <w:t>Noise ceiling 0.898</w:t>
      </w:r>
      <w:r>
        <w:rPr>
          <w:b w:val="0"/>
          <w:i w:val="0"/>
        </w:rPr>
        <w:t xml:space="preserve"> — even the *true* expected damage only scores 0.898, because the claims contain random scatter no model can predict. The ML model is within 0.01 of the best possible.</w:t>
      </w:r>
    </w:p>
    <w:p>
      <w:pPr>
        <w:pStyle w:val="ListBullet"/>
        <w:spacing w:after="60"/>
      </w:pPr>
      <w:r>
        <w:rPr>
          <w:b/>
          <w:i w:val="0"/>
        </w:rPr>
        <w:t>MAE (mean absolute error)</w:t>
      </w:r>
      <w:r>
        <w:rPr>
          <w:b w:val="0"/>
          <w:i w:val="0"/>
        </w:rPr>
        <w:t xml:space="preserve"> — the average miss in damage-ratio points. Against the noisy observed claims it is 7.8 points (mostly irreducible noise); against the </w:t>
      </w:r>
      <w:r>
        <w:rPr>
          <w:b/>
          <w:i w:val="0"/>
        </w:rPr>
        <w:t>true</w:t>
      </w:r>
      <w:r>
        <w:rPr>
          <w:b w:val="0"/>
          <w:i w:val="0"/>
        </w:rPr>
        <w:t xml:space="preserve"> expected damage only </w:t>
      </w:r>
      <w:r>
        <w:rPr>
          <w:b/>
          <w:i w:val="0"/>
        </w:rPr>
        <w:t>2.5 points</w:t>
      </w:r>
      <w:r>
        <w:rPr>
          <w:b w:val="0"/>
          <w:i w:val="0"/>
        </w:rPr>
        <w:t>.</w:t>
      </w:r>
    </w:p>
    <w:p>
      <w:pPr>
        <w:pStyle w:val="ListBullet"/>
        <w:spacing w:after="60"/>
      </w:pPr>
      <w:r>
        <w:rPr>
          <w:b/>
          <w:i w:val="0"/>
        </w:rPr>
        <w:t>29 % lower error than the JRC curve</w:t>
      </w:r>
      <w:r>
        <w:rPr>
          <w:b w:val="0"/>
          <w:i w:val="0"/>
        </w:rPr>
        <w:t xml:space="preserve"> (0.025 vs 0.035) and </w:t>
      </w:r>
      <w:r>
        <w:rPr>
          <w:b/>
          <w:i w:val="0"/>
        </w:rPr>
        <w:t>36 % lower than the logistic curve</w:t>
      </w:r>
      <w:r>
        <w:rPr>
          <w:b w:val="0"/>
          <w:i w:val="0"/>
        </w:rPr>
        <w:t xml:space="preserve"> (0.039): the ML picks up duration, quality and the two-source blend that single curves miss.</w:t>
      </w:r>
    </w:p>
    <w:p>
      <w:pPr>
        <w:pStyle w:val="ListBullet"/>
        <w:spacing w:after="60"/>
      </w:pPr>
      <w:r>
        <w:rPr>
          <w:b/>
          <w:i w:val="0"/>
        </w:rPr>
        <w:t>5-fold cross-validation R² 0.889 ± 0.003</w:t>
      </w:r>
      <w:r>
        <w:rPr>
          <w:b w:val="0"/>
          <w:i w:val="0"/>
        </w:rPr>
        <w:t xml:space="preserve"> — retraining on different slices gives the same quality; the result is stable, not luck.</w:t>
      </w:r>
    </w:p>
    <w:p>
      <w:pPr>
        <w:pStyle w:val="ListBullet"/>
        <w:spacing w:after="60"/>
      </w:pPr>
      <w:r>
        <w:rPr>
          <w:b/>
          <w:i w:val="0"/>
        </w:rPr>
        <w:t>Bias ≈ 0</w:t>
      </w:r>
      <w:r>
        <w:rPr>
          <w:b w:val="0"/>
          <w:i w:val="0"/>
        </w:rPr>
        <w:t xml:space="preserve"> — on average it neither over- nor under-predicts.</w:t>
      </w:r>
    </w:p>
    <w:p>
      <w:pPr>
        <w:pStyle w:val="Heading2"/>
      </w:pPr>
      <w:r>
        <w:t>8.2 The quantile models (calibration)</w:t>
      </w:r>
    </w:p>
    <w:p>
      <w:pPr>
        <w:spacing w:after="120"/>
      </w:pPr>
      <w:r>
        <w:rPr>
          <w:b w:val="0"/>
          <w:i w:val="0"/>
        </w:rPr>
        <w:t xml:space="preserve">A quantile model is good if it is </w:t>
      </w:r>
      <w:r>
        <w:rPr>
          <w:b/>
          <w:i w:val="0"/>
        </w:rPr>
        <w:t>calibrated</w:t>
      </w:r>
      <w:r>
        <w:rPr>
          <w:b w:val="0"/>
          <w:i w:val="0"/>
        </w:rPr>
        <w:t>: the q95 line should have about 95 % of claims below it, the q25 line about 25 %, and so on.</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3118"/>
            <w:shd w:val="clear" w:color="auto" w:fill="041D3B"/>
          </w:tcPr>
          <w:p>
            <w:r/>
            <w:r>
              <w:rPr>
                <w:b/>
                <w:i w:val="0"/>
                <w:color w:val="FFFFFF"/>
                <w:sz w:val="20"/>
              </w:rPr>
              <w:t>Quantile model</w:t>
            </w:r>
          </w:p>
        </w:tc>
        <w:tc>
          <w:tcPr>
            <w:tcW w:type="dxa" w:w="1247"/>
            <w:shd w:val="clear" w:color="auto" w:fill="041D3B"/>
          </w:tcPr>
          <w:p>
            <w:r/>
            <w:r>
              <w:rPr>
                <w:b/>
                <w:i w:val="0"/>
                <w:color w:val="FFFFFF"/>
                <w:sz w:val="20"/>
              </w:rPr>
              <w:t>q05</w:t>
            </w:r>
          </w:p>
        </w:tc>
        <w:tc>
          <w:tcPr>
            <w:tcW w:type="dxa" w:w="1247"/>
            <w:shd w:val="clear" w:color="auto" w:fill="041D3B"/>
          </w:tcPr>
          <w:p>
            <w:r/>
            <w:r>
              <w:rPr>
                <w:b/>
                <w:i w:val="0"/>
                <w:color w:val="FFFFFF"/>
                <w:sz w:val="20"/>
              </w:rPr>
              <w:t>q25</w:t>
            </w:r>
          </w:p>
        </w:tc>
        <w:tc>
          <w:tcPr>
            <w:tcW w:type="dxa" w:w="1247"/>
            <w:shd w:val="clear" w:color="auto" w:fill="041D3B"/>
          </w:tcPr>
          <w:p>
            <w:r/>
            <w:r>
              <w:rPr>
                <w:b/>
                <w:i w:val="0"/>
                <w:color w:val="FFFFFF"/>
                <w:sz w:val="20"/>
              </w:rPr>
              <w:t>q50</w:t>
            </w:r>
          </w:p>
        </w:tc>
        <w:tc>
          <w:tcPr>
            <w:tcW w:type="dxa" w:w="1247"/>
            <w:shd w:val="clear" w:color="auto" w:fill="041D3B"/>
          </w:tcPr>
          <w:p>
            <w:r/>
            <w:r>
              <w:rPr>
                <w:b/>
                <w:i w:val="0"/>
                <w:color w:val="FFFFFF"/>
                <w:sz w:val="20"/>
              </w:rPr>
              <w:t>q75</w:t>
            </w:r>
          </w:p>
        </w:tc>
        <w:tc>
          <w:tcPr>
            <w:tcW w:type="dxa" w:w="1247"/>
            <w:shd w:val="clear" w:color="auto" w:fill="041D3B"/>
          </w:tcPr>
          <w:p>
            <w:r/>
            <w:r>
              <w:rPr>
                <w:b/>
                <w:i w:val="0"/>
                <w:color w:val="FFFFFF"/>
                <w:sz w:val="20"/>
              </w:rPr>
              <w:t>q95</w:t>
            </w:r>
          </w:p>
        </w:tc>
      </w:tr>
      <w:tr>
        <w:tc>
          <w:tcPr>
            <w:tcW w:type="dxa" w:w="3118"/>
          </w:tcPr>
          <w:p>
            <w:pPr>
              <w:spacing w:after="20"/>
            </w:pPr>
            <w:r/>
            <w:r>
              <w:rPr>
                <w:b w:val="0"/>
                <w:i w:val="0"/>
                <w:sz w:val="20"/>
              </w:rPr>
              <w:t>Target share of claims below</w:t>
            </w:r>
          </w:p>
        </w:tc>
        <w:tc>
          <w:tcPr>
            <w:tcW w:type="dxa" w:w="1247"/>
          </w:tcPr>
          <w:p>
            <w:pPr>
              <w:spacing w:after="20"/>
            </w:pPr>
            <w:r/>
            <w:r>
              <w:rPr>
                <w:b w:val="0"/>
                <w:i w:val="0"/>
                <w:sz w:val="20"/>
              </w:rPr>
              <w:t>5 %</w:t>
            </w:r>
          </w:p>
        </w:tc>
        <w:tc>
          <w:tcPr>
            <w:tcW w:type="dxa" w:w="1247"/>
          </w:tcPr>
          <w:p>
            <w:pPr>
              <w:spacing w:after="20"/>
            </w:pPr>
            <w:r/>
            <w:r>
              <w:rPr>
                <w:b w:val="0"/>
                <w:i w:val="0"/>
                <w:sz w:val="20"/>
              </w:rPr>
              <w:t>25 %</w:t>
            </w:r>
          </w:p>
        </w:tc>
        <w:tc>
          <w:tcPr>
            <w:tcW w:type="dxa" w:w="1247"/>
          </w:tcPr>
          <w:p>
            <w:pPr>
              <w:spacing w:after="20"/>
            </w:pPr>
            <w:r/>
            <w:r>
              <w:rPr>
                <w:b w:val="0"/>
                <w:i w:val="0"/>
                <w:sz w:val="20"/>
              </w:rPr>
              <w:t>50 %</w:t>
            </w:r>
          </w:p>
        </w:tc>
        <w:tc>
          <w:tcPr>
            <w:tcW w:type="dxa" w:w="1247"/>
          </w:tcPr>
          <w:p>
            <w:pPr>
              <w:spacing w:after="20"/>
            </w:pPr>
            <w:r/>
            <w:r>
              <w:rPr>
                <w:b w:val="0"/>
                <w:i w:val="0"/>
                <w:sz w:val="20"/>
              </w:rPr>
              <w:t>75 %</w:t>
            </w:r>
          </w:p>
        </w:tc>
        <w:tc>
          <w:tcPr>
            <w:tcW w:type="dxa" w:w="1247"/>
          </w:tcPr>
          <w:p>
            <w:pPr>
              <w:spacing w:after="20"/>
            </w:pPr>
            <w:r/>
            <w:r>
              <w:rPr>
                <w:b w:val="0"/>
                <w:i w:val="0"/>
                <w:sz w:val="20"/>
              </w:rPr>
              <w:t>95 %</w:t>
            </w:r>
          </w:p>
        </w:tc>
      </w:tr>
      <w:tr>
        <w:tc>
          <w:tcPr>
            <w:tcW w:type="dxa" w:w="3118"/>
          </w:tcPr>
          <w:p>
            <w:pPr>
              <w:spacing w:after="20"/>
            </w:pPr>
            <w:r/>
            <w:r>
              <w:rPr>
                <w:b w:val="0"/>
                <w:i w:val="0"/>
                <w:sz w:val="20"/>
              </w:rPr>
              <w:t>Actual share below (test set)</w:t>
            </w:r>
          </w:p>
        </w:tc>
        <w:tc>
          <w:tcPr>
            <w:tcW w:type="dxa" w:w="1247"/>
          </w:tcPr>
          <w:p>
            <w:pPr>
              <w:spacing w:after="20"/>
            </w:pPr>
            <w:r/>
            <w:r>
              <w:rPr>
                <w:b w:val="0"/>
                <w:i w:val="0"/>
                <w:sz w:val="20"/>
              </w:rPr>
              <w:t>15.6 %</w:t>
            </w:r>
          </w:p>
        </w:tc>
        <w:tc>
          <w:tcPr>
            <w:tcW w:type="dxa" w:w="1247"/>
          </w:tcPr>
          <w:p>
            <w:pPr>
              <w:spacing w:after="20"/>
            </w:pPr>
            <w:r/>
            <w:r>
              <w:rPr>
                <w:b w:val="0"/>
                <w:i w:val="0"/>
                <w:sz w:val="20"/>
              </w:rPr>
              <w:t>32.9 %</w:t>
            </w:r>
          </w:p>
        </w:tc>
        <w:tc>
          <w:tcPr>
            <w:tcW w:type="dxa" w:w="1247"/>
          </w:tcPr>
          <w:p>
            <w:pPr>
              <w:spacing w:after="20"/>
            </w:pPr>
            <w:r/>
            <w:r>
              <w:rPr>
                <w:b w:val="0"/>
                <w:i w:val="0"/>
                <w:sz w:val="20"/>
              </w:rPr>
              <w:t>55.5 %</w:t>
            </w:r>
          </w:p>
        </w:tc>
        <w:tc>
          <w:tcPr>
            <w:tcW w:type="dxa" w:w="1247"/>
          </w:tcPr>
          <w:p>
            <w:pPr>
              <w:spacing w:after="20"/>
            </w:pPr>
            <w:r/>
            <w:r>
              <w:rPr>
                <w:b w:val="0"/>
                <w:i w:val="0"/>
                <w:sz w:val="20"/>
              </w:rPr>
              <w:t>77.4 %</w:t>
            </w:r>
          </w:p>
        </w:tc>
        <w:tc>
          <w:tcPr>
            <w:tcW w:type="dxa" w:w="1247"/>
          </w:tcPr>
          <w:p>
            <w:pPr>
              <w:spacing w:after="20"/>
            </w:pPr>
            <w:r/>
            <w:r>
              <w:rPr>
                <w:b w:val="0"/>
                <w:i w:val="0"/>
                <w:sz w:val="20"/>
              </w:rPr>
              <w:t>94.7 %</w:t>
            </w:r>
          </w:p>
        </w:tc>
      </w:tr>
    </w:tbl>
    <w:p>
      <w:pPr>
        <w:spacing w:after="40"/>
      </w:pPr>
    </w:p>
    <w:p>
      <w:pPr>
        <w:pStyle w:val="ListBullet"/>
        <w:spacing w:after="60"/>
      </w:pPr>
      <w:r>
        <w:rPr>
          <w:b w:val="0"/>
          <w:i w:val="0"/>
        </w:rPr>
        <w:t>The upper models (q75, q95) are well calibrated — which matters most, because they drive the bad-year losses.</w:t>
      </w:r>
    </w:p>
    <w:p>
      <w:pPr>
        <w:pStyle w:val="ListBullet"/>
        <w:spacing w:after="60"/>
      </w:pPr>
      <w:r>
        <w:rPr>
          <w:b w:val="0"/>
          <w:i w:val="0"/>
        </w:rPr>
        <w:t xml:space="preserve">The q05 model is too high in </w:t>
      </w:r>
      <w:r>
        <w:rPr>
          <w:b/>
          <w:i w:val="0"/>
        </w:rPr>
        <w:t>shallow water</w:t>
      </w:r>
      <w:r>
        <w:rPr>
          <w:b w:val="0"/>
          <w:i w:val="0"/>
        </w:rPr>
        <w:t>: many shallow claims are exactly 0 (no claim at all), and a smooth model can't put its 5 % line exactly on zero. We report this openly.</w:t>
      </w:r>
    </w:p>
    <w:p>
      <w:pPr>
        <w:pStyle w:val="ListBullet"/>
        <w:spacing w:after="60"/>
      </w:pPr>
      <w:r>
        <w:rPr>
          <w:b/>
          <w:i w:val="0"/>
        </w:rPr>
        <w:t>Coverage:</w:t>
      </w:r>
      <w:r>
        <w:rPr>
          <w:b w:val="0"/>
          <w:i w:val="0"/>
        </w:rPr>
        <w:t xml:space="preserve"> the 90 % band (q05–q95) contains 82 % of all test claims, and </w:t>
      </w:r>
      <w:r>
        <w:rPr>
          <w:b/>
          <w:i w:val="0"/>
        </w:rPr>
        <w:t>88 % of claims where water is deeper than 0.5 m</w:t>
      </w:r>
      <w:r>
        <w:rPr>
          <w:b w:val="0"/>
          <w:i w:val="0"/>
        </w:rPr>
        <w:t xml:space="preserve"> — close to the 90 % target where losses actually happen. The 50 % band (q25–q75) contains 45 %.</w:t>
      </w:r>
    </w:p>
    <w:p>
      <w:pPr>
        <w:pStyle w:val="Heading2"/>
      </w:pPr>
      <w:r>
        <w:t>8.3 Which inputs matter most (permutation importance)</w:t>
      </w:r>
    </w:p>
    <w:p>
      <w:pPr>
        <w:spacing w:after="120"/>
      </w:pPr>
      <w:r>
        <w:rPr>
          <w:b w:val="0"/>
          <w:i w:val="0"/>
        </w:rPr>
        <w:t>Shuffle one input at random and see how much R² drops — the bigger the drop, the more the model relies on it:</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val="clear" w:color="auto" w:fill="041D3B"/>
          </w:tcPr>
          <w:p>
            <w:r/>
            <w:r>
              <w:rPr>
                <w:b/>
                <w:i w:val="0"/>
                <w:color w:val="FFFFFF"/>
                <w:sz w:val="20"/>
              </w:rPr>
              <w:t>Input</w:t>
            </w:r>
          </w:p>
        </w:tc>
        <w:tc>
          <w:tcPr>
            <w:tcW w:type="dxa" w:w="2551"/>
            <w:shd w:val="clear" w:color="auto" w:fill="041D3B"/>
          </w:tcPr>
          <w:p>
            <w:r/>
            <w:r>
              <w:rPr>
                <w:b/>
                <w:i w:val="0"/>
                <w:color w:val="FFFFFF"/>
                <w:sz w:val="20"/>
              </w:rPr>
              <w:t>R² drop when shuffled</w:t>
            </w:r>
          </w:p>
        </w:tc>
        <w:tc>
          <w:tcPr>
            <w:tcW w:type="dxa" w:w="4535"/>
            <w:shd w:val="clear" w:color="auto" w:fill="041D3B"/>
          </w:tcPr>
          <w:p>
            <w:r/>
            <w:r>
              <w:rPr>
                <w:b/>
                <w:i w:val="0"/>
                <w:color w:val="FFFFFF"/>
                <w:sz w:val="20"/>
              </w:rPr>
              <w:t>Reading</w:t>
            </w:r>
          </w:p>
        </w:tc>
      </w:tr>
      <w:tr>
        <w:tc>
          <w:tcPr>
            <w:tcW w:type="dxa" w:w="2268"/>
          </w:tcPr>
          <w:p>
            <w:pPr>
              <w:spacing w:after="20"/>
            </w:pPr>
            <w:r/>
            <w:r>
              <w:rPr>
                <w:b w:val="0"/>
                <w:i w:val="0"/>
                <w:sz w:val="20"/>
              </w:rPr>
              <w:t>Flood depth</w:t>
            </w:r>
          </w:p>
        </w:tc>
        <w:tc>
          <w:tcPr>
            <w:tcW w:type="dxa" w:w="2551"/>
          </w:tcPr>
          <w:p>
            <w:pPr>
              <w:spacing w:after="20"/>
            </w:pPr>
            <w:r/>
            <w:r>
              <w:rPr>
                <w:b w:val="0"/>
                <w:i w:val="0"/>
                <w:sz w:val="20"/>
              </w:rPr>
              <w:t>1.617</w:t>
            </w:r>
          </w:p>
        </w:tc>
        <w:tc>
          <w:tcPr>
            <w:tcW w:type="dxa" w:w="4535"/>
          </w:tcPr>
          <w:p>
            <w:pPr>
              <w:spacing w:after="20"/>
            </w:pPr>
            <w:r/>
            <w:r>
              <w:rPr>
                <w:b w:val="0"/>
                <w:i w:val="0"/>
                <w:sz w:val="20"/>
              </w:rPr>
              <w:t>Dominant — without it the model is useless</w:t>
            </w:r>
          </w:p>
        </w:tc>
      </w:tr>
      <w:tr>
        <w:tc>
          <w:tcPr>
            <w:tcW w:type="dxa" w:w="2268"/>
          </w:tcPr>
          <w:p>
            <w:pPr>
              <w:spacing w:after="20"/>
            </w:pPr>
            <w:r/>
            <w:r>
              <w:rPr>
                <w:b w:val="0"/>
                <w:i w:val="0"/>
                <w:sz w:val="20"/>
              </w:rPr>
              <w:t>Construction class</w:t>
            </w:r>
          </w:p>
        </w:tc>
        <w:tc>
          <w:tcPr>
            <w:tcW w:type="dxa" w:w="2551"/>
          </w:tcPr>
          <w:p>
            <w:pPr>
              <w:spacing w:after="20"/>
            </w:pPr>
            <w:r/>
            <w:r>
              <w:rPr>
                <w:b w:val="0"/>
                <w:i w:val="0"/>
                <w:sz w:val="20"/>
              </w:rPr>
              <w:t>0.197</w:t>
            </w:r>
          </w:p>
        </w:tc>
        <w:tc>
          <w:tcPr>
            <w:tcW w:type="dxa" w:w="4535"/>
          </w:tcPr>
          <w:p>
            <w:pPr>
              <w:spacing w:after="20"/>
            </w:pPr>
            <w:r/>
            <w:r>
              <w:rPr>
                <w:b w:val="0"/>
                <w:i w:val="0"/>
                <w:sz w:val="20"/>
              </w:rPr>
              <w:t>Important</w:t>
            </w:r>
          </w:p>
        </w:tc>
      </w:tr>
      <w:tr>
        <w:tc>
          <w:tcPr>
            <w:tcW w:type="dxa" w:w="2268"/>
          </w:tcPr>
          <w:p>
            <w:pPr>
              <w:spacing w:after="20"/>
            </w:pPr>
            <w:r/>
            <w:r>
              <w:rPr>
                <w:b w:val="0"/>
                <w:i w:val="0"/>
                <w:sz w:val="20"/>
              </w:rPr>
              <w:t>Flood duration</w:t>
            </w:r>
          </w:p>
        </w:tc>
        <w:tc>
          <w:tcPr>
            <w:tcW w:type="dxa" w:w="2551"/>
          </w:tcPr>
          <w:p>
            <w:pPr>
              <w:spacing w:after="20"/>
            </w:pPr>
            <w:r/>
            <w:r>
              <w:rPr>
                <w:b w:val="0"/>
                <w:i w:val="0"/>
                <w:sz w:val="20"/>
              </w:rPr>
              <w:t>0.022</w:t>
            </w:r>
          </w:p>
        </w:tc>
        <w:tc>
          <w:tcPr>
            <w:tcW w:type="dxa" w:w="4535"/>
          </w:tcPr>
          <w:p>
            <w:pPr>
              <w:spacing w:after="20"/>
            </w:pPr>
            <w:r/>
            <w:r>
              <w:rPr>
                <w:b w:val="0"/>
                <w:i w:val="0"/>
                <w:sz w:val="20"/>
              </w:rPr>
              <w:t>Second-order but real</w:t>
            </w:r>
          </w:p>
        </w:tc>
      </w:tr>
      <w:tr>
        <w:tc>
          <w:tcPr>
            <w:tcW w:type="dxa" w:w="2268"/>
          </w:tcPr>
          <w:p>
            <w:pPr>
              <w:spacing w:after="20"/>
            </w:pPr>
            <w:r/>
            <w:r>
              <w:rPr>
                <w:b w:val="0"/>
                <w:i w:val="0"/>
                <w:sz w:val="20"/>
              </w:rPr>
              <w:t>Build quality</w:t>
            </w:r>
          </w:p>
        </w:tc>
        <w:tc>
          <w:tcPr>
            <w:tcW w:type="dxa" w:w="2551"/>
          </w:tcPr>
          <w:p>
            <w:pPr>
              <w:spacing w:after="20"/>
            </w:pPr>
            <w:r/>
            <w:r>
              <w:rPr>
                <w:b w:val="0"/>
                <w:i w:val="0"/>
                <w:sz w:val="20"/>
              </w:rPr>
              <w:t>0.010</w:t>
            </w:r>
          </w:p>
        </w:tc>
        <w:tc>
          <w:tcPr>
            <w:tcW w:type="dxa" w:w="4535"/>
          </w:tcPr>
          <w:p>
            <w:pPr>
              <w:spacing w:after="20"/>
            </w:pPr>
            <w:r/>
            <w:r>
              <w:rPr>
                <w:b w:val="0"/>
                <w:i w:val="0"/>
                <w:sz w:val="20"/>
              </w:rPr>
              <w:t>Second-order but real</w:t>
            </w:r>
          </w:p>
        </w:tc>
      </w:tr>
    </w:tbl>
    <w:p>
      <w:pPr>
        <w:spacing w:after="40"/>
      </w:pPr>
    </w:p>
    <w:p>
      <w:pPr>
        <w:pStyle w:val="Heading1"/>
      </w:pPr>
      <w:r>
        <w:t>Part 9 — From trained models to a lookup table the app can use</w:t>
      </w:r>
    </w:p>
    <w:p>
      <w:pPr>
        <w:spacing w:after="120"/>
      </w:pPr>
      <w:r>
        <w:rPr>
          <w:b/>
          <w:i w:val="0"/>
        </w:rPr>
        <w:t>In plain words.</w:t>
      </w:r>
      <w:r>
        <w:rPr>
          <w:b w:val="0"/>
          <w:i w:val="0"/>
        </w:rPr>
        <w:t xml:space="preserve"> The trained models live in Python. Rather than run Python inside the web app, we ask the models for their answer at every combination of inputs on a fine grid, save all the answers in a table, and the app simply looks answers up. The notebook uses the very same table, so both give identical damage ratios.</w:t>
      </w:r>
    </w:p>
    <w:p>
      <w:pPr>
        <w:pStyle w:val="Heading2"/>
      </w:pPr>
      <w:r>
        <w:t>9.1 The grid</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color="auto" w:fill="041D3B"/>
          </w:tcPr>
          <w:p>
            <w:r/>
            <w:r>
              <w:rPr>
                <w:b/>
                <w:i w:val="0"/>
                <w:color w:val="FFFFFF"/>
                <w:sz w:val="20"/>
              </w:rPr>
              <w:t>Dimension</w:t>
            </w:r>
          </w:p>
        </w:tc>
        <w:tc>
          <w:tcPr>
            <w:tcW w:type="dxa" w:w="4535"/>
            <w:shd w:val="clear" w:color="auto" w:fill="041D3B"/>
          </w:tcPr>
          <w:p>
            <w:r/>
            <w:r>
              <w:rPr>
                <w:b/>
                <w:i w:val="0"/>
                <w:color w:val="FFFFFF"/>
                <w:sz w:val="20"/>
              </w:rPr>
              <w:t>Values</w:t>
            </w:r>
          </w:p>
        </w:tc>
        <w:tc>
          <w:tcPr>
            <w:tcW w:type="dxa" w:w="2268"/>
            <w:shd w:val="clear" w:color="auto" w:fill="041D3B"/>
          </w:tcPr>
          <w:p>
            <w:r/>
            <w:r>
              <w:rPr>
                <w:b/>
                <w:i w:val="0"/>
                <w:color w:val="FFFFFF"/>
                <w:sz w:val="20"/>
              </w:rPr>
              <w:t>Count</w:t>
            </w:r>
          </w:p>
        </w:tc>
      </w:tr>
      <w:tr>
        <w:tc>
          <w:tcPr>
            <w:tcW w:type="dxa" w:w="2551"/>
          </w:tcPr>
          <w:p>
            <w:pPr>
              <w:spacing w:after="20"/>
            </w:pPr>
            <w:r/>
            <w:r>
              <w:rPr>
                <w:b w:val="0"/>
                <w:i w:val="0"/>
                <w:sz w:val="20"/>
              </w:rPr>
              <w:t>Construction class</w:t>
            </w:r>
          </w:p>
        </w:tc>
        <w:tc>
          <w:tcPr>
            <w:tcW w:type="dxa" w:w="4535"/>
          </w:tcPr>
          <w:p>
            <w:pPr>
              <w:spacing w:after="20"/>
            </w:pPr>
            <w:r/>
            <w:r>
              <w:rPr>
                <w:b w:val="0"/>
                <w:i w:val="0"/>
                <w:sz w:val="20"/>
              </w:rPr>
              <w:t>informal, semi-permanent, masonry, RCC</w:t>
            </w:r>
          </w:p>
        </w:tc>
        <w:tc>
          <w:tcPr>
            <w:tcW w:type="dxa" w:w="2268"/>
          </w:tcPr>
          <w:p>
            <w:pPr>
              <w:spacing w:after="20"/>
            </w:pPr>
            <w:r/>
            <w:r>
              <w:rPr>
                <w:b w:val="0"/>
                <w:i w:val="0"/>
                <w:sz w:val="20"/>
              </w:rPr>
              <w:t>4</w:t>
            </w:r>
          </w:p>
        </w:tc>
      </w:tr>
      <w:tr>
        <w:tc>
          <w:tcPr>
            <w:tcW w:type="dxa" w:w="2551"/>
          </w:tcPr>
          <w:p>
            <w:pPr>
              <w:spacing w:after="20"/>
            </w:pPr>
            <w:r/>
            <w:r>
              <w:rPr>
                <w:b w:val="0"/>
                <w:i w:val="0"/>
                <w:sz w:val="20"/>
              </w:rPr>
              <w:t>Statistic (model)</w:t>
            </w:r>
          </w:p>
        </w:tc>
        <w:tc>
          <w:tcPr>
            <w:tcW w:type="dxa" w:w="4535"/>
          </w:tcPr>
          <w:p>
            <w:pPr>
              <w:spacing w:after="20"/>
            </w:pPr>
            <w:r/>
            <w:r>
              <w:rPr>
                <w:b w:val="0"/>
                <w:i w:val="0"/>
                <w:sz w:val="20"/>
              </w:rPr>
              <w:t>mean, q05, q25, q50, q75, q95</w:t>
            </w:r>
          </w:p>
        </w:tc>
        <w:tc>
          <w:tcPr>
            <w:tcW w:type="dxa" w:w="2268"/>
          </w:tcPr>
          <w:p>
            <w:pPr>
              <w:spacing w:after="20"/>
            </w:pPr>
            <w:r/>
            <w:r>
              <w:rPr>
                <w:b w:val="0"/>
                <w:i w:val="0"/>
                <w:sz w:val="20"/>
              </w:rPr>
              <w:t>6</w:t>
            </w:r>
          </w:p>
        </w:tc>
      </w:tr>
      <w:tr>
        <w:tc>
          <w:tcPr>
            <w:tcW w:type="dxa" w:w="2551"/>
          </w:tcPr>
          <w:p>
            <w:pPr>
              <w:spacing w:after="20"/>
            </w:pPr>
            <w:r/>
            <w:r>
              <w:rPr>
                <w:b w:val="0"/>
                <w:i w:val="0"/>
                <w:sz w:val="20"/>
              </w:rPr>
              <w:t>Flood duration</w:t>
            </w:r>
          </w:p>
        </w:tc>
        <w:tc>
          <w:tcPr>
            <w:tcW w:type="dxa" w:w="4535"/>
          </w:tcPr>
          <w:p>
            <w:pPr>
              <w:spacing w:after="20"/>
            </w:pPr>
            <w:r/>
            <w:r>
              <w:rPr>
                <w:b w:val="0"/>
                <w:i w:val="0"/>
                <w:sz w:val="20"/>
              </w:rPr>
              <w:t>2, 7, 21 days</w:t>
            </w:r>
          </w:p>
        </w:tc>
        <w:tc>
          <w:tcPr>
            <w:tcW w:type="dxa" w:w="2268"/>
          </w:tcPr>
          <w:p>
            <w:pPr>
              <w:spacing w:after="20"/>
            </w:pPr>
            <w:r/>
            <w:r>
              <w:rPr>
                <w:b w:val="0"/>
                <w:i w:val="0"/>
                <w:sz w:val="20"/>
              </w:rPr>
              <w:t>3</w:t>
            </w:r>
          </w:p>
        </w:tc>
      </w:tr>
      <w:tr>
        <w:tc>
          <w:tcPr>
            <w:tcW w:type="dxa" w:w="2551"/>
          </w:tcPr>
          <w:p>
            <w:pPr>
              <w:spacing w:after="20"/>
            </w:pPr>
            <w:r/>
            <w:r>
              <w:rPr>
                <w:b w:val="0"/>
                <w:i w:val="0"/>
                <w:sz w:val="20"/>
              </w:rPr>
              <w:t>Build quality</w:t>
            </w:r>
          </w:p>
        </w:tc>
        <w:tc>
          <w:tcPr>
            <w:tcW w:type="dxa" w:w="4535"/>
          </w:tcPr>
          <w:p>
            <w:pPr>
              <w:spacing w:after="20"/>
            </w:pPr>
            <w:r/>
            <w:r>
              <w:rPr>
                <w:b w:val="0"/>
                <w:i w:val="0"/>
                <w:sz w:val="20"/>
              </w:rPr>
              <w:t>0, 0.5, 1</w:t>
            </w:r>
          </w:p>
        </w:tc>
        <w:tc>
          <w:tcPr>
            <w:tcW w:type="dxa" w:w="2268"/>
          </w:tcPr>
          <w:p>
            <w:pPr>
              <w:spacing w:after="20"/>
            </w:pPr>
            <w:r/>
            <w:r>
              <w:rPr>
                <w:b w:val="0"/>
                <w:i w:val="0"/>
                <w:sz w:val="20"/>
              </w:rPr>
              <w:t>3</w:t>
            </w:r>
          </w:p>
        </w:tc>
      </w:tr>
      <w:tr>
        <w:tc>
          <w:tcPr>
            <w:tcW w:type="dxa" w:w="2551"/>
          </w:tcPr>
          <w:p>
            <w:pPr>
              <w:spacing w:after="20"/>
            </w:pPr>
            <w:r/>
            <w:r>
              <w:rPr>
                <w:b w:val="0"/>
                <w:i w:val="0"/>
                <w:sz w:val="20"/>
              </w:rPr>
              <w:t>Depth</w:t>
            </w:r>
          </w:p>
        </w:tc>
        <w:tc>
          <w:tcPr>
            <w:tcW w:type="dxa" w:w="4535"/>
          </w:tcPr>
          <w:p>
            <w:pPr>
              <w:spacing w:after="20"/>
            </w:pPr>
            <w:r/>
            <w:r>
              <w:rPr>
                <w:b w:val="0"/>
                <w:i w:val="0"/>
                <w:sz w:val="20"/>
              </w:rPr>
              <w:t>0 to 8 m every 5 cm</w:t>
            </w:r>
          </w:p>
        </w:tc>
        <w:tc>
          <w:tcPr>
            <w:tcW w:type="dxa" w:w="2268"/>
          </w:tcPr>
          <w:p>
            <w:pPr>
              <w:spacing w:after="20"/>
            </w:pPr>
            <w:r/>
            <w:r>
              <w:rPr>
                <w:b w:val="0"/>
                <w:i w:val="0"/>
                <w:sz w:val="20"/>
              </w:rPr>
              <w:t>161</w:t>
            </w:r>
          </w:p>
        </w:tc>
      </w:tr>
    </w:tbl>
    <w:p>
      <w:pPr>
        <w:spacing w:after="40"/>
      </w:pPr>
    </w:p>
    <w:p>
      <w:pPr>
        <w:spacing w:after="120"/>
      </w:pPr>
      <w:r>
        <w:rPr>
          <w:b w:val="0"/>
          <w:i w:val="0"/>
        </w:rPr>
        <w:t xml:space="preserve">4 × 6 × 3 × 3 × 161 = </w:t>
      </w:r>
      <w:r>
        <w:rPr>
          <w:b/>
          <w:i w:val="0"/>
        </w:rPr>
        <w:t>34,776 numbers</w:t>
      </w:r>
      <w:r>
        <w:rPr>
          <w:b w:val="0"/>
          <w:i w:val="0"/>
        </w:rPr>
        <w:t>, stored in `vulnerability.json` as `ml[class][statistic][duration][quality][depth]`.</w:t>
      </w:r>
    </w:p>
    <w:p>
      <w:pPr>
        <w:pStyle w:val="Heading2"/>
      </w:pPr>
      <w:r>
        <w:t>9.2 Clean-up applied to the table</w:t>
      </w:r>
    </w:p>
    <w:p>
      <w:pPr>
        <w:pStyle w:val="ListBullet"/>
        <w:spacing w:after="60"/>
      </w:pPr>
      <w:r>
        <w:rPr>
          <w:b/>
          <w:i w:val="0"/>
        </w:rPr>
        <w:t>Smoothing:</w:t>
      </w:r>
      <w:r>
        <w:rPr>
          <w:b w:val="0"/>
          <w:i w:val="0"/>
        </w:rPr>
        <w:t xml:space="preserve"> tree models predict in small steps; a ±15 cm moving average smooths them (much finer than the 0.5 m spacing of the JRC curve, so the shape is unchanged).</w:t>
      </w:r>
    </w:p>
    <w:p>
      <w:pPr>
        <w:pStyle w:val="ListBullet"/>
        <w:spacing w:after="60"/>
      </w:pPr>
      <w:r>
        <w:rPr>
          <w:b/>
          <w:i w:val="0"/>
        </w:rPr>
        <w:t>No crossing:</w:t>
      </w:r>
      <w:r>
        <w:rPr>
          <w:b w:val="0"/>
          <w:i w:val="0"/>
        </w:rPr>
        <w:t xml:space="preserve"> at every depth the five quantiles are sorted so q05 ≤ q25 ≤ q50 ≤ q75 ≤ q95.</w:t>
      </w:r>
    </w:p>
    <w:p>
      <w:pPr>
        <w:pStyle w:val="ListBullet"/>
        <w:spacing w:after="60"/>
      </w:pPr>
      <w:r>
        <w:rPr>
          <w:b/>
          <w:i w:val="0"/>
        </w:rPr>
        <w:t>Monotone in depth:</w:t>
      </w:r>
      <w:r>
        <w:rPr>
          <w:b w:val="0"/>
          <w:i w:val="0"/>
        </w:rPr>
        <w:t xml:space="preserve"> every line is forced to never decrease with depth.</w:t>
      </w:r>
    </w:p>
    <w:p>
      <w:pPr>
        <w:pStyle w:val="ListBullet"/>
        <w:spacing w:after="60"/>
      </w:pPr>
      <w:r>
        <w:rPr>
          <w:b/>
          <w:i w:val="0"/>
        </w:rPr>
        <w:t>Zero at zero:</w:t>
      </w:r>
      <w:r>
        <w:rPr>
          <w:b w:val="0"/>
          <w:i w:val="0"/>
        </w:rPr>
        <w:t xml:space="preserve"> damage at 0 m depth is exactly 0.</w:t>
      </w:r>
    </w:p>
    <w:p>
      <w:pPr>
        <w:pStyle w:val="Heading2"/>
      </w:pPr>
      <w:r>
        <w:t>9.3 How a damage ratio is looked up</w:t>
      </w:r>
    </w:p>
    <w:tbl>
      <w:tblPr>
        <w:tblW w:type="auto" w:w="0"/>
        <w:jc w:val="center"/>
        <w:tblLook w:firstColumn="1" w:firstRow="1" w:lastColumn="0" w:lastRow="0" w:noHBand="0" w:noVBand="1" w:val="04A0"/>
      </w:tblPr>
      <w:tblGrid>
        <w:gridCol w:w="9746"/>
      </w:tblGrid>
      <w:tr>
        <w:tc>
          <w:tcPr>
            <w:tcW w:type="dxa" w:w="9354"/>
            <w:shd w:val="clear" w:color="auto" w:fill="F2F3F3"/>
          </w:tcPr>
          <w:p>
            <w:pPr>
              <w:spacing w:after="0"/>
            </w:pPr>
            <w:r>
              <w:rPr>
                <w:rFonts w:ascii="Consolas" w:hAnsi="Consolas"/>
                <w:b w:val="0"/>
                <w:i w:val="0"/>
                <w:sz w:val="19"/>
              </w:rPr>
              <w:t>1. effective depth = max(flood depth − extra raised floor, 0);  if 0 → damage = 0</w:t>
            </w:r>
          </w:p>
          <w:p>
            <w:pPr>
              <w:spacing w:after="0"/>
            </w:pPr>
            <w:r>
              <w:rPr>
                <w:rFonts w:ascii="Consolas" w:hAnsi="Consolas"/>
                <w:b w:val="0"/>
                <w:i w:val="0"/>
                <w:sz w:val="19"/>
              </w:rPr>
              <w:t>2. choose the duration plane (2, 7 or 21 days, from Model settings)</w:t>
            </w:r>
          </w:p>
          <w:p>
            <w:pPr>
              <w:spacing w:after="0"/>
            </w:pPr>
            <w:r>
              <w:rPr>
                <w:rFonts w:ascii="Consolas" w:hAnsi="Consolas"/>
                <w:b w:val="0"/>
                <w:i w:val="0"/>
                <w:sz w:val="19"/>
              </w:rPr>
              <w:t>3. interpolate between the two nearest depths (5 cm apart) and the two nearest quality</w:t>
            </w:r>
          </w:p>
          <w:p>
            <w:pPr>
              <w:spacing w:after="0"/>
            </w:pPr>
            <w:r>
              <w:rPr>
                <w:rFonts w:ascii="Consolas" w:hAnsi="Consolas"/>
                <w:b w:val="0"/>
                <w:i w:val="0"/>
                <w:sz w:val="19"/>
              </w:rPr>
              <w:t xml:space="preserve">   levels (0 / 0.5 / 1)  → bilinear interpolation</w:t>
            </w:r>
          </w:p>
          <w:p>
            <w:pPr>
              <w:spacing w:after="0"/>
            </w:pPr>
            <w:r>
              <w:rPr>
                <w:rFonts w:ascii="Consolas" w:hAnsi="Consolas"/>
                <w:b w:val="0"/>
                <w:i w:val="0"/>
                <w:sz w:val="19"/>
              </w:rPr>
              <w:t>4. beyond 8 m use the 8 m value</w:t>
            </w:r>
          </w:p>
          <w:p>
            <w:pPr>
              <w:spacing w:after="0"/>
            </w:pPr>
            <w:r>
              <w:rPr>
                <w:rFonts w:ascii="Consolas" w:hAnsi="Consolas"/>
                <w:b w:val="0"/>
                <w:i w:val="0"/>
                <w:sz w:val="19"/>
              </w:rPr>
              <w:t>Code: damageRatio() in web/src/lib/engine.ts  ·  vuln_lookup_vec() in the notebook</w:t>
            </w:r>
          </w:p>
        </w:tc>
      </w:tr>
    </w:tbl>
    <w:p>
      <w:pPr>
        <w:spacing w:after="40"/>
      </w:pPr>
    </w:p>
    <w:p>
      <w:pPr>
        <w:spacing w:after="120"/>
      </w:pPr>
      <w:r>
        <w:rPr>
          <w:b w:val="0"/>
          <w:i w:val="0"/>
        </w:rPr>
        <w:t>Example: a building of quality 0.75 in 1.02 m of water takes a weighted blend of the four table cells at (1.00 m, 0.5), (1.05 m, 0.5), (1.00 m, 1.0) and (1.05 m, 1.0). A self-check in the notebook confirms the table matches a direct model prediction to within 0.02.</w:t>
      </w:r>
    </w:p>
    <w:p>
      <w:pPr>
        <w:pStyle w:val="Heading1"/>
      </w:pPr>
      <w:r>
        <w:t>Part 10 — Where each model is used in our system</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color="auto" w:fill="041D3B"/>
          </w:tcPr>
          <w:p>
            <w:r/>
            <w:r>
              <w:rPr>
                <w:b/>
                <w:i w:val="0"/>
                <w:color w:val="FFFFFF"/>
                <w:sz w:val="20"/>
              </w:rPr>
              <w:t>Model</w:t>
            </w:r>
          </w:p>
        </w:tc>
        <w:tc>
          <w:tcPr>
            <w:tcW w:type="dxa" w:w="3969"/>
            <w:shd w:val="clear" w:color="auto" w:fill="041D3B"/>
          </w:tcPr>
          <w:p>
            <w:r/>
            <w:r>
              <w:rPr>
                <w:b/>
                <w:i w:val="0"/>
                <w:color w:val="FFFFFF"/>
                <w:sz w:val="20"/>
              </w:rPr>
              <w:t>Used for</w:t>
            </w:r>
          </w:p>
        </w:tc>
        <w:tc>
          <w:tcPr>
            <w:tcW w:type="dxa" w:w="3345"/>
            <w:shd w:val="clear" w:color="auto" w:fill="041D3B"/>
          </w:tcPr>
          <w:p>
            <w:r/>
            <w:r>
              <w:rPr>
                <w:b/>
                <w:i w:val="0"/>
                <w:color w:val="FFFFFF"/>
                <w:sz w:val="20"/>
              </w:rPr>
              <w:t>Where you see it</w:t>
            </w:r>
          </w:p>
        </w:tc>
      </w:tr>
      <w:tr>
        <w:tc>
          <w:tcPr>
            <w:tcW w:type="dxa" w:w="2041"/>
          </w:tcPr>
          <w:p>
            <w:pPr>
              <w:spacing w:after="20"/>
            </w:pPr>
            <w:r/>
            <w:r>
              <w:rPr>
                <w:b/>
                <w:i w:val="0"/>
                <w:sz w:val="20"/>
              </w:rPr>
              <w:t>Mean model</w:t>
            </w:r>
          </w:p>
        </w:tc>
        <w:tc>
          <w:tcPr>
            <w:tcW w:type="dxa" w:w="3969"/>
          </w:tcPr>
          <w:p>
            <w:pPr>
              <w:spacing w:after="20"/>
            </w:pPr>
            <w:r/>
            <w:r>
              <w:rPr>
                <w:b w:val="0"/>
                <w:i w:val="0"/>
                <w:sz w:val="20"/>
              </w:rPr>
              <w:t>Every deterministic loss figure: damage × value at each return period, gross and net after terms, AAL, class and area breakdowns, top buildings, the offer's losses and its impact on the book. Also the value that SHAP and LIME explain.</w:t>
            </w:r>
          </w:p>
        </w:tc>
        <w:tc>
          <w:tcPr>
            <w:tcW w:type="dxa" w:w="3345"/>
          </w:tcPr>
          <w:p>
            <w:pPr>
              <w:spacing w:after="20"/>
            </w:pPr>
            <w:r/>
            <w:r>
              <w:rPr>
                <w:b w:val="0"/>
                <w:i w:val="0"/>
                <w:sz w:val="20"/>
              </w:rPr>
              <w:t>Underwriting desk Steps 3, 4 and 5 · Portfolio KPI cards, “Who pays” bars, EP curve (solid lines), loss tables, class and area tables, map colours · briefing numbers</w:t>
            </w:r>
          </w:p>
        </w:tc>
      </w:tr>
      <w:tr>
        <w:tc>
          <w:tcPr>
            <w:tcW w:type="dxa" w:w="2041"/>
          </w:tcPr>
          <w:p>
            <w:pPr>
              <w:spacing w:after="20"/>
            </w:pPr>
            <w:r/>
            <w:r>
              <w:rPr>
                <w:b/>
                <w:i w:val="0"/>
                <w:sz w:val="20"/>
              </w:rPr>
              <w:t>Quantile models (q05, q25, q50, q75, q95)</w:t>
            </w:r>
          </w:p>
        </w:tc>
        <w:tc>
          <w:tcPr>
            <w:tcW w:type="dxa" w:w="3969"/>
          </w:tcPr>
          <w:p>
            <w:pPr>
              <w:spacing w:after="20"/>
            </w:pPr>
            <w:r/>
            <w:r>
              <w:rPr>
                <w:b w:val="0"/>
                <w:i w:val="0"/>
                <w:sz w:val="20"/>
              </w:rPr>
              <w:t xml:space="preserve">The </w:t>
            </w:r>
            <w:r>
              <w:rPr>
                <w:b/>
                <w:i w:val="0"/>
                <w:sz w:val="20"/>
              </w:rPr>
              <w:t>Monte Carlo</w:t>
            </w:r>
            <w:r>
              <w:rPr>
                <w:b w:val="0"/>
                <w:i w:val="0"/>
                <w:sz w:val="20"/>
              </w:rPr>
              <w:t xml:space="preserve"> simulation: each simulated year draws each building's damage from the range they describe (with the mean model used to keep the average unchanged).</w:t>
            </w:r>
          </w:p>
        </w:tc>
        <w:tc>
          <w:tcPr>
            <w:tcW w:type="dxa" w:w="3345"/>
          </w:tcPr>
          <w:p>
            <w:pPr>
              <w:spacing w:after="20"/>
            </w:pPr>
            <w:r/>
            <w:r>
              <w:rPr>
                <w:b w:val="0"/>
                <w:i w:val="0"/>
                <w:sz w:val="20"/>
              </w:rPr>
              <w:t>Portfolio EP curve: dashed “Ground-up, Monte Carlo” line · briefing's “with damage uncertainty” 1-in-100, 1-in-200, TVaR</w:t>
            </w:r>
          </w:p>
        </w:tc>
      </w:tr>
      <w:tr>
        <w:tc>
          <w:tcPr>
            <w:tcW w:type="dxa" w:w="2041"/>
          </w:tcPr>
          <w:p>
            <w:pPr>
              <w:spacing w:after="20"/>
            </w:pPr>
            <w:r/>
            <w:r>
              <w:rPr>
                <w:b/>
                <w:i w:val="0"/>
                <w:sz w:val="20"/>
              </w:rPr>
              <w:t>q25–q75 and q05–q95 bands</w:t>
            </w:r>
          </w:p>
        </w:tc>
        <w:tc>
          <w:tcPr>
            <w:tcW w:type="dxa" w:w="3969"/>
          </w:tcPr>
          <w:p>
            <w:pPr>
              <w:spacing w:after="20"/>
            </w:pPr>
            <w:r/>
            <w:r>
              <w:rPr>
                <w:b w:val="0"/>
                <w:i w:val="0"/>
                <w:sz w:val="20"/>
              </w:rPr>
              <w:t>Visualising uncertainty around the mean curve.</w:t>
            </w:r>
          </w:p>
        </w:tc>
        <w:tc>
          <w:tcPr>
            <w:tcW w:type="dxa" w:w="3345"/>
          </w:tcPr>
          <w:p>
            <w:pPr>
              <w:spacing w:after="20"/>
            </w:pPr>
            <w:r/>
            <w:r>
              <w:rPr>
                <w:b w:val="0"/>
                <w:i w:val="0"/>
                <w:sz w:val="20"/>
              </w:rPr>
              <w:t>Model &amp; assumptions → Vulnerability chart (shaded 50 % and 90 % ranges)</w:t>
            </w:r>
          </w:p>
        </w:tc>
      </w:tr>
      <w:tr>
        <w:tc>
          <w:tcPr>
            <w:tcW w:type="dxa" w:w="2041"/>
          </w:tcPr>
          <w:p>
            <w:pPr>
              <w:spacing w:after="20"/>
            </w:pPr>
            <w:r/>
            <w:r>
              <w:rPr>
                <w:b/>
                <w:i w:val="0"/>
                <w:sz w:val="20"/>
              </w:rPr>
              <w:t>Adapted JRC curve</w:t>
            </w:r>
            <w:r>
              <w:rPr>
                <w:b w:val="0"/>
                <w:i w:val="0"/>
                <w:sz w:val="20"/>
              </w:rPr>
              <w:t xml:space="preserve"> (not ML)</w:t>
            </w:r>
          </w:p>
        </w:tc>
        <w:tc>
          <w:tcPr>
            <w:tcW w:type="dxa" w:w="3969"/>
          </w:tcPr>
          <w:p>
            <w:pPr>
              <w:spacing w:after="20"/>
            </w:pPr>
            <w:r/>
            <w:r>
              <w:rPr>
                <w:b w:val="0"/>
                <w:i w:val="0"/>
                <w:sz w:val="20"/>
              </w:rPr>
              <w:t>Comparison baseline; used everywhere instead of the ML when selected.</w:t>
            </w:r>
          </w:p>
        </w:tc>
        <w:tc>
          <w:tcPr>
            <w:tcW w:type="dxa" w:w="3345"/>
          </w:tcPr>
          <w:p>
            <w:pPr>
              <w:spacing w:after="20"/>
            </w:pPr>
            <w:r/>
            <w:r>
              <w:rPr>
                <w:b w:val="0"/>
                <w:i w:val="0"/>
                <w:sz w:val="20"/>
              </w:rPr>
              <w:t>Model settings → Vulnerability model → JRC baseline · grey/dashed “JRC baseline” series on charts</w:t>
            </w:r>
          </w:p>
        </w:tc>
      </w:tr>
    </w:tbl>
    <w:p>
      <w:pPr>
        <w:spacing w:after="40"/>
      </w:pPr>
    </w:p>
    <w:p>
      <w:pPr>
        <w:pStyle w:val="Heading2"/>
      </w:pPr>
      <w:r>
        <w:t>10.1 How the Monte Carlo uses the quantile models (in brief)</w:t>
      </w:r>
    </w:p>
    <w:p>
      <w:pPr>
        <w:spacing w:after="120"/>
      </w:pPr>
      <w:r>
        <w:rPr>
          <w:b w:val="0"/>
          <w:i w:val="0"/>
        </w:rPr>
        <w:t xml:space="preserve">For each building in each simulated year, the five quantiles become a “ladder” of damage values. A random number between 0 and 1 picks a rung: 0.5 lands on the median, 0.9 between q75 and q95 (a bad outcome), 0.03 below q05 (a lucky one). The draw is then scaled so that, averaged over many years, it equals the </w:t>
      </w:r>
      <w:r>
        <w:rPr>
          <w:b/>
          <w:i w:val="0"/>
        </w:rPr>
        <w:t>mean model</w:t>
      </w:r>
      <w:r>
        <w:rPr>
          <w:b w:val="0"/>
          <w:i w:val="0"/>
        </w:rPr>
        <w:t xml:space="preserve"> — so the simulation adds realistic spread without changing the average cost. Buildings in the same flood share part of their luck. Full details: `Monte_Carlo_Simulation_Guide.docx`.</w:t>
      </w:r>
    </w:p>
    <w:tbl>
      <w:tblPr>
        <w:tblW w:type="auto" w:w="0"/>
        <w:jc w:val="center"/>
        <w:tblLook w:firstColumn="1" w:firstRow="1" w:lastColumn="0" w:lastRow="0" w:noHBand="0" w:noVBand="1" w:val="04A0"/>
      </w:tblPr>
      <w:tblGrid>
        <w:gridCol w:w="9746"/>
      </w:tblGrid>
      <w:tr>
        <w:tc>
          <w:tcPr>
            <w:tcW w:type="dxa" w:w="9354"/>
            <w:shd w:val="clear" w:color="auto" w:fill="F2F3F3"/>
          </w:tcPr>
          <w:p>
            <w:pPr>
              <w:spacing w:after="0"/>
            </w:pPr>
            <w:r>
              <w:rPr>
                <w:rFonts w:ascii="Consolas" w:hAnsi="Consolas"/>
                <w:b w:val="0"/>
                <w:i w:val="0"/>
                <w:sz w:val="19"/>
              </w:rPr>
              <w:t>ladder: [v0, q05, q25, q50, q75, q95, v1]  at  u = [0, 0.05, 0.25, 0.5, 0.75, 0.95, 1]</w:t>
            </w:r>
          </w:p>
          <w:p>
            <w:pPr>
              <w:spacing w:after="0"/>
            </w:pPr>
            <w:r>
              <w:rPr>
                <w:rFonts w:ascii="Consolas" w:hAnsi="Consolas"/>
                <w:b w:val="0"/>
                <w:i w:val="0"/>
                <w:sz w:val="19"/>
              </w:rPr>
              <w:t>damage = interpolate(ladder, u) × mean / (average of the ladder)</w:t>
            </w:r>
          </w:p>
        </w:tc>
      </w:tr>
    </w:tbl>
    <w:p>
      <w:pPr>
        <w:spacing w:after="40"/>
      </w:pPr>
    </w:p>
    <w:p>
      <w:pPr>
        <w:pStyle w:val="Heading2"/>
      </w:pPr>
      <w:r>
        <w:t>10.2 What this means for results</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color="auto" w:fill="041D3B"/>
          </w:tcPr>
          <w:p>
            <w:r/>
            <w:r>
              <w:rPr>
                <w:b/>
                <w:i w:val="0"/>
                <w:color w:val="FFFFFF"/>
                <w:sz w:val="20"/>
              </w:rPr>
              <w:t>Figure (starter book)</w:t>
            </w:r>
          </w:p>
        </w:tc>
        <w:tc>
          <w:tcPr>
            <w:tcW w:type="dxa" w:w="2835"/>
            <w:shd w:val="clear" w:color="auto" w:fill="041D3B"/>
          </w:tcPr>
          <w:p>
            <w:r/>
            <w:r>
              <w:rPr>
                <w:b/>
                <w:i w:val="0"/>
                <w:color w:val="FFFFFF"/>
                <w:sz w:val="20"/>
              </w:rPr>
              <w:t>Using the mean model</w:t>
            </w:r>
          </w:p>
        </w:tc>
        <w:tc>
          <w:tcPr>
            <w:tcW w:type="dxa" w:w="3685"/>
            <w:shd w:val="clear" w:color="auto" w:fill="041D3B"/>
          </w:tcPr>
          <w:p>
            <w:r/>
            <w:r>
              <w:rPr>
                <w:b/>
                <w:i w:val="0"/>
                <w:color w:val="FFFFFF"/>
                <w:sz w:val="20"/>
              </w:rPr>
              <w:t>With the quantile models (Monte Carlo)</w:t>
            </w:r>
          </w:p>
        </w:tc>
      </w:tr>
      <w:tr>
        <w:tc>
          <w:tcPr>
            <w:tcW w:type="dxa" w:w="2835"/>
          </w:tcPr>
          <w:p>
            <w:pPr>
              <w:spacing w:after="20"/>
            </w:pPr>
            <w:r/>
            <w:r>
              <w:rPr>
                <w:b w:val="0"/>
                <w:i w:val="0"/>
                <w:sz w:val="20"/>
              </w:rPr>
              <w:t>1-in-100 ground-up loss</w:t>
            </w:r>
          </w:p>
        </w:tc>
        <w:tc>
          <w:tcPr>
            <w:tcW w:type="dxa" w:w="2835"/>
          </w:tcPr>
          <w:p>
            <w:pPr>
              <w:spacing w:after="20"/>
            </w:pPr>
            <w:r/>
            <w:r>
              <w:rPr>
                <w:b w:val="0"/>
                <w:i w:val="0"/>
                <w:sz w:val="20"/>
              </w:rPr>
              <w:t>KES 32.2 M</w:t>
            </w:r>
          </w:p>
        </w:tc>
        <w:tc>
          <w:tcPr>
            <w:tcW w:type="dxa" w:w="3685"/>
          </w:tcPr>
          <w:p>
            <w:pPr>
              <w:spacing w:after="20"/>
            </w:pPr>
            <w:r/>
            <w:r>
              <w:rPr>
                <w:b w:val="0"/>
                <w:i w:val="0"/>
                <w:sz w:val="20"/>
              </w:rPr>
              <w:t>KES 38.7 M</w:t>
            </w:r>
          </w:p>
        </w:tc>
      </w:tr>
      <w:tr>
        <w:tc>
          <w:tcPr>
            <w:tcW w:type="dxa" w:w="2835"/>
          </w:tcPr>
          <w:p>
            <w:pPr>
              <w:spacing w:after="20"/>
            </w:pPr>
            <w:r/>
            <w:r>
              <w:rPr>
                <w:b w:val="0"/>
                <w:i w:val="0"/>
                <w:sz w:val="20"/>
              </w:rPr>
              <w:t>1-in-200 ground-up loss</w:t>
            </w:r>
          </w:p>
        </w:tc>
        <w:tc>
          <w:tcPr>
            <w:tcW w:type="dxa" w:w="2835"/>
          </w:tcPr>
          <w:p>
            <w:pPr>
              <w:spacing w:after="20"/>
            </w:pPr>
            <w:r/>
            <w:r>
              <w:rPr>
                <w:b w:val="0"/>
                <w:i w:val="0"/>
                <w:sz w:val="20"/>
              </w:rPr>
              <w:t>KES 34.3 M</w:t>
            </w:r>
          </w:p>
        </w:tc>
        <w:tc>
          <w:tcPr>
            <w:tcW w:type="dxa" w:w="3685"/>
          </w:tcPr>
          <w:p>
            <w:pPr>
              <w:spacing w:after="20"/>
            </w:pPr>
            <w:r/>
            <w:r>
              <w:rPr>
                <w:b w:val="0"/>
                <w:i w:val="0"/>
                <w:sz w:val="20"/>
              </w:rPr>
              <w:t>KES 42.5 M</w:t>
            </w:r>
          </w:p>
        </w:tc>
      </w:tr>
      <w:tr>
        <w:tc>
          <w:tcPr>
            <w:tcW w:type="dxa" w:w="2835"/>
          </w:tcPr>
          <w:p>
            <w:pPr>
              <w:spacing w:after="20"/>
            </w:pPr>
            <w:r/>
            <w:r>
              <w:rPr>
                <w:b w:val="0"/>
                <w:i w:val="0"/>
                <w:sz w:val="20"/>
              </w:rPr>
              <w:t>Average annual loss</w:t>
            </w:r>
          </w:p>
        </w:tc>
        <w:tc>
          <w:tcPr>
            <w:tcW w:type="dxa" w:w="2835"/>
          </w:tcPr>
          <w:p>
            <w:pPr>
              <w:spacing w:after="20"/>
            </w:pPr>
            <w:r/>
            <w:r>
              <w:rPr>
                <w:b w:val="0"/>
                <w:i w:val="0"/>
                <w:sz w:val="20"/>
              </w:rPr>
              <w:t>KES 5.81 M</w:t>
            </w:r>
          </w:p>
        </w:tc>
        <w:tc>
          <w:tcPr>
            <w:tcW w:type="dxa" w:w="3685"/>
          </w:tcPr>
          <w:p>
            <w:pPr>
              <w:spacing w:after="20"/>
            </w:pPr>
            <w:r/>
            <w:r>
              <w:rPr>
                <w:b w:val="0"/>
                <w:i w:val="0"/>
                <w:sz w:val="20"/>
              </w:rPr>
              <w:t>KES 5.85 M (same, by design)</w:t>
            </w:r>
          </w:p>
        </w:tc>
      </w:tr>
      <w:tr>
        <w:tc>
          <w:tcPr>
            <w:tcW w:type="dxa" w:w="2835"/>
          </w:tcPr>
          <w:p>
            <w:pPr>
              <w:spacing w:after="20"/>
            </w:pPr>
            <w:r/>
            <w:r>
              <w:rPr>
                <w:b w:val="0"/>
                <w:i w:val="0"/>
                <w:sz w:val="20"/>
              </w:rPr>
              <w:t>vs JRC baseline</w:t>
            </w:r>
          </w:p>
        </w:tc>
        <w:tc>
          <w:tcPr>
            <w:tcW w:type="dxa" w:w="2835"/>
          </w:tcPr>
          <w:p>
            <w:pPr>
              <w:spacing w:after="20"/>
            </w:pPr>
            <w:r/>
            <w:r>
              <w:rPr>
                <w:b w:val="0"/>
                <w:i w:val="0"/>
                <w:sz w:val="20"/>
              </w:rPr>
              <w:t>+6.3 % at 1-in-100, +8.2 % AAL</w:t>
            </w:r>
          </w:p>
        </w:tc>
        <w:tc>
          <w:tcPr>
            <w:tcW w:type="dxa" w:w="3685"/>
          </w:tcPr>
          <w:p>
            <w:pPr>
              <w:spacing w:after="20"/>
            </w:pPr>
            <w:r/>
            <w:r>
              <w:rPr>
                <w:b w:val="0"/>
                <w:i w:val="0"/>
                <w:sz w:val="20"/>
              </w:rPr>
              <w:t>—</w:t>
            </w:r>
          </w:p>
        </w:tc>
      </w:tr>
    </w:tbl>
    <w:p>
      <w:pPr>
        <w:spacing w:after="40"/>
      </w:pPr>
    </w:p>
    <w:p>
      <w:pPr>
        <w:pStyle w:val="Heading1"/>
      </w:pPr>
      <w:r>
        <w:t>Part 11 — What drives the predictions (SHAP)</w:t>
      </w:r>
    </w:p>
    <w:p>
      <w:pPr>
        <w:spacing w:after="120"/>
      </w:pPr>
      <w:r>
        <w:rPr>
          <w:b/>
          <w:i w:val="0"/>
        </w:rPr>
        <w:t>SHAP</w:t>
      </w:r>
      <w:r>
        <w:rPr>
          <w:b w:val="0"/>
          <w:i w:val="0"/>
        </w:rPr>
        <w:t xml:space="preserve"> splits a prediction into contributions from each input that add up exactly. Over 1,500 flooded pseudo-claims (script `notebooks/explain_shap.py`), the average size of each input's contribution to the mean model is:</w:t>
      </w:r>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041D3B"/>
          </w:tcPr>
          <w:p>
            <w:r/>
            <w:r>
              <w:rPr>
                <w:b/>
                <w:i w:val="0"/>
                <w:color w:val="FFFFFF"/>
                <w:sz w:val="20"/>
              </w:rPr>
              <w:t>Input</w:t>
            </w:r>
          </w:p>
        </w:tc>
        <w:tc>
          <w:tcPr>
            <w:tcW w:type="dxa" w:w="5953"/>
            <w:shd w:val="clear" w:color="auto" w:fill="041D3B"/>
          </w:tcPr>
          <w:p>
            <w:r/>
            <w:r>
              <w:rPr>
                <w:b/>
                <w:i w:val="0"/>
                <w:color w:val="FFFFFF"/>
                <w:sz w:val="20"/>
              </w:rPr>
              <w:t>Average contribution (damage-ratio points)</w:t>
            </w:r>
          </w:p>
        </w:tc>
      </w:tr>
      <w:tr>
        <w:tc>
          <w:tcPr>
            <w:tcW w:type="dxa" w:w="3402"/>
          </w:tcPr>
          <w:p>
            <w:pPr>
              <w:spacing w:after="20"/>
            </w:pPr>
            <w:r/>
            <w:r>
              <w:rPr>
                <w:b w:val="0"/>
                <w:i w:val="0"/>
                <w:sz w:val="20"/>
              </w:rPr>
              <w:t>Flood depth</w:t>
            </w:r>
          </w:p>
        </w:tc>
        <w:tc>
          <w:tcPr>
            <w:tcW w:type="dxa" w:w="5953"/>
          </w:tcPr>
          <w:p>
            <w:pPr>
              <w:spacing w:after="20"/>
            </w:pPr>
            <w:r/>
            <w:r>
              <w:rPr>
                <w:b w:val="0"/>
                <w:i w:val="0"/>
                <w:sz w:val="20"/>
              </w:rPr>
              <w:t>24.6</w:t>
            </w:r>
          </w:p>
        </w:tc>
      </w:tr>
      <w:tr>
        <w:tc>
          <w:tcPr>
            <w:tcW w:type="dxa" w:w="3402"/>
          </w:tcPr>
          <w:p>
            <w:pPr>
              <w:spacing w:after="20"/>
            </w:pPr>
            <w:r/>
            <w:r>
              <w:rPr>
                <w:b w:val="0"/>
                <w:i w:val="0"/>
                <w:sz w:val="20"/>
              </w:rPr>
              <w:t>Construction class</w:t>
            </w:r>
          </w:p>
        </w:tc>
        <w:tc>
          <w:tcPr>
            <w:tcW w:type="dxa" w:w="5953"/>
          </w:tcPr>
          <w:p>
            <w:pPr>
              <w:spacing w:after="20"/>
            </w:pPr>
            <w:r/>
            <w:r>
              <w:rPr>
                <w:b w:val="0"/>
                <w:i w:val="0"/>
                <w:sz w:val="20"/>
              </w:rPr>
              <w:t>8.1</w:t>
            </w:r>
          </w:p>
        </w:tc>
      </w:tr>
      <w:tr>
        <w:tc>
          <w:tcPr>
            <w:tcW w:type="dxa" w:w="3402"/>
          </w:tcPr>
          <w:p>
            <w:pPr>
              <w:spacing w:after="20"/>
            </w:pPr>
            <w:r/>
            <w:r>
              <w:rPr>
                <w:b w:val="0"/>
                <w:i w:val="0"/>
                <w:sz w:val="20"/>
              </w:rPr>
              <w:t>Flood duration</w:t>
            </w:r>
          </w:p>
        </w:tc>
        <w:tc>
          <w:tcPr>
            <w:tcW w:type="dxa" w:w="5953"/>
          </w:tcPr>
          <w:p>
            <w:pPr>
              <w:spacing w:after="20"/>
            </w:pPr>
            <w:r/>
            <w:r>
              <w:rPr>
                <w:b w:val="0"/>
                <w:i w:val="0"/>
                <w:sz w:val="20"/>
              </w:rPr>
              <w:t>2.1</w:t>
            </w:r>
          </w:p>
        </w:tc>
      </w:tr>
      <w:tr>
        <w:tc>
          <w:tcPr>
            <w:tcW w:type="dxa" w:w="3402"/>
          </w:tcPr>
          <w:p>
            <w:pPr>
              <w:spacing w:after="20"/>
            </w:pPr>
            <w:r/>
            <w:r>
              <w:rPr>
                <w:b w:val="0"/>
                <w:i w:val="0"/>
                <w:sz w:val="20"/>
              </w:rPr>
              <w:t>Build quality</w:t>
            </w:r>
          </w:p>
        </w:tc>
        <w:tc>
          <w:tcPr>
            <w:tcW w:type="dxa" w:w="5953"/>
          </w:tcPr>
          <w:p>
            <w:pPr>
              <w:spacing w:after="20"/>
            </w:pPr>
            <w:r/>
            <w:r>
              <w:rPr>
                <w:b w:val="0"/>
                <w:i w:val="0"/>
                <w:sz w:val="20"/>
              </w:rPr>
              <w:t>1.7</w:t>
            </w:r>
          </w:p>
        </w:tc>
      </w:tr>
    </w:tbl>
    <w:p>
      <w:pPr>
        <w:spacing w:after="40"/>
      </w:pPr>
    </w:p>
    <w:p>
      <w:pPr>
        <w:spacing w:after="120"/>
      </w:pPr>
      <w:r>
        <w:rPr>
          <w:b w:val="0"/>
          <w:i w:val="0"/>
        </w:rPr>
        <w:t xml:space="preserve">The average prediction (the starting point the contributions are added to) is 43.7 %. On the Underwriting desk, Step 4 runs SHAP for each individual building live (“deeper water than the typical flooded building adds 12 points…”) and LIME shows what-ifs (“each extra 10 cm of raised floor removes 2 points”). Both explain the </w:t>
      </w:r>
      <w:r>
        <w:rPr>
          <w:b/>
          <w:i w:val="0"/>
        </w:rPr>
        <w:t>mean model</w:t>
      </w:r>
      <w:r>
        <w:rPr>
          <w:b w:val="0"/>
          <w:i w:val="0"/>
        </w:rPr>
        <w:t>.</w:t>
      </w:r>
    </w:p>
    <w:p>
      <w:pPr>
        <w:pStyle w:val="Heading1"/>
      </w:pPr>
      <w:r>
        <w:t>Part 12 — Assumptions, limits and using real claims</w:t>
      </w:r>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041D3B"/>
          </w:tcPr>
          <w:p>
            <w:r/>
            <w:r>
              <w:rPr>
                <w:b/>
                <w:i w:val="0"/>
                <w:color w:val="FFFFFF"/>
                <w:sz w:val="20"/>
              </w:rPr>
              <w:t>Assumption / limit</w:t>
            </w:r>
          </w:p>
        </w:tc>
        <w:tc>
          <w:tcPr>
            <w:tcW w:type="dxa" w:w="5953"/>
            <w:shd w:val="clear" w:color="auto" w:fill="041D3B"/>
          </w:tcPr>
          <w:p>
            <w:r/>
            <w:r>
              <w:rPr>
                <w:b/>
                <w:i w:val="0"/>
                <w:color w:val="FFFFFF"/>
                <w:sz w:val="20"/>
              </w:rPr>
              <w:t>What it means</w:t>
            </w:r>
          </w:p>
        </w:tc>
      </w:tr>
      <w:tr>
        <w:tc>
          <w:tcPr>
            <w:tcW w:type="dxa" w:w="3402"/>
          </w:tcPr>
          <w:p>
            <w:pPr>
              <w:spacing w:after="20"/>
            </w:pPr>
            <w:r/>
            <w:r>
              <w:rPr>
                <w:b w:val="0"/>
                <w:i w:val="0"/>
                <w:sz w:val="20"/>
              </w:rPr>
              <w:t>Trained on synthetic pseudo-claims (A-VUL-3)</w:t>
            </w:r>
          </w:p>
        </w:tc>
        <w:tc>
          <w:tcPr>
            <w:tcW w:type="dxa" w:w="5953"/>
          </w:tcPr>
          <w:p>
            <w:pPr>
              <w:spacing w:after="20"/>
            </w:pPr>
            <w:r/>
            <w:r>
              <w:rPr>
                <w:b w:val="0"/>
                <w:i w:val="0"/>
                <w:sz w:val="20"/>
              </w:rPr>
              <w:t>It reproduces our encoded assumptions plus their uncertainty, not real Kenyan claims experience</w:t>
            </w:r>
          </w:p>
        </w:tc>
      </w:tr>
      <w:tr>
        <w:tc>
          <w:tcPr>
            <w:tcW w:type="dxa" w:w="3402"/>
          </w:tcPr>
          <w:p>
            <w:pPr>
              <w:spacing w:after="20"/>
            </w:pPr>
            <w:r/>
            <w:r>
              <w:rPr>
                <w:b w:val="0"/>
                <w:i w:val="0"/>
                <w:sz w:val="20"/>
              </w:rPr>
              <w:t>Class adaptation knobs are expert judgement (A-VUL-2)</w:t>
            </w:r>
          </w:p>
        </w:tc>
        <w:tc>
          <w:tcPr>
            <w:tcW w:type="dxa" w:w="5953"/>
          </w:tcPr>
          <w:p>
            <w:pPr>
              <w:spacing w:after="20"/>
            </w:pPr>
            <w:r/>
            <w:r>
              <w:rPr>
                <w:b w:val="0"/>
                <w:i w:val="0"/>
                <w:sz w:val="20"/>
              </w:rPr>
              <w:t>Raised floor, fragility and ceiling per class are reasoned estimates</w:t>
            </w:r>
          </w:p>
        </w:tc>
      </w:tr>
      <w:tr>
        <w:tc>
          <w:tcPr>
            <w:tcW w:type="dxa" w:w="3402"/>
          </w:tcPr>
          <w:p>
            <w:pPr>
              <w:spacing w:after="20"/>
            </w:pPr>
            <w:r/>
            <w:r>
              <w:rPr>
                <w:b w:val="0"/>
                <w:i w:val="0"/>
                <w:sz w:val="20"/>
              </w:rPr>
              <w:t>JRC curve values transcribed from the report (A-VUL-1)</w:t>
            </w:r>
          </w:p>
        </w:tc>
        <w:tc>
          <w:tcPr>
            <w:tcW w:type="dxa" w:w="5953"/>
          </w:tcPr>
          <w:p>
            <w:pPr>
              <w:spacing w:after="20"/>
            </w:pPr>
            <w:r/>
            <w:r>
              <w:rPr>
                <w:b w:val="0"/>
                <w:i w:val="0"/>
                <w:sz w:val="20"/>
              </w:rPr>
              <w:t>Should be re-checked against the PDF before production use</w:t>
            </w:r>
          </w:p>
        </w:tc>
      </w:tr>
      <w:tr>
        <w:tc>
          <w:tcPr>
            <w:tcW w:type="dxa" w:w="3402"/>
          </w:tcPr>
          <w:p>
            <w:pPr>
              <w:spacing w:after="20"/>
            </w:pPr>
            <w:r/>
            <w:r>
              <w:rPr>
                <w:b w:val="0"/>
                <w:i w:val="0"/>
                <w:sz w:val="20"/>
              </w:rPr>
              <w:t>Only three durations in the app (2, 7, 21 days)</w:t>
            </w:r>
          </w:p>
        </w:tc>
        <w:tc>
          <w:tcPr>
            <w:tcW w:type="dxa" w:w="5953"/>
          </w:tcPr>
          <w:p>
            <w:pPr>
              <w:spacing w:after="20"/>
            </w:pPr>
            <w:r/>
            <w:r>
              <w:rPr>
                <w:b w:val="0"/>
                <w:i w:val="0"/>
                <w:sz w:val="20"/>
              </w:rPr>
              <w:t>Default 7 days (A-VUL-4); in-between durations aren't selectable</w:t>
            </w:r>
          </w:p>
        </w:tc>
      </w:tr>
      <w:tr>
        <w:tc>
          <w:tcPr>
            <w:tcW w:type="dxa" w:w="3402"/>
          </w:tcPr>
          <w:p>
            <w:pPr>
              <w:spacing w:after="20"/>
            </w:pPr>
            <w:r/>
            <w:r>
              <w:rPr>
                <w:b w:val="0"/>
                <w:i w:val="0"/>
                <w:sz w:val="20"/>
              </w:rPr>
              <w:t>Structure only</w:t>
            </w:r>
          </w:p>
        </w:tc>
        <w:tc>
          <w:tcPr>
            <w:tcW w:type="dxa" w:w="5953"/>
          </w:tcPr>
          <w:p>
            <w:pPr>
              <w:spacing w:after="20"/>
            </w:pPr>
            <w:r/>
            <w:r>
              <w:rPr>
                <w:b w:val="0"/>
                <w:i w:val="0"/>
                <w:sz w:val="20"/>
              </w:rPr>
              <w:t>No contents, stock, machinery or business interruption</w:t>
            </w:r>
          </w:p>
        </w:tc>
      </w:tr>
      <w:tr>
        <w:tc>
          <w:tcPr>
            <w:tcW w:type="dxa" w:w="3402"/>
          </w:tcPr>
          <w:p>
            <w:pPr>
              <w:spacing w:after="20"/>
            </w:pPr>
            <w:r/>
            <w:r>
              <w:rPr>
                <w:b w:val="0"/>
                <w:i w:val="0"/>
                <w:sz w:val="20"/>
              </w:rPr>
              <w:t>Low quantile miscalibrated in shallow water</w:t>
            </w:r>
          </w:p>
        </w:tc>
        <w:tc>
          <w:tcPr>
            <w:tcW w:type="dxa" w:w="5953"/>
          </w:tcPr>
          <w:p>
            <w:pPr>
              <w:spacing w:after="20"/>
            </w:pPr>
            <w:r/>
            <w:r>
              <w:rPr>
                <w:b w:val="0"/>
                <w:i w:val="0"/>
                <w:sz w:val="20"/>
              </w:rPr>
              <w:t>q05 sits above many zero claims; little effect on money because shallow-water losses are small</w:t>
            </w:r>
          </w:p>
        </w:tc>
      </w:tr>
    </w:tbl>
    <w:p>
      <w:pPr>
        <w:spacing w:after="40"/>
      </w:pPr>
    </w:p>
    <w:p>
      <w:pPr>
        <w:pStyle w:val="Heading2"/>
      </w:pPr>
      <w:r>
        <w:t>12.1 Recalibrating on real claims</w:t>
      </w:r>
    </w:p>
    <w:p>
      <w:pPr>
        <w:pStyle w:val="ListBullet"/>
        <w:spacing w:after="60"/>
      </w:pPr>
      <w:r>
        <w:rPr>
          <w:b w:val="0"/>
          <w:i w:val="0"/>
        </w:rPr>
        <w:t>Collect loss-adjuster records: construction class (mapped to our 4), water depth at the building, flood duration, a quality proxy (cost per m² or condition), and the damage ratio (repair cost ÷ rebuild value).</w:t>
      </w:r>
    </w:p>
    <w:p>
      <w:pPr>
        <w:pStyle w:val="ListBullet"/>
        <w:spacing w:after="60"/>
      </w:pPr>
      <w:r>
        <w:rPr>
          <w:b w:val="0"/>
          <w:i w:val="0"/>
        </w:rPr>
        <w:t>In `_build_notebook.py`, load them instead of `generate_pseudo_claims(30_000)` (or blend them in, weighting real claims more).</w:t>
      </w:r>
    </w:p>
    <w:p>
      <w:pPr>
        <w:pStyle w:val="ListBullet"/>
        <w:spacing w:after="60"/>
      </w:pPr>
      <w:r>
        <w:rPr>
          <w:b w:val="0"/>
          <w:i w:val="0"/>
        </w:rPr>
        <w:t xml:space="preserve">Keep the monotonic constraints; re-run the notebook; check calibration on held-out </w:t>
      </w:r>
      <w:r>
        <w:rPr>
          <w:b/>
          <w:i w:val="0"/>
        </w:rPr>
        <w:t>real</w:t>
      </w:r>
      <w:r>
        <w:rPr>
          <w:b w:val="0"/>
          <w:i w:val="0"/>
        </w:rPr>
        <w:t xml:space="preserve"> claims; run `npm run validate`.</w:t>
      </w:r>
    </w:p>
    <w:p>
      <w:pPr>
        <w:pStyle w:val="ListBullet"/>
        <w:spacing w:after="60"/>
      </w:pPr>
      <w:r>
        <w:rPr>
          <w:b w:val="0"/>
          <w:i w:val="0"/>
        </w:rPr>
        <w:t>The app picks up the new `vulnerability.json` automatically — no code changes.</w:t>
      </w:r>
    </w:p>
    <w:p>
      <w:pPr>
        <w:pStyle w:val="Heading1"/>
      </w:pPr>
      <w:r>
        <w:t>Part 13 — FAQ</w:t>
      </w:r>
    </w:p>
    <w:p>
      <w:pPr>
        <w:spacing w:after="20"/>
      </w:pPr>
      <w:r>
        <w:rPr>
          <w:b/>
          <w:i w:val="0"/>
          <w:color w:val="041D3B"/>
        </w:rPr>
        <w:t>Why six models instead of one?</w:t>
      </w:r>
    </w:p>
    <w:p>
      <w:pPr>
        <w:spacing w:after="160"/>
      </w:pPr>
      <w:r>
        <w:rPr>
          <w:b w:val="0"/>
          <w:i w:val="0"/>
        </w:rPr>
        <w:t>One model can only aim at one target. The mean model aims at the average (for cost); each quantile model aims at one point of the range (for uncertainty). Together they describe the full distribution of damage.</w:t>
      </w:r>
    </w:p>
    <w:p>
      <w:pPr>
        <w:spacing w:after="20"/>
      </w:pPr>
      <w:r>
        <w:rPr>
          <w:b/>
          <w:i w:val="0"/>
          <w:color w:val="041D3B"/>
        </w:rPr>
        <w:t>Why does the app's money use the mean and not the median?</w:t>
      </w:r>
    </w:p>
    <w:p>
      <w:pPr>
        <w:spacing w:after="160"/>
      </w:pPr>
      <w:r>
        <w:rPr>
          <w:b w:val="0"/>
          <w:i w:val="0"/>
        </w:rPr>
        <w:t>Because total cost over many buildings equals count × mean. Damage is skewed, so the median would understate cost.</w:t>
      </w:r>
    </w:p>
    <w:p>
      <w:pPr>
        <w:spacing w:after="20"/>
      </w:pPr>
      <w:r>
        <w:rPr>
          <w:b/>
          <w:i w:val="0"/>
          <w:color w:val="041D3B"/>
        </w:rPr>
        <w:t>If the ML mean is only ~6 % above the JRC curve, what does ML add?</w:t>
      </w:r>
    </w:p>
    <w:p>
      <w:pPr>
        <w:spacing w:after="160"/>
      </w:pPr>
      <w:r>
        <w:rPr>
          <w:b w:val="0"/>
          <w:i w:val="0"/>
        </w:rPr>
        <w:t>Accuracy against the true damage (29 % lower error), building-level effects of duration and quality, the uncertainty range that raises the realistic 1-in-100 from 32 to 39 million, and a retrainable pipeline.</w:t>
      </w:r>
    </w:p>
    <w:p>
      <w:pPr>
        <w:spacing w:after="20"/>
      </w:pPr>
      <w:r>
        <w:rPr>
          <w:b/>
          <w:i w:val="0"/>
          <w:color w:val="041D3B"/>
        </w:rPr>
        <w:t>Can the model ever say a raised floor increases damage?</w:t>
      </w:r>
    </w:p>
    <w:p>
      <w:pPr>
        <w:spacing w:after="160"/>
      </w:pPr>
      <w:r>
        <w:rPr>
          <w:b w:val="0"/>
          <w:i w:val="0"/>
        </w:rPr>
        <w:t>No. Raised floor is subtracted from depth before the lookup, and damage is constrained to rise with depth.</w:t>
      </w:r>
    </w:p>
    <w:p>
      <w:pPr>
        <w:spacing w:after="20"/>
      </w:pPr>
      <w:r>
        <w:rPr>
          <w:b/>
          <w:i w:val="0"/>
          <w:color w:val="041D3B"/>
        </w:rPr>
        <w:t>Why are q05 values close to zero in shallow water?</w:t>
      </w:r>
    </w:p>
    <w:p>
      <w:pPr>
        <w:spacing w:after="160"/>
      </w:pPr>
      <w:r>
        <w:rPr>
          <w:b w:val="0"/>
          <w:i w:val="0"/>
        </w:rPr>
        <w:t>Many shallow floods cause no claim at all, so the lucky end of the range really is near zero.</w:t>
      </w:r>
    </w:p>
    <w:p>
      <w:pPr>
        <w:spacing w:after="20"/>
      </w:pPr>
      <w:r>
        <w:rPr>
          <w:b/>
          <w:i w:val="0"/>
          <w:color w:val="041D3B"/>
        </w:rPr>
        <w:t>Is the ML used when I choose “JRC baseline” in settings?</w:t>
      </w:r>
    </w:p>
    <w:p>
      <w:pPr>
        <w:spacing w:after="160"/>
      </w:pPr>
      <w:r>
        <w:rPr>
          <w:b w:val="0"/>
          <w:i w:val="0"/>
        </w:rPr>
        <w:t>No — then every figure uses the adapted JRC curve, there is no uncertainty range, and the Monte Carlo varies only the flood size.</w:t>
      </w:r>
    </w:p>
    <w:p>
      <w:pPr>
        <w:spacing w:after="20"/>
      </w:pPr>
      <w:r>
        <w:rPr>
          <w:b/>
          <w:i w:val="0"/>
          <w:color w:val="041D3B"/>
        </w:rPr>
        <w:t>Does the AI (Gemini) have anything to do with this model?</w:t>
      </w:r>
    </w:p>
    <w:p>
      <w:pPr>
        <w:spacing w:after="160"/>
      </w:pPr>
      <w:r>
        <w:rPr>
          <w:b w:val="0"/>
          <w:i w:val="0"/>
        </w:rPr>
        <w:t>No. Gemini only reads documents and writes briefings. The vulnerability model is a separately trained, deterministic lookup table.</w:t>
      </w:r>
    </w:p>
    <w:p>
      <w:pPr>
        <w:pStyle w:val="Heading1"/>
      </w:pPr>
      <w:r>
        <w:t>Glossary</w:t>
      </w:r>
    </w:p>
    <w:tbl>
      <w:tblPr>
        <w:tblStyle w:val="TableGrid"/>
        <w:tblW w:type="auto" w:w="0"/>
        <w:jc w:val="center"/>
        <w:tblLook w:firstColumn="1" w:firstRow="1" w:lastColumn="0" w:lastRow="0" w:noHBand="0" w:noVBand="1" w:val="04A0"/>
      </w:tblPr>
      <w:tblGrid>
        <w:gridCol w:w="4873"/>
        <w:gridCol w:w="4873"/>
      </w:tblGrid>
      <w:tr>
        <w:tc>
          <w:tcPr>
            <w:tcW w:type="dxa" w:w="2551"/>
            <w:shd w:val="clear" w:color="auto" w:fill="041D3B"/>
          </w:tcPr>
          <w:p>
            <w:r/>
            <w:r>
              <w:rPr>
                <w:b/>
                <w:i w:val="0"/>
                <w:color w:val="FFFFFF"/>
                <w:sz w:val="20"/>
              </w:rPr>
              <w:t>Term</w:t>
            </w:r>
          </w:p>
        </w:tc>
        <w:tc>
          <w:tcPr>
            <w:tcW w:type="dxa" w:w="6803"/>
            <w:shd w:val="clear" w:color="auto" w:fill="041D3B"/>
          </w:tcPr>
          <w:p>
            <w:r/>
            <w:r>
              <w:rPr>
                <w:b/>
                <w:i w:val="0"/>
                <w:color w:val="FFFFFF"/>
                <w:sz w:val="20"/>
              </w:rPr>
              <w:t>Meaning</w:t>
            </w:r>
          </w:p>
        </w:tc>
      </w:tr>
      <w:tr>
        <w:tc>
          <w:tcPr>
            <w:tcW w:type="dxa" w:w="2551"/>
          </w:tcPr>
          <w:p>
            <w:pPr>
              <w:spacing w:after="20"/>
            </w:pPr>
            <w:r/>
            <w:r>
              <w:rPr>
                <w:b w:val="0"/>
                <w:i w:val="0"/>
                <w:sz w:val="20"/>
              </w:rPr>
              <w:t>Vulnerability</w:t>
            </w:r>
          </w:p>
        </w:tc>
        <w:tc>
          <w:tcPr>
            <w:tcW w:type="dxa" w:w="6803"/>
          </w:tcPr>
          <w:p>
            <w:pPr>
              <w:spacing w:after="20"/>
            </w:pPr>
            <w:r/>
            <w:r>
              <w:rPr>
                <w:b w:val="0"/>
                <w:i w:val="0"/>
                <w:sz w:val="20"/>
              </w:rPr>
              <w:t>How much damage a given hazard causes to a given building type</w:t>
            </w:r>
          </w:p>
        </w:tc>
      </w:tr>
      <w:tr>
        <w:tc>
          <w:tcPr>
            <w:tcW w:type="dxa" w:w="2551"/>
          </w:tcPr>
          <w:p>
            <w:pPr>
              <w:spacing w:after="20"/>
            </w:pPr>
            <w:r/>
            <w:r>
              <w:rPr>
                <w:b w:val="0"/>
                <w:i w:val="0"/>
                <w:sz w:val="20"/>
              </w:rPr>
              <w:t>Damage ratio (DR)</w:t>
            </w:r>
          </w:p>
        </w:tc>
        <w:tc>
          <w:tcPr>
            <w:tcW w:type="dxa" w:w="6803"/>
          </w:tcPr>
          <w:p>
            <w:pPr>
              <w:spacing w:after="20"/>
            </w:pPr>
            <w:r/>
            <w:r>
              <w:rPr>
                <w:b w:val="0"/>
                <w:i w:val="0"/>
                <w:sz w:val="20"/>
              </w:rPr>
              <w:t>Repair cost ÷ rebuild value, 0–1</w:t>
            </w:r>
          </w:p>
        </w:tc>
      </w:tr>
      <w:tr>
        <w:tc>
          <w:tcPr>
            <w:tcW w:type="dxa" w:w="2551"/>
          </w:tcPr>
          <w:p>
            <w:pPr>
              <w:spacing w:after="20"/>
            </w:pPr>
            <w:r/>
            <w:r>
              <w:rPr>
                <w:b w:val="0"/>
                <w:i w:val="0"/>
                <w:sz w:val="20"/>
              </w:rPr>
              <w:t>Depth–damage curve</w:t>
            </w:r>
          </w:p>
        </w:tc>
        <w:tc>
          <w:tcPr>
            <w:tcW w:type="dxa" w:w="6803"/>
          </w:tcPr>
          <w:p>
            <w:pPr>
              <w:spacing w:after="20"/>
            </w:pPr>
            <w:r/>
            <w:r>
              <w:rPr>
                <w:b w:val="0"/>
                <w:i w:val="0"/>
                <w:sz w:val="20"/>
              </w:rPr>
              <w:t>A curve giving damage ratio for each water depth</w:t>
            </w:r>
          </w:p>
        </w:tc>
      </w:tr>
      <w:tr>
        <w:tc>
          <w:tcPr>
            <w:tcW w:type="dxa" w:w="2551"/>
          </w:tcPr>
          <w:p>
            <w:pPr>
              <w:spacing w:after="20"/>
            </w:pPr>
            <w:r/>
            <w:r>
              <w:rPr>
                <w:b w:val="0"/>
                <w:i w:val="0"/>
                <w:sz w:val="20"/>
              </w:rPr>
              <w:t>Pseudo-claims</w:t>
            </w:r>
          </w:p>
        </w:tc>
        <w:tc>
          <w:tcPr>
            <w:tcW w:type="dxa" w:w="6803"/>
          </w:tcPr>
          <w:p>
            <w:pPr>
              <w:spacing w:after="20"/>
            </w:pPr>
            <w:r/>
            <w:r>
              <w:rPr>
                <w:b w:val="0"/>
                <w:i w:val="0"/>
                <w:sz w:val="20"/>
              </w:rPr>
              <w:t>Synthetic claim records used for training</w:t>
            </w:r>
          </w:p>
        </w:tc>
      </w:tr>
      <w:tr>
        <w:tc>
          <w:tcPr>
            <w:tcW w:type="dxa" w:w="2551"/>
          </w:tcPr>
          <w:p>
            <w:pPr>
              <w:spacing w:after="20"/>
            </w:pPr>
            <w:r/>
            <w:r>
              <w:rPr>
                <w:b w:val="0"/>
                <w:i w:val="0"/>
                <w:sz w:val="20"/>
              </w:rPr>
              <w:t>Feature / input</w:t>
            </w:r>
          </w:p>
        </w:tc>
        <w:tc>
          <w:tcPr>
            <w:tcW w:type="dxa" w:w="6803"/>
          </w:tcPr>
          <w:p>
            <w:pPr>
              <w:spacing w:after="20"/>
            </w:pPr>
            <w:r/>
            <w:r>
              <w:rPr>
                <w:b w:val="0"/>
                <w:i w:val="0"/>
                <w:sz w:val="20"/>
              </w:rPr>
              <w:t>Something the model uses to predict: class, depth, duration, quality</w:t>
            </w:r>
          </w:p>
        </w:tc>
      </w:tr>
      <w:tr>
        <w:tc>
          <w:tcPr>
            <w:tcW w:type="dxa" w:w="2551"/>
          </w:tcPr>
          <w:p>
            <w:pPr>
              <w:spacing w:after="20"/>
            </w:pPr>
            <w:r/>
            <w:r>
              <w:rPr>
                <w:b w:val="0"/>
                <w:i w:val="0"/>
                <w:sz w:val="20"/>
              </w:rPr>
              <w:t>Decision tree</w:t>
            </w:r>
          </w:p>
        </w:tc>
        <w:tc>
          <w:tcPr>
            <w:tcW w:type="dxa" w:w="6803"/>
          </w:tcPr>
          <w:p>
            <w:pPr>
              <w:spacing w:after="20"/>
            </w:pPr>
            <w:r/>
            <w:r>
              <w:rPr>
                <w:b w:val="0"/>
                <w:i w:val="0"/>
                <w:sz w:val="20"/>
              </w:rPr>
              <w:t>A sequence of yes/no questions ending in a prediction</w:t>
            </w:r>
          </w:p>
        </w:tc>
      </w:tr>
      <w:tr>
        <w:tc>
          <w:tcPr>
            <w:tcW w:type="dxa" w:w="2551"/>
          </w:tcPr>
          <w:p>
            <w:pPr>
              <w:spacing w:after="20"/>
            </w:pPr>
            <w:r/>
            <w:r>
              <w:rPr>
                <w:b w:val="0"/>
                <w:i w:val="0"/>
                <w:sz w:val="20"/>
              </w:rPr>
              <w:t>Gradient boosting</w:t>
            </w:r>
          </w:p>
        </w:tc>
        <w:tc>
          <w:tcPr>
            <w:tcW w:type="dxa" w:w="6803"/>
          </w:tcPr>
          <w:p>
            <w:pPr>
              <w:spacing w:after="20"/>
            </w:pPr>
            <w:r/>
            <w:r>
              <w:rPr>
                <w:b w:val="0"/>
                <w:i w:val="0"/>
                <w:sz w:val="20"/>
              </w:rPr>
              <w:t>Building many small trees, each correcting the previous ones' errors</w:t>
            </w:r>
          </w:p>
        </w:tc>
      </w:tr>
      <w:tr>
        <w:tc>
          <w:tcPr>
            <w:tcW w:type="dxa" w:w="2551"/>
          </w:tcPr>
          <w:p>
            <w:pPr>
              <w:spacing w:after="20"/>
            </w:pPr>
            <w:r/>
            <w:r>
              <w:rPr>
                <w:b w:val="0"/>
                <w:i w:val="0"/>
                <w:sz w:val="20"/>
              </w:rPr>
              <w:t>Monotonic constraint</w:t>
            </w:r>
          </w:p>
        </w:tc>
        <w:tc>
          <w:tcPr>
            <w:tcW w:type="dxa" w:w="6803"/>
          </w:tcPr>
          <w:p>
            <w:pPr>
              <w:spacing w:after="20"/>
            </w:pPr>
            <w:r/>
            <w:r>
              <w:rPr>
                <w:b w:val="0"/>
                <w:i w:val="0"/>
                <w:sz w:val="20"/>
              </w:rPr>
              <w:t>A rule forcing the prediction to only rise (or only fall) with an input</w:t>
            </w:r>
          </w:p>
        </w:tc>
      </w:tr>
      <w:tr>
        <w:tc>
          <w:tcPr>
            <w:tcW w:type="dxa" w:w="2551"/>
          </w:tcPr>
          <w:p>
            <w:pPr>
              <w:spacing w:after="20"/>
            </w:pPr>
            <w:r/>
            <w:r>
              <w:rPr>
                <w:b w:val="0"/>
                <w:i w:val="0"/>
                <w:sz w:val="20"/>
              </w:rPr>
              <w:t>Mean model</w:t>
            </w:r>
          </w:p>
        </w:tc>
        <w:tc>
          <w:tcPr>
            <w:tcW w:type="dxa" w:w="6803"/>
          </w:tcPr>
          <w:p>
            <w:pPr>
              <w:spacing w:after="20"/>
            </w:pPr>
            <w:r/>
            <w:r>
              <w:rPr>
                <w:b w:val="0"/>
                <w:i w:val="0"/>
                <w:sz w:val="20"/>
              </w:rPr>
              <w:t>Model trained with squared error → predicts the average damage</w:t>
            </w:r>
          </w:p>
        </w:tc>
      </w:tr>
      <w:tr>
        <w:tc>
          <w:tcPr>
            <w:tcW w:type="dxa" w:w="2551"/>
          </w:tcPr>
          <w:p>
            <w:pPr>
              <w:spacing w:after="20"/>
            </w:pPr>
            <w:r/>
            <w:r>
              <w:rPr>
                <w:b w:val="0"/>
                <w:i w:val="0"/>
                <w:sz w:val="20"/>
              </w:rPr>
              <w:t>Quantile model</w:t>
            </w:r>
          </w:p>
        </w:tc>
        <w:tc>
          <w:tcPr>
            <w:tcW w:type="dxa" w:w="6803"/>
          </w:tcPr>
          <w:p>
            <w:pPr>
              <w:spacing w:after="20"/>
            </w:pPr>
            <w:r/>
            <w:r>
              <w:rPr>
                <w:b w:val="0"/>
                <w:i w:val="0"/>
                <w:sz w:val="20"/>
              </w:rPr>
              <w:t>Model trained with pinball loss → predicts the damage that a set share of cases fall below</w:t>
            </w:r>
          </w:p>
        </w:tc>
      </w:tr>
      <w:tr>
        <w:tc>
          <w:tcPr>
            <w:tcW w:type="dxa" w:w="2551"/>
          </w:tcPr>
          <w:p>
            <w:pPr>
              <w:spacing w:after="20"/>
            </w:pPr>
            <w:r/>
            <w:r>
              <w:rPr>
                <w:b w:val="0"/>
                <w:i w:val="0"/>
                <w:sz w:val="20"/>
              </w:rPr>
              <w:t>q05 / q25 / q50 / q75 / q95</w:t>
            </w:r>
          </w:p>
        </w:tc>
        <w:tc>
          <w:tcPr>
            <w:tcW w:type="dxa" w:w="6803"/>
          </w:tcPr>
          <w:p>
            <w:pPr>
              <w:spacing w:after="20"/>
            </w:pPr>
            <w:r/>
            <w:r>
              <w:rPr>
                <w:b w:val="0"/>
                <w:i w:val="0"/>
                <w:sz w:val="20"/>
              </w:rPr>
              <w:t>The 5th, 25th, 50th (median), 75th and 95th percentiles of damage</w:t>
            </w:r>
          </w:p>
        </w:tc>
      </w:tr>
      <w:tr>
        <w:tc>
          <w:tcPr>
            <w:tcW w:type="dxa" w:w="2551"/>
          </w:tcPr>
          <w:p>
            <w:pPr>
              <w:spacing w:after="20"/>
            </w:pPr>
            <w:r/>
            <w:r>
              <w:rPr>
                <w:b w:val="0"/>
                <w:i w:val="0"/>
                <w:sz w:val="20"/>
              </w:rPr>
              <w:t>50 % / 90 % band</w:t>
            </w:r>
          </w:p>
        </w:tc>
        <w:tc>
          <w:tcPr>
            <w:tcW w:type="dxa" w:w="6803"/>
          </w:tcPr>
          <w:p>
            <w:pPr>
              <w:spacing w:after="20"/>
            </w:pPr>
            <w:r/>
            <w:r>
              <w:rPr>
                <w:b w:val="0"/>
                <w:i w:val="0"/>
                <w:sz w:val="20"/>
              </w:rPr>
              <w:t>The range between q25–q75 / q05–q95</w:t>
            </w:r>
          </w:p>
        </w:tc>
      </w:tr>
      <w:tr>
        <w:tc>
          <w:tcPr>
            <w:tcW w:type="dxa" w:w="2551"/>
          </w:tcPr>
          <w:p>
            <w:pPr>
              <w:spacing w:after="20"/>
            </w:pPr>
            <w:r/>
            <w:r>
              <w:rPr>
                <w:b w:val="0"/>
                <w:i w:val="0"/>
                <w:sz w:val="20"/>
              </w:rPr>
              <w:t>Pinball loss</w:t>
            </w:r>
          </w:p>
        </w:tc>
        <w:tc>
          <w:tcPr>
            <w:tcW w:type="dxa" w:w="6803"/>
          </w:tcPr>
          <w:p>
            <w:pPr>
              <w:spacing w:after="20"/>
            </w:pPr>
            <w:r/>
            <w:r>
              <w:rPr>
                <w:b w:val="0"/>
                <w:i w:val="0"/>
                <w:sz w:val="20"/>
              </w:rPr>
              <w:t>An asymmetric error score that makes a model aim at a chosen quantile</w:t>
            </w:r>
          </w:p>
        </w:tc>
      </w:tr>
      <w:tr>
        <w:tc>
          <w:tcPr>
            <w:tcW w:type="dxa" w:w="2551"/>
          </w:tcPr>
          <w:p>
            <w:pPr>
              <w:spacing w:after="20"/>
            </w:pPr>
            <w:r/>
            <w:r>
              <w:rPr>
                <w:b w:val="0"/>
                <w:i w:val="0"/>
                <w:sz w:val="20"/>
              </w:rPr>
              <w:t>Calibration</w:t>
            </w:r>
          </w:p>
        </w:tc>
        <w:tc>
          <w:tcPr>
            <w:tcW w:type="dxa" w:w="6803"/>
          </w:tcPr>
          <w:p>
            <w:pPr>
              <w:spacing w:after="20"/>
            </w:pPr>
            <w:r/>
            <w:r>
              <w:rPr>
                <w:b w:val="0"/>
                <w:i w:val="0"/>
                <w:sz w:val="20"/>
              </w:rPr>
              <w:t>Whether the share of claims below each quantile matches its target</w:t>
            </w:r>
          </w:p>
        </w:tc>
      </w:tr>
      <w:tr>
        <w:tc>
          <w:tcPr>
            <w:tcW w:type="dxa" w:w="2551"/>
          </w:tcPr>
          <w:p>
            <w:pPr>
              <w:spacing w:after="20"/>
            </w:pPr>
            <w:r/>
            <w:r>
              <w:rPr>
                <w:b w:val="0"/>
                <w:i w:val="0"/>
                <w:sz w:val="20"/>
              </w:rPr>
              <w:t>R²</w:t>
            </w:r>
          </w:p>
        </w:tc>
        <w:tc>
          <w:tcPr>
            <w:tcW w:type="dxa" w:w="6803"/>
          </w:tcPr>
          <w:p>
            <w:pPr>
              <w:spacing w:after="20"/>
            </w:pPr>
            <w:r/>
            <w:r>
              <w:rPr>
                <w:b w:val="0"/>
                <w:i w:val="0"/>
                <w:sz w:val="20"/>
              </w:rPr>
              <w:t>Share of variation explained (1 = perfect)</w:t>
            </w:r>
          </w:p>
        </w:tc>
      </w:tr>
      <w:tr>
        <w:tc>
          <w:tcPr>
            <w:tcW w:type="dxa" w:w="2551"/>
          </w:tcPr>
          <w:p>
            <w:pPr>
              <w:spacing w:after="20"/>
            </w:pPr>
            <w:r/>
            <w:r>
              <w:rPr>
                <w:b w:val="0"/>
                <w:i w:val="0"/>
                <w:sz w:val="20"/>
              </w:rPr>
              <w:t>MAE</w:t>
            </w:r>
          </w:p>
        </w:tc>
        <w:tc>
          <w:tcPr>
            <w:tcW w:type="dxa" w:w="6803"/>
          </w:tcPr>
          <w:p>
            <w:pPr>
              <w:spacing w:after="20"/>
            </w:pPr>
            <w:r/>
            <w:r>
              <w:rPr>
                <w:b w:val="0"/>
                <w:i w:val="0"/>
                <w:sz w:val="20"/>
              </w:rPr>
              <w:t>Average absolute miss</w:t>
            </w:r>
          </w:p>
        </w:tc>
      </w:tr>
      <w:tr>
        <w:tc>
          <w:tcPr>
            <w:tcW w:type="dxa" w:w="2551"/>
          </w:tcPr>
          <w:p>
            <w:pPr>
              <w:spacing w:after="20"/>
            </w:pPr>
            <w:r/>
            <w:r>
              <w:rPr>
                <w:b w:val="0"/>
                <w:i w:val="0"/>
                <w:sz w:val="20"/>
              </w:rPr>
              <w:t>Noise ceiling</w:t>
            </w:r>
          </w:p>
        </w:tc>
        <w:tc>
          <w:tcPr>
            <w:tcW w:type="dxa" w:w="6803"/>
          </w:tcPr>
          <w:p>
            <w:pPr>
              <w:spacing w:after="20"/>
            </w:pPr>
            <w:r/>
            <w:r>
              <w:rPr>
                <w:b w:val="0"/>
                <w:i w:val="0"/>
                <w:sz w:val="20"/>
              </w:rPr>
              <w:t>Best possible R² given random scatter in the data</w:t>
            </w:r>
          </w:p>
        </w:tc>
      </w:tr>
      <w:tr>
        <w:tc>
          <w:tcPr>
            <w:tcW w:type="dxa" w:w="2551"/>
          </w:tcPr>
          <w:p>
            <w:pPr>
              <w:spacing w:after="20"/>
            </w:pPr>
            <w:r/>
            <w:r>
              <w:rPr>
                <w:b w:val="0"/>
                <w:i w:val="0"/>
                <w:sz w:val="20"/>
              </w:rPr>
              <w:t>Cross-validation</w:t>
            </w:r>
          </w:p>
        </w:tc>
        <w:tc>
          <w:tcPr>
            <w:tcW w:type="dxa" w:w="6803"/>
          </w:tcPr>
          <w:p>
            <w:pPr>
              <w:spacing w:after="20"/>
            </w:pPr>
            <w:r/>
            <w:r>
              <w:rPr>
                <w:b w:val="0"/>
                <w:i w:val="0"/>
                <w:sz w:val="20"/>
              </w:rPr>
              <w:t>Retraining on different slices of data to check stability</w:t>
            </w:r>
          </w:p>
        </w:tc>
      </w:tr>
      <w:tr>
        <w:tc>
          <w:tcPr>
            <w:tcW w:type="dxa" w:w="2551"/>
          </w:tcPr>
          <w:p>
            <w:pPr>
              <w:spacing w:after="20"/>
            </w:pPr>
            <w:r/>
            <w:r>
              <w:rPr>
                <w:b w:val="0"/>
                <w:i w:val="0"/>
                <w:sz w:val="20"/>
              </w:rPr>
              <w:t>Early stopping</w:t>
            </w:r>
          </w:p>
        </w:tc>
        <w:tc>
          <w:tcPr>
            <w:tcW w:type="dxa" w:w="6803"/>
          </w:tcPr>
          <w:p>
            <w:pPr>
              <w:spacing w:after="20"/>
            </w:pPr>
            <w:r/>
            <w:r>
              <w:rPr>
                <w:b w:val="0"/>
                <w:i w:val="0"/>
                <w:sz w:val="20"/>
              </w:rPr>
              <w:t>Stopping training when a held-out score stops improving</w:t>
            </w:r>
          </w:p>
        </w:tc>
      </w:tr>
      <w:tr>
        <w:tc>
          <w:tcPr>
            <w:tcW w:type="dxa" w:w="2551"/>
          </w:tcPr>
          <w:p>
            <w:pPr>
              <w:spacing w:after="20"/>
            </w:pPr>
            <w:r/>
            <w:r>
              <w:rPr>
                <w:b w:val="0"/>
                <w:i w:val="0"/>
                <w:sz w:val="20"/>
              </w:rPr>
              <w:t>Lookup table</w:t>
            </w:r>
          </w:p>
        </w:tc>
        <w:tc>
          <w:tcPr>
            <w:tcW w:type="dxa" w:w="6803"/>
          </w:tcPr>
          <w:p>
            <w:pPr>
              <w:spacing w:after="20"/>
            </w:pPr>
            <w:r/>
            <w:r>
              <w:rPr>
                <w:b w:val="0"/>
                <w:i w:val="0"/>
                <w:sz w:val="20"/>
              </w:rPr>
              <w:t>Pre-computed model answers on a grid, read by the app</w:t>
            </w:r>
          </w:p>
        </w:tc>
      </w:tr>
      <w:tr>
        <w:tc>
          <w:tcPr>
            <w:tcW w:type="dxa" w:w="2551"/>
          </w:tcPr>
          <w:p>
            <w:pPr>
              <w:spacing w:after="20"/>
            </w:pPr>
            <w:r/>
            <w:r>
              <w:rPr>
                <w:b w:val="0"/>
                <w:i w:val="0"/>
                <w:sz w:val="20"/>
              </w:rPr>
              <w:t>Bilinear interpolation</w:t>
            </w:r>
          </w:p>
        </w:tc>
        <w:tc>
          <w:tcPr>
            <w:tcW w:type="dxa" w:w="6803"/>
          </w:tcPr>
          <w:p>
            <w:pPr>
              <w:spacing w:after="20"/>
            </w:pPr>
            <w:r/>
            <w:r>
              <w:rPr>
                <w:b w:val="0"/>
                <w:i w:val="0"/>
                <w:sz w:val="20"/>
              </w:rPr>
              <w:t>Blending the four nearest table values in two dimensions</w:t>
            </w:r>
          </w:p>
        </w:tc>
      </w:tr>
      <w:tr>
        <w:tc>
          <w:tcPr>
            <w:tcW w:type="dxa" w:w="2551"/>
          </w:tcPr>
          <w:p>
            <w:pPr>
              <w:spacing w:after="20"/>
            </w:pPr>
            <w:r/>
            <w:r>
              <w:rPr>
                <w:b w:val="0"/>
                <w:i w:val="0"/>
                <w:sz w:val="20"/>
              </w:rPr>
              <w:t>SHAP / LIME</w:t>
            </w:r>
          </w:p>
        </w:tc>
        <w:tc>
          <w:tcPr>
            <w:tcW w:type="dxa" w:w="6803"/>
          </w:tcPr>
          <w:p>
            <w:pPr>
              <w:spacing w:after="20"/>
            </w:pPr>
            <w:r/>
            <w:r>
              <w:rPr>
                <w:b w:val="0"/>
                <w:i w:val="0"/>
                <w:sz w:val="20"/>
              </w:rPr>
              <w:t>Explanation methods: exact contributions / local what-if slopes</w:t>
            </w:r>
          </w:p>
        </w:tc>
      </w:tr>
    </w:tbl>
    <w:p>
      <w:pPr>
        <w:spacing w:after="40"/>
      </w:pPr>
    </w:p>
    <w:p>
      <w:pPr>
        <w:spacing w:after="120"/>
      </w:pPr>
      <w:r>
        <w:rPr>
          <w:b w:val="0"/>
          <w:i/>
          <w:color w:val="696F6F"/>
          <w:sz w:val="20"/>
        </w:rPr>
        <w:t>Related documents: `SYSTEM_MANUAL.md` (sections 7–8), `Monte_Carlo_Simulation_Guide.docx`, and the notebook `notebooks/nzoia_flood_cat_model.ipynb` §3.</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41D3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41D3B"/>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41D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