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val="0"/>
          <w:i w:val="0"/>
          <w:color w:val="696F6F"/>
          <w:sz w:val="20"/>
        </w:rPr>
        <w:t>Kenya Re Hackathon · Team B · Nzoia Basin Flood Challenge</w:t>
      </w:r>
    </w:p>
    <w:p>
      <w:pPr>
        <w:spacing w:after="0"/>
        <w:jc w:val="center"/>
      </w:pPr>
      <w:r>
        <w:rPr>
          <w:b/>
          <w:i w:val="0"/>
          <w:color w:val="041D3B"/>
          <w:sz w:val="48"/>
        </w:rPr>
        <w:t>Nzoia Flood CAT Model</w:t>
      </w:r>
    </w:p>
    <w:p>
      <w:pPr>
        <w:spacing w:after="200"/>
        <w:jc w:val="center"/>
      </w:pPr>
      <w:r>
        <w:rPr>
          <w:b/>
          <w:i w:val="0"/>
          <w:color w:val="D11242"/>
          <w:sz w:val="28"/>
        </w:rPr>
        <w:t>10-minute presentation &amp; live demo script</w:t>
      </w:r>
    </w:p>
    <w:p>
      <w:pPr>
        <w:spacing w:after="80"/>
      </w:pPr>
      <w:r>
        <w:rPr>
          <w:b w:val="0"/>
          <w:i w:val="0"/>
        </w:rPr>
        <w:t xml:space="preserve">This script splits the 10 minutes evenly across three presenters: each member speaks for </w:t>
      </w:r>
      <w:r>
        <w:rPr>
          <w:b/>
          <w:i w:val="0"/>
        </w:rPr>
        <w:t>1 minute</w:t>
      </w:r>
      <w:r>
        <w:rPr>
          <w:b w:val="0"/>
          <w:i w:val="0"/>
        </w:rPr>
        <w:t xml:space="preserve"> in the introduction and </w:t>
      </w:r>
      <w:r>
        <w:rPr>
          <w:b/>
          <w:i w:val="0"/>
        </w:rPr>
        <w:t>2 minutes 20 seconds</w:t>
      </w:r>
      <w:r>
        <w:rPr>
          <w:b w:val="0"/>
          <w:i w:val="0"/>
        </w:rPr>
        <w:t xml:space="preserve"> in the live demo, so everyone has </w:t>
      </w:r>
      <w:r>
        <w:rPr>
          <w:b/>
          <w:i w:val="0"/>
        </w:rPr>
        <w:t>3 minutes 20 seconds</w:t>
      </w:r>
      <w:r>
        <w:rPr>
          <w:b w:val="0"/>
          <w:i w:val="0"/>
        </w:rPr>
        <w:t xml:space="preserve"> on stage. The demo covers the </w:t>
      </w:r>
      <w:r>
        <w:rPr>
          <w:b/>
          <w:i w:val="0"/>
        </w:rPr>
        <w:t>Underwriting desk</w:t>
      </w:r>
      <w:r>
        <w:rPr>
          <w:b w:val="0"/>
          <w:i w:val="0"/>
        </w:rPr>
        <w:t xml:space="preserve"> and the </w:t>
      </w:r>
      <w:r>
        <w:rPr>
          <w:b/>
          <w:i w:val="0"/>
        </w:rPr>
        <w:t>Portfolio</w:t>
      </w:r>
      <w:r>
        <w:rPr>
          <w:b w:val="0"/>
          <w:i w:val="0"/>
        </w:rPr>
        <w:t xml:space="preserve"> tab only; the Model &amp; assumptions page is left out on purpose (it is the backup for questions). Words in “quotes” are suggested lines, not a word-for-word requirement — say them in your own words. Numbers in [square brackets] are read off the screen on the day.</w:t>
      </w:r>
    </w:p>
    <w:p>
      <w:pPr>
        <w:spacing w:after="80"/>
      </w:pPr>
      <w:r>
        <w:rPr>
          <w:b/>
          <w:i w:val="0"/>
          <w:color w:val="041D3B"/>
          <w:sz w:val="22"/>
        </w:rPr>
        <w:t>Fill in before rehearsal</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041D3B"/>
          </w:tcPr>
          <w:p>
            <w:r/>
            <w:r>
              <w:rPr>
                <w:b/>
                <w:i w:val="0"/>
                <w:color w:val="FFFFFF"/>
                <w:sz w:val="19"/>
              </w:rPr>
              <w:t>Role</w:t>
            </w:r>
          </w:p>
        </w:tc>
        <w:tc>
          <w:tcPr>
            <w:tcW w:type="dxa" w:w="2835"/>
            <w:shd w:val="clear" w:color="auto" w:fill="041D3B"/>
          </w:tcPr>
          <w:p>
            <w:r/>
            <w:r>
              <w:rPr>
                <w:b/>
                <w:i w:val="0"/>
                <w:color w:val="FFFFFF"/>
                <w:sz w:val="19"/>
              </w:rPr>
              <w:t>Name</w:t>
            </w:r>
          </w:p>
        </w:tc>
        <w:tc>
          <w:tcPr>
            <w:tcW w:type="dxa" w:w="5386"/>
            <w:shd w:val="clear" w:color="auto" w:fill="041D3B"/>
          </w:tcPr>
          <w:p>
            <w:r/>
            <w:r>
              <w:rPr>
                <w:b/>
                <w:i w:val="0"/>
                <w:color w:val="FFFFFF"/>
                <w:sz w:val="19"/>
              </w:rPr>
              <w:t>Owns</w:t>
            </w:r>
          </w:p>
        </w:tc>
      </w:tr>
      <w:tr>
        <w:tc>
          <w:tcPr>
            <w:tcW w:type="dxa" w:w="1417"/>
            <w:shd w:val="clear" w:color="auto" w:fill="DCE3EC"/>
          </w:tcPr>
          <w:p>
            <w:pPr>
              <w:spacing w:after="20"/>
            </w:pPr>
            <w:r/>
            <w:r>
              <w:rPr>
                <w:b w:val="0"/>
                <w:i w:val="0"/>
                <w:sz w:val="19"/>
              </w:rPr>
              <w:t>Member A</w:t>
            </w:r>
          </w:p>
        </w:tc>
        <w:tc>
          <w:tcPr>
            <w:tcW w:type="dxa" w:w="2835"/>
            <w:shd w:val="clear" w:color="auto" w:fill="DCE3EC"/>
          </w:tcPr>
          <w:p>
            <w:pPr>
              <w:spacing w:after="20"/>
            </w:pPr>
            <w:r/>
            <w:r>
              <w:rPr>
                <w:b w:val="0"/>
                <w:i w:val="0"/>
                <w:sz w:val="19"/>
              </w:rPr>
              <w:t>______________________</w:t>
            </w:r>
          </w:p>
        </w:tc>
        <w:tc>
          <w:tcPr>
            <w:tcW w:type="dxa" w:w="5386"/>
            <w:shd w:val="clear" w:color="auto" w:fill="DCE3EC"/>
          </w:tcPr>
          <w:p>
            <w:pPr>
              <w:spacing w:after="20"/>
            </w:pPr>
            <w:r/>
            <w:r>
              <w:rPr>
                <w:b w:val="0"/>
                <w:i w:val="0"/>
                <w:sz w:val="19"/>
              </w:rPr>
              <w:t>Opening &amp; the problem · Demo part 1: submitting an offer and what the AI read</w:t>
            </w:r>
          </w:p>
        </w:tc>
      </w:tr>
      <w:tr>
        <w:tc>
          <w:tcPr>
            <w:tcW w:type="dxa" w:w="1417"/>
            <w:shd w:val="clear" w:color="auto" w:fill="F6DDE3"/>
          </w:tcPr>
          <w:p>
            <w:pPr>
              <w:spacing w:after="20"/>
            </w:pPr>
            <w:r/>
            <w:r>
              <w:rPr>
                <w:b w:val="0"/>
                <w:i w:val="0"/>
                <w:sz w:val="19"/>
              </w:rPr>
              <w:t>Member B</w:t>
            </w:r>
          </w:p>
        </w:tc>
        <w:tc>
          <w:tcPr>
            <w:tcW w:type="dxa" w:w="2835"/>
            <w:shd w:val="clear" w:color="auto" w:fill="F6DDE3"/>
          </w:tcPr>
          <w:p>
            <w:pPr>
              <w:spacing w:after="20"/>
            </w:pPr>
            <w:r/>
            <w:r>
              <w:rPr>
                <w:b w:val="0"/>
                <w:i w:val="0"/>
                <w:sz w:val="19"/>
              </w:rPr>
              <w:t>______________________</w:t>
            </w:r>
          </w:p>
        </w:tc>
        <w:tc>
          <w:tcPr>
            <w:tcW w:type="dxa" w:w="5386"/>
            <w:shd w:val="clear" w:color="auto" w:fill="F6DDE3"/>
          </w:tcPr>
          <w:p>
            <w:pPr>
              <w:spacing w:after="20"/>
            </w:pPr>
            <w:r/>
            <w:r>
              <w:rPr>
                <w:b w:val="0"/>
                <w:i w:val="0"/>
                <w:sz w:val="19"/>
              </w:rPr>
              <w:t>Architecture · Demo part 2: what it could cost and why (losses, SHAP, LIME)</w:t>
            </w:r>
          </w:p>
        </w:tc>
      </w:tr>
      <w:tr>
        <w:tc>
          <w:tcPr>
            <w:tcW w:type="dxa" w:w="1417"/>
            <w:shd w:val="clear" w:color="auto" w:fill="E6E8E8"/>
          </w:tcPr>
          <w:p>
            <w:pPr>
              <w:spacing w:after="20"/>
            </w:pPr>
            <w:r/>
            <w:r>
              <w:rPr>
                <w:b w:val="0"/>
                <w:i w:val="0"/>
                <w:sz w:val="19"/>
              </w:rPr>
              <w:t>Member C</w:t>
            </w:r>
          </w:p>
        </w:tc>
        <w:tc>
          <w:tcPr>
            <w:tcW w:type="dxa" w:w="2835"/>
            <w:shd w:val="clear" w:color="auto" w:fill="E6E8E8"/>
          </w:tcPr>
          <w:p>
            <w:pPr>
              <w:spacing w:after="20"/>
            </w:pPr>
            <w:r/>
            <w:r>
              <w:rPr>
                <w:b w:val="0"/>
                <w:i w:val="0"/>
                <w:sz w:val="19"/>
              </w:rPr>
              <w:t>______________________</w:t>
            </w:r>
          </w:p>
        </w:tc>
        <w:tc>
          <w:tcPr>
            <w:tcW w:type="dxa" w:w="5386"/>
            <w:shd w:val="clear" w:color="auto" w:fill="E6E8E8"/>
          </w:tcPr>
          <w:p>
            <w:pPr>
              <w:spacing w:after="20"/>
            </w:pPr>
            <w:r/>
            <w:r>
              <w:rPr>
                <w:b w:val="0"/>
                <w:i w:val="0"/>
                <w:sz w:val="19"/>
              </w:rPr>
              <w:t>Data &amp; resources · Demo part 3: the decision, the briefing and the Portfolio tab · Closing</w:t>
            </w:r>
          </w:p>
        </w:tc>
      </w:tr>
    </w:tbl>
    <w:p>
      <w:pPr>
        <w:spacing w:after="40"/>
      </w:pPr>
    </w:p>
    <w:p>
      <w:pPr>
        <w:pStyle w:val="Heading1"/>
      </w:pPr>
      <w:r>
        <w:t>Run sheet at a glance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304"/>
            <w:shd w:val="clear" w:color="auto" w:fill="041D3B"/>
          </w:tcPr>
          <w:p>
            <w:r/>
            <w:r>
              <w:rPr>
                <w:b/>
                <w:i w:val="0"/>
                <w:color w:val="FFFFFF"/>
                <w:sz w:val="19"/>
              </w:rPr>
              <w:t>Clock</w:t>
            </w:r>
          </w:p>
        </w:tc>
        <w:tc>
          <w:tcPr>
            <w:tcW w:type="dxa" w:w="794"/>
            <w:shd w:val="clear" w:color="auto" w:fill="041D3B"/>
          </w:tcPr>
          <w:p>
            <w:r/>
            <w:r>
              <w:rPr>
                <w:b/>
                <w:i w:val="0"/>
                <w:color w:val="FFFFFF"/>
                <w:sz w:val="19"/>
              </w:rPr>
              <w:t>Length</w:t>
            </w:r>
          </w:p>
        </w:tc>
        <w:tc>
          <w:tcPr>
            <w:tcW w:type="dxa" w:w="624"/>
            <w:shd w:val="clear" w:color="auto" w:fill="041D3B"/>
          </w:tcPr>
          <w:p>
            <w:r/>
            <w:r>
              <w:rPr>
                <w:b/>
                <w:i w:val="0"/>
                <w:color w:val="FFFFFF"/>
                <w:sz w:val="19"/>
              </w:rPr>
              <w:t>Who</w:t>
            </w:r>
          </w:p>
        </w:tc>
        <w:tc>
          <w:tcPr>
            <w:tcW w:type="dxa" w:w="4082"/>
            <w:shd w:val="clear" w:color="auto" w:fill="041D3B"/>
          </w:tcPr>
          <w:p>
            <w:r/>
            <w:r>
              <w:rPr>
                <w:b/>
                <w:i w:val="0"/>
                <w:color w:val="FFFFFF"/>
                <w:sz w:val="19"/>
              </w:rPr>
              <w:t>Segment</w:t>
            </w:r>
          </w:p>
        </w:tc>
        <w:tc>
          <w:tcPr>
            <w:tcW w:type="dxa" w:w="2835"/>
            <w:shd w:val="clear" w:color="auto" w:fill="041D3B"/>
          </w:tcPr>
          <w:p>
            <w:r/>
            <w:r>
              <w:rPr>
                <w:b/>
                <w:i w:val="0"/>
                <w:color w:val="FFFFFF"/>
                <w:sz w:val="19"/>
              </w:rPr>
              <w:t>Screen</w:t>
            </w:r>
          </w:p>
        </w:tc>
      </w:tr>
      <w:tr>
        <w:tc>
          <w:tcPr>
            <w:tcW w:type="dxa" w:w="1304"/>
            <w:shd w:val="clear" w:color="auto" w:fill="DCE3EC"/>
          </w:tcPr>
          <w:p>
            <w:pPr>
              <w:spacing w:after="20"/>
            </w:pPr>
            <w:r/>
            <w:r>
              <w:rPr>
                <w:b w:val="0"/>
                <w:i w:val="0"/>
                <w:sz w:val="19"/>
              </w:rPr>
              <w:t>0:00 – 1:00</w:t>
            </w:r>
          </w:p>
        </w:tc>
        <w:tc>
          <w:tcPr>
            <w:tcW w:type="dxa" w:w="794"/>
            <w:shd w:val="clear" w:color="auto" w:fill="DCE3EC"/>
          </w:tcPr>
          <w:p>
            <w:pPr>
              <w:spacing w:after="20"/>
            </w:pPr>
            <w:r/>
            <w:r>
              <w:rPr>
                <w:b w:val="0"/>
                <w:i w:val="0"/>
                <w:sz w:val="19"/>
              </w:rPr>
              <w:t>1:00</w:t>
            </w:r>
          </w:p>
        </w:tc>
        <w:tc>
          <w:tcPr>
            <w:tcW w:type="dxa" w:w="624"/>
            <w:shd w:val="clear" w:color="auto" w:fill="DCE3EC"/>
          </w:tcPr>
          <w:p>
            <w:pPr>
              <w:spacing w:after="20"/>
            </w:pPr>
            <w:r/>
            <w:r>
              <w:rPr>
                <w:b w:val="0"/>
                <w:i w:val="0"/>
                <w:sz w:val="19"/>
              </w:rPr>
              <w:t>A</w:t>
            </w:r>
          </w:p>
        </w:tc>
        <w:tc>
          <w:tcPr>
            <w:tcW w:type="dxa" w:w="4082"/>
            <w:shd w:val="clear" w:color="auto" w:fill="DCE3EC"/>
          </w:tcPr>
          <w:p>
            <w:pPr>
              <w:spacing w:after="20"/>
            </w:pPr>
            <w:r/>
            <w:r>
              <w:rPr>
                <w:b w:val="0"/>
                <w:i w:val="0"/>
                <w:sz w:val="19"/>
              </w:rPr>
              <w:t>Team, the problem, what we built</w:t>
            </w:r>
          </w:p>
        </w:tc>
        <w:tc>
          <w:tcPr>
            <w:tcW w:type="dxa" w:w="2835"/>
            <w:shd w:val="clear" w:color="auto" w:fill="DCE3EC"/>
          </w:tcPr>
          <w:p>
            <w:pPr>
              <w:spacing w:after="20"/>
            </w:pPr>
            <w:r/>
            <w:r>
              <w:rPr>
                <w:b w:val="0"/>
                <w:i w:val="0"/>
                <w:sz w:val="19"/>
              </w:rPr>
              <w:t>Underwriting desk (idle)</w:t>
            </w:r>
          </w:p>
        </w:tc>
      </w:tr>
      <w:tr>
        <w:tc>
          <w:tcPr>
            <w:tcW w:type="dxa" w:w="1304"/>
            <w:shd w:val="clear" w:color="auto" w:fill="F6DDE3"/>
          </w:tcPr>
          <w:p>
            <w:pPr>
              <w:spacing w:after="20"/>
            </w:pPr>
            <w:r/>
            <w:r>
              <w:rPr>
                <w:b w:val="0"/>
                <w:i w:val="0"/>
                <w:sz w:val="19"/>
              </w:rPr>
              <w:t>1:00 – 2:00</w:t>
            </w:r>
          </w:p>
        </w:tc>
        <w:tc>
          <w:tcPr>
            <w:tcW w:type="dxa" w:w="794"/>
            <w:shd w:val="clear" w:color="auto" w:fill="F6DDE3"/>
          </w:tcPr>
          <w:p>
            <w:pPr>
              <w:spacing w:after="20"/>
            </w:pPr>
            <w:r/>
            <w:r>
              <w:rPr>
                <w:b w:val="0"/>
                <w:i w:val="0"/>
                <w:sz w:val="19"/>
              </w:rPr>
              <w:t>1:00</w:t>
            </w:r>
          </w:p>
        </w:tc>
        <w:tc>
          <w:tcPr>
            <w:tcW w:type="dxa" w:w="624"/>
            <w:shd w:val="clear" w:color="auto" w:fill="F6DDE3"/>
          </w:tcPr>
          <w:p>
            <w:pPr>
              <w:spacing w:after="20"/>
            </w:pPr>
            <w:r/>
            <w:r>
              <w:rPr>
                <w:b w:val="0"/>
                <w:i w:val="0"/>
                <w:sz w:val="19"/>
              </w:rPr>
              <w:t>B</w:t>
            </w:r>
          </w:p>
        </w:tc>
        <w:tc>
          <w:tcPr>
            <w:tcW w:type="dxa" w:w="4082"/>
            <w:shd w:val="clear" w:color="auto" w:fill="F6DDE3"/>
          </w:tcPr>
          <w:p>
            <w:pPr>
              <w:spacing w:after="20"/>
            </w:pPr>
            <w:r/>
            <w:r>
              <w:rPr>
                <w:b w:val="0"/>
                <w:i w:val="0"/>
                <w:sz w:val="19"/>
              </w:rPr>
              <w:t>Architecture: how the system fits together</w:t>
            </w:r>
          </w:p>
        </w:tc>
        <w:tc>
          <w:tcPr>
            <w:tcW w:type="dxa" w:w="2835"/>
            <w:shd w:val="clear" w:color="auto" w:fill="F6DDE3"/>
          </w:tcPr>
          <w:p>
            <w:pPr>
              <w:spacing w:after="20"/>
            </w:pPr>
            <w:r/>
            <w:r>
              <w:rPr>
                <w:b w:val="0"/>
                <w:i w:val="0"/>
                <w:sz w:val="19"/>
              </w:rPr>
              <w:t>Underwriting desk (idle) or architecture slide</w:t>
            </w:r>
          </w:p>
        </w:tc>
      </w:tr>
      <w:tr>
        <w:tc>
          <w:tcPr>
            <w:tcW w:type="dxa" w:w="1304"/>
            <w:shd w:val="clear" w:color="auto" w:fill="E6E8E8"/>
          </w:tcPr>
          <w:p>
            <w:pPr>
              <w:spacing w:after="20"/>
            </w:pPr>
            <w:r/>
            <w:r>
              <w:rPr>
                <w:b w:val="0"/>
                <w:i w:val="0"/>
                <w:sz w:val="19"/>
              </w:rPr>
              <w:t>2:00 – 3:00</w:t>
            </w:r>
          </w:p>
        </w:tc>
        <w:tc>
          <w:tcPr>
            <w:tcW w:type="dxa" w:w="794"/>
            <w:shd w:val="clear" w:color="auto" w:fill="E6E8E8"/>
          </w:tcPr>
          <w:p>
            <w:pPr>
              <w:spacing w:after="20"/>
            </w:pPr>
            <w:r/>
            <w:r>
              <w:rPr>
                <w:b w:val="0"/>
                <w:i w:val="0"/>
                <w:sz w:val="19"/>
              </w:rPr>
              <w:t>1:00</w:t>
            </w:r>
          </w:p>
        </w:tc>
        <w:tc>
          <w:tcPr>
            <w:tcW w:type="dxa" w:w="624"/>
            <w:shd w:val="clear" w:color="auto" w:fill="E6E8E8"/>
          </w:tcPr>
          <w:p>
            <w:pPr>
              <w:spacing w:after="20"/>
            </w:pPr>
            <w:r/>
            <w:r>
              <w:rPr>
                <w:b w:val="0"/>
                <w:i w:val="0"/>
                <w:sz w:val="19"/>
              </w:rPr>
              <w:t>C</w:t>
            </w:r>
          </w:p>
        </w:tc>
        <w:tc>
          <w:tcPr>
            <w:tcW w:type="dxa" w:w="4082"/>
            <w:shd w:val="clear" w:color="auto" w:fill="E6E8E8"/>
          </w:tcPr>
          <w:p>
            <w:pPr>
              <w:spacing w:after="20"/>
            </w:pPr>
            <w:r/>
            <w:r>
              <w:rPr>
                <w:b w:val="0"/>
                <w:i w:val="0"/>
                <w:sz w:val="19"/>
              </w:rPr>
              <w:t>Data, resources and headline results</w:t>
            </w:r>
          </w:p>
        </w:tc>
        <w:tc>
          <w:tcPr>
            <w:tcW w:type="dxa" w:w="2835"/>
            <w:shd w:val="clear" w:color="auto" w:fill="E6E8E8"/>
          </w:tcPr>
          <w:p>
            <w:pPr>
              <w:spacing w:after="20"/>
            </w:pPr>
            <w:r/>
            <w:r>
              <w:rPr>
                <w:b w:val="0"/>
                <w:i w:val="0"/>
                <w:sz w:val="19"/>
              </w:rPr>
              <w:t>Underwriting desk (idle) or resources slide</w:t>
            </w:r>
          </w:p>
        </w:tc>
      </w:tr>
      <w:tr>
        <w:tc>
          <w:tcPr>
            <w:tcW w:type="dxa" w:w="1304"/>
            <w:shd w:val="clear" w:color="auto" w:fill="DCE3EC"/>
          </w:tcPr>
          <w:p>
            <w:pPr>
              <w:spacing w:after="20"/>
            </w:pPr>
            <w:r/>
            <w:r>
              <w:rPr>
                <w:b w:val="0"/>
                <w:i w:val="0"/>
                <w:sz w:val="19"/>
              </w:rPr>
              <w:t>3:00 – 5:20</w:t>
            </w:r>
          </w:p>
        </w:tc>
        <w:tc>
          <w:tcPr>
            <w:tcW w:type="dxa" w:w="794"/>
            <w:shd w:val="clear" w:color="auto" w:fill="DCE3EC"/>
          </w:tcPr>
          <w:p>
            <w:pPr>
              <w:spacing w:after="20"/>
            </w:pPr>
            <w:r/>
            <w:r>
              <w:rPr>
                <w:b w:val="0"/>
                <w:i w:val="0"/>
                <w:sz w:val="19"/>
              </w:rPr>
              <w:t>2:20</w:t>
            </w:r>
          </w:p>
        </w:tc>
        <w:tc>
          <w:tcPr>
            <w:tcW w:type="dxa" w:w="624"/>
            <w:shd w:val="clear" w:color="auto" w:fill="DCE3EC"/>
          </w:tcPr>
          <w:p>
            <w:pPr>
              <w:spacing w:after="20"/>
            </w:pPr>
            <w:r/>
            <w:r>
              <w:rPr>
                <w:b w:val="0"/>
                <w:i w:val="0"/>
                <w:sz w:val="19"/>
              </w:rPr>
              <w:t>A</w:t>
            </w:r>
          </w:p>
        </w:tc>
        <w:tc>
          <w:tcPr>
            <w:tcW w:type="dxa" w:w="4082"/>
            <w:shd w:val="clear" w:color="auto" w:fill="DCE3EC"/>
          </w:tcPr>
          <w:p>
            <w:pPr>
              <w:spacing w:after="20"/>
            </w:pPr>
            <w:r/>
            <w:r>
              <w:rPr>
                <w:b w:val="0"/>
                <w:i w:val="0"/>
                <w:sz w:val="19"/>
              </w:rPr>
              <w:t>DEMO 1 — Submit an offer; what the AI read (Steps 1–2)</w:t>
            </w:r>
          </w:p>
        </w:tc>
        <w:tc>
          <w:tcPr>
            <w:tcW w:type="dxa" w:w="2835"/>
            <w:shd w:val="clear" w:color="auto" w:fill="DCE3EC"/>
          </w:tcPr>
          <w:p>
            <w:pPr>
              <w:spacing w:after="20"/>
            </w:pPr>
            <w:r/>
            <w:r>
              <w:rPr>
                <w:b w:val="0"/>
                <w:i w:val="0"/>
                <w:sz w:val="19"/>
              </w:rPr>
              <w:t>Underwriting desk</w:t>
            </w:r>
          </w:p>
        </w:tc>
      </w:tr>
      <w:tr>
        <w:tc>
          <w:tcPr>
            <w:tcW w:type="dxa" w:w="1304"/>
            <w:shd w:val="clear" w:color="auto" w:fill="F6DDE3"/>
          </w:tcPr>
          <w:p>
            <w:pPr>
              <w:spacing w:after="20"/>
            </w:pPr>
            <w:r/>
            <w:r>
              <w:rPr>
                <w:b w:val="0"/>
                <w:i w:val="0"/>
                <w:sz w:val="19"/>
              </w:rPr>
              <w:t>5:20 – 7:40</w:t>
            </w:r>
          </w:p>
        </w:tc>
        <w:tc>
          <w:tcPr>
            <w:tcW w:type="dxa" w:w="794"/>
            <w:shd w:val="clear" w:color="auto" w:fill="F6DDE3"/>
          </w:tcPr>
          <w:p>
            <w:pPr>
              <w:spacing w:after="20"/>
            </w:pPr>
            <w:r/>
            <w:r>
              <w:rPr>
                <w:b w:val="0"/>
                <w:i w:val="0"/>
                <w:sz w:val="19"/>
              </w:rPr>
              <w:t>2:20</w:t>
            </w:r>
          </w:p>
        </w:tc>
        <w:tc>
          <w:tcPr>
            <w:tcW w:type="dxa" w:w="624"/>
            <w:shd w:val="clear" w:color="auto" w:fill="F6DDE3"/>
          </w:tcPr>
          <w:p>
            <w:pPr>
              <w:spacing w:after="20"/>
            </w:pPr>
            <w:r/>
            <w:r>
              <w:rPr>
                <w:b w:val="0"/>
                <w:i w:val="0"/>
                <w:sz w:val="19"/>
              </w:rPr>
              <w:t>B</w:t>
            </w:r>
          </w:p>
        </w:tc>
        <w:tc>
          <w:tcPr>
            <w:tcW w:type="dxa" w:w="4082"/>
            <w:shd w:val="clear" w:color="auto" w:fill="F6DDE3"/>
          </w:tcPr>
          <w:p>
            <w:pPr>
              <w:spacing w:after="20"/>
            </w:pPr>
            <w:r/>
            <w:r>
              <w:rPr>
                <w:b w:val="0"/>
                <w:i w:val="0"/>
                <w:sz w:val="19"/>
              </w:rPr>
              <w:t>DEMO 2 — What it could cost and why (Steps 3–4)</w:t>
            </w:r>
          </w:p>
        </w:tc>
        <w:tc>
          <w:tcPr>
            <w:tcW w:type="dxa" w:w="2835"/>
            <w:shd w:val="clear" w:color="auto" w:fill="F6DDE3"/>
          </w:tcPr>
          <w:p>
            <w:pPr>
              <w:spacing w:after="20"/>
            </w:pPr>
            <w:r/>
            <w:r>
              <w:rPr>
                <w:b w:val="0"/>
                <w:i w:val="0"/>
                <w:sz w:val="19"/>
              </w:rPr>
              <w:t>Underwriting desk</w:t>
            </w:r>
          </w:p>
        </w:tc>
      </w:tr>
      <w:tr>
        <w:tc>
          <w:tcPr>
            <w:tcW w:type="dxa" w:w="1304"/>
            <w:shd w:val="clear" w:color="auto" w:fill="E6E8E8"/>
          </w:tcPr>
          <w:p>
            <w:pPr>
              <w:spacing w:after="20"/>
            </w:pPr>
            <w:r/>
            <w:r>
              <w:rPr>
                <w:b w:val="0"/>
                <w:i w:val="0"/>
                <w:sz w:val="19"/>
              </w:rPr>
              <w:t>7:40 – 9:45</w:t>
            </w:r>
          </w:p>
        </w:tc>
        <w:tc>
          <w:tcPr>
            <w:tcW w:type="dxa" w:w="794"/>
            <w:shd w:val="clear" w:color="auto" w:fill="E6E8E8"/>
          </w:tcPr>
          <w:p>
            <w:pPr>
              <w:spacing w:after="20"/>
            </w:pPr>
            <w:r/>
            <w:r>
              <w:rPr>
                <w:b w:val="0"/>
                <w:i w:val="0"/>
                <w:sz w:val="19"/>
              </w:rPr>
              <w:t>2:05</w:t>
            </w:r>
          </w:p>
        </w:tc>
        <w:tc>
          <w:tcPr>
            <w:tcW w:type="dxa" w:w="624"/>
            <w:shd w:val="clear" w:color="auto" w:fill="E6E8E8"/>
          </w:tcPr>
          <w:p>
            <w:pPr>
              <w:spacing w:after="20"/>
            </w:pPr>
            <w:r/>
            <w:r>
              <w:rPr>
                <w:b w:val="0"/>
                <w:i w:val="0"/>
                <w:sz w:val="19"/>
              </w:rPr>
              <w:t>C</w:t>
            </w:r>
          </w:p>
        </w:tc>
        <w:tc>
          <w:tcPr>
            <w:tcW w:type="dxa" w:w="4082"/>
            <w:shd w:val="clear" w:color="auto" w:fill="E6E8E8"/>
          </w:tcPr>
          <w:p>
            <w:pPr>
              <w:spacing w:after="20"/>
            </w:pPr>
            <w:r/>
            <w:r>
              <w:rPr>
                <w:b w:val="0"/>
                <w:i w:val="0"/>
                <w:sz w:val="19"/>
              </w:rPr>
              <w:t>DEMO 3 — Decide, briefing, accept; Portfolio tab (Step 5)</w:t>
            </w:r>
          </w:p>
        </w:tc>
        <w:tc>
          <w:tcPr>
            <w:tcW w:type="dxa" w:w="2835"/>
            <w:shd w:val="clear" w:color="auto" w:fill="E6E8E8"/>
          </w:tcPr>
          <w:p>
            <w:pPr>
              <w:spacing w:after="20"/>
            </w:pPr>
            <w:r/>
            <w:r>
              <w:rPr>
                <w:b w:val="0"/>
                <w:i w:val="0"/>
                <w:sz w:val="19"/>
              </w:rPr>
              <w:t>Desk ➜ Portfolio</w:t>
            </w:r>
          </w:p>
        </w:tc>
      </w:tr>
      <w:tr>
        <w:tc>
          <w:tcPr>
            <w:tcW w:type="dxa" w:w="1304"/>
            <w:shd w:val="clear" w:color="auto" w:fill="E6E8E8"/>
          </w:tcPr>
          <w:p>
            <w:pPr>
              <w:spacing w:after="20"/>
            </w:pPr>
            <w:r/>
            <w:r>
              <w:rPr>
                <w:b w:val="0"/>
                <w:i w:val="0"/>
                <w:sz w:val="19"/>
              </w:rPr>
              <w:t>9:45 – 10:00</w:t>
            </w:r>
          </w:p>
        </w:tc>
        <w:tc>
          <w:tcPr>
            <w:tcW w:type="dxa" w:w="794"/>
            <w:shd w:val="clear" w:color="auto" w:fill="E6E8E8"/>
          </w:tcPr>
          <w:p>
            <w:pPr>
              <w:spacing w:after="20"/>
            </w:pPr>
            <w:r/>
            <w:r>
              <w:rPr>
                <w:b w:val="0"/>
                <w:i w:val="0"/>
                <w:sz w:val="19"/>
              </w:rPr>
              <w:t>0:15</w:t>
            </w:r>
          </w:p>
        </w:tc>
        <w:tc>
          <w:tcPr>
            <w:tcW w:type="dxa" w:w="624"/>
            <w:shd w:val="clear" w:color="auto" w:fill="E6E8E8"/>
          </w:tcPr>
          <w:p>
            <w:pPr>
              <w:spacing w:after="20"/>
            </w:pPr>
            <w:r/>
            <w:r>
              <w:rPr>
                <w:b w:val="0"/>
                <w:i w:val="0"/>
                <w:sz w:val="19"/>
              </w:rPr>
              <w:t>C</w:t>
            </w:r>
          </w:p>
        </w:tc>
        <w:tc>
          <w:tcPr>
            <w:tcW w:type="dxa" w:w="4082"/>
            <w:shd w:val="clear" w:color="auto" w:fill="E6E8E8"/>
          </w:tcPr>
          <w:p>
            <w:pPr>
              <w:spacing w:after="20"/>
            </w:pPr>
            <w:r/>
            <w:r>
              <w:rPr>
                <w:b w:val="0"/>
                <w:i w:val="0"/>
                <w:sz w:val="19"/>
              </w:rPr>
              <w:t>Closing line</w:t>
            </w:r>
          </w:p>
        </w:tc>
        <w:tc>
          <w:tcPr>
            <w:tcW w:type="dxa" w:w="2835"/>
            <w:shd w:val="clear" w:color="auto" w:fill="E6E8E8"/>
          </w:tcPr>
          <w:p>
            <w:pPr>
              <w:spacing w:after="20"/>
            </w:pPr>
            <w:r/>
            <w:r>
              <w:rPr>
                <w:b w:val="0"/>
                <w:i w:val="0"/>
                <w:sz w:val="19"/>
              </w:rPr>
              <w:t>Portfolio map</w:t>
            </w:r>
          </w:p>
        </w:tc>
      </w:tr>
    </w:tbl>
    <w:p>
      <w:pPr>
        <w:spacing w:after="40"/>
      </w:pPr>
    </w:p>
    <w:p>
      <w:pPr>
        <w:spacing w:after="80"/>
      </w:pPr>
      <w:r>
        <w:rPr>
          <w:b/>
          <w:i w:val="0"/>
          <w:sz w:val="20"/>
        </w:rPr>
        <w:t>Who drives the mouse:</w:t>
      </w:r>
      <w:r>
        <w:rPr>
          <w:b w:val="0"/>
          <w:i w:val="0"/>
          <w:sz w:val="20"/>
        </w:rPr>
        <w:t xml:space="preserve"> whoever is speaking drives. The next speaker stands beside the laptop during the last 15 seconds of the previous segment, so the handover is just a step to the side. Member C keeps a phone timer and gives a small hand signal at 2:50, 7:30 and 9:30.</w:t>
      </w:r>
    </w:p>
    <w:p>
      <w:pPr>
        <w:pStyle w:val="Heading1"/>
      </w:pPr>
      <w:r>
        <w:t>Set-up checklist (30 minutes before)</w:t>
      </w:r>
    </w:p>
    <w:p>
      <w:pPr>
        <w:pStyle w:val="ListBullet"/>
        <w:spacing w:after="40"/>
      </w:pPr>
      <w:r>
        <w:rPr>
          <w:b w:val="0"/>
          <w:i w:val="0"/>
        </w:rPr>
        <w:t>Laptop on charger, notifications off (Windows Focus), screen resolution set for the projector, browser zoom 90 %.</w:t>
      </w:r>
    </w:p>
    <w:p>
      <w:pPr>
        <w:pStyle w:val="ListBullet"/>
        <w:spacing w:after="40"/>
      </w:pPr>
      <w:r>
        <w:rPr>
          <w:b w:val="0"/>
          <w:i w:val="0"/>
        </w:rPr>
        <w:t xml:space="preserve">In `web/`, run `npm run dev` and open </w:t>
      </w:r>
      <w:r>
        <w:rPr>
          <w:b/>
          <w:i w:val="0"/>
        </w:rPr>
        <w:t>http://localhost:3000</w:t>
      </w:r>
      <w:r>
        <w:rPr>
          <w:b w:val="0"/>
          <w:i w:val="0"/>
        </w:rPr>
        <w:t xml:space="preserve">. The header must show </w:t>
      </w:r>
      <w:r>
        <w:rPr>
          <w:b/>
          <w:i w:val="0"/>
        </w:rPr>
        <w:t>LLM: gemini-flash-latest</w:t>
      </w:r>
      <w:r>
        <w:rPr>
          <w:b w:val="0"/>
          <w:i w:val="0"/>
        </w:rPr>
        <w:t xml:space="preserve"> (not “offline fallback”).</w:t>
      </w:r>
    </w:p>
    <w:p>
      <w:pPr>
        <w:pStyle w:val="ListBullet"/>
        <w:spacing w:after="40"/>
      </w:pPr>
      <w:r>
        <w:rPr>
          <w:b w:val="0"/>
          <w:i w:val="0"/>
        </w:rPr>
        <w:t>If a passcode is set, sign in now (session lasts 12 hours).</w:t>
      </w:r>
    </w:p>
    <w:p>
      <w:pPr>
        <w:pStyle w:val="ListBullet"/>
        <w:spacing w:after="40"/>
      </w:pPr>
      <w:r>
        <w:rPr>
          <w:b/>
          <w:i w:val="0"/>
        </w:rPr>
        <w:t>Model settings ➜ Reset to notebook defaults</w:t>
      </w:r>
      <w:r>
        <w:rPr>
          <w:b w:val="0"/>
          <w:i w:val="0"/>
        </w:rPr>
        <w:t xml:space="preserve"> (ML model, point sampling, 7 days, 20k years).</w:t>
      </w:r>
    </w:p>
    <w:p>
      <w:pPr>
        <w:pStyle w:val="ListBullet"/>
        <w:spacing w:after="40"/>
      </w:pPr>
      <w:r>
        <w:rPr>
          <w:b/>
          <w:i w:val="0"/>
        </w:rPr>
        <w:t>Portfolio ➜ Reset to original 500</w:t>
      </w:r>
      <w:r>
        <w:rPr>
          <w:b w:val="0"/>
          <w:i w:val="0"/>
        </w:rPr>
        <w:t>, so the book starts at the 500 starter buildings and the accepted offer is the only change.</w:t>
      </w:r>
    </w:p>
    <w:p>
      <w:pPr>
        <w:pStyle w:val="ListBullet"/>
        <w:spacing w:after="40"/>
      </w:pPr>
      <w:r>
        <w:rPr>
          <w:b w:val="0"/>
          <w:i w:val="0"/>
        </w:rPr>
        <w:t>Put `Test_data/OFFER_NZOIA_GRAIN_PROCESSING.docx` on the desktop, ready to drag in.</w:t>
      </w:r>
    </w:p>
    <w:p>
      <w:pPr>
        <w:pStyle w:val="ListBullet"/>
        <w:spacing w:after="40"/>
      </w:pPr>
      <w:r>
        <w:rPr>
          <w:b w:val="0"/>
          <w:i w:val="0"/>
        </w:rPr>
        <w:t>Do one full dry run of the demo on the venue Wi-Fi (the AI needs internet; map tiles need internet), then reset the portfolio again.</w:t>
      </w:r>
    </w:p>
    <w:p>
      <w:pPr>
        <w:pStyle w:val="ListBullet"/>
        <w:spacing w:after="40"/>
      </w:pPr>
      <w:r>
        <w:rPr>
          <w:b w:val="0"/>
          <w:i w:val="0"/>
        </w:rPr>
        <w:t>Write the numbers you saw in the dry run into the blanks in this script, so you are never reading a number for the first time.</w:t>
      </w:r>
    </w:p>
    <w:p>
      <w:pPr>
        <w:pStyle w:val="ListBullet"/>
        <w:spacing w:after="40"/>
      </w:pPr>
      <w:r>
        <w:rPr>
          <w:b w:val="0"/>
          <w:i w:val="0"/>
        </w:rPr>
        <w:t>Close every other tab and app. Keep this script printed or on a phone, not on the presenting screen.</w:t>
      </w:r>
    </w:p>
    <w:p>
      <w:pPr>
        <w:pStyle w:val="Heading1"/>
      </w:pPr>
      <w:r>
        <w:t>Part 1 — Introduction (0:00 – 3:00)</w:t>
      </w:r>
    </w:p>
    <w:tbl>
      <w:tblPr>
        <w:tblW w:type="auto" w:w="0"/>
        <w:jc w:val="center"/>
        <w:tblLook w:firstColumn="1" w:firstRow="1" w:lastColumn="0" w:lastRow="0" w:noHBand="0" w:noVBand="1" w:val="04A0"/>
      </w:tblPr>
      <w:tblGrid>
        <w:gridCol w:w="9972"/>
      </w:tblGrid>
      <w:tr>
        <w:tc>
          <w:tcPr>
            <w:tcW w:type="dxa" w:w="9638"/>
            <w:shd w:val="clear" w:color="auto" w:fill="DCE3EC"/>
          </w:tcPr>
          <w:p>
            <w:r>
              <w:rPr>
                <w:b/>
                <w:i w:val="0"/>
                <w:color w:val="041D3B"/>
                <w:sz w:val="24"/>
              </w:rPr>
              <w:t>MEMBER A  ·  Team, the problem, what we built</w:t>
            </w:r>
          </w:p>
          <w:p>
            <w:r>
              <w:rPr>
                <w:b w:val="0"/>
                <w:i w:val="0"/>
                <w:color w:val="696F6F"/>
                <w:sz w:val="19"/>
              </w:rPr>
              <w:t>0:00 – 1:00   (1 minute)</w:t>
            </w:r>
          </w:p>
        </w:tc>
      </w:tr>
    </w:tbl>
    <w:p>
      <w:pPr>
        <w:spacing w:after="0"/>
      </w:pPr>
    </w:p>
    <w:p>
      <w:pPr>
        <w:spacing w:after="60"/>
        <w:ind w:left="340"/>
      </w:pPr>
      <w:r>
        <w:rPr>
          <w:b/>
          <w:color w:val="041D3B"/>
        </w:rPr>
        <w:t xml:space="preserve">DO: </w:t>
      </w:r>
      <w:r>
        <w:rPr>
          <w:b w:val="0"/>
          <w:i w:val="0"/>
        </w:rPr>
        <w:t>Stand at the front; the Underwriting desk is on screen, untouched.</w:t>
      </w:r>
    </w:p>
    <w:p>
      <w:pPr>
        <w:spacing w:after="100"/>
        <w:ind w:left="340"/>
      </w:pPr>
      <w:r>
        <w:rPr>
          <w:b/>
          <w:color w:val="D11242"/>
        </w:rPr>
        <w:t xml:space="preserve">SAY: </w:t>
      </w:r>
      <w:r>
        <w:rPr>
          <w:b w:val="0"/>
          <w:i/>
        </w:rPr>
        <w:t>“Good morning. We are [team name] — I'm [A], with [B] and [C]. Every long-rains season the lower Nzoia floods around Budalangi, Port Victoria and Bunyala, and homes, shops and schools go under. For Kenya Re that raises three questions about any property: how likely is a flood, how badly would this building be damaged, and how much of that money lands on the insurer and on Kenya Re after the policy terms and reinsurance.”</w:t>
      </w:r>
    </w:p>
    <w:p>
      <w:pPr>
        <w:spacing w:after="100"/>
        <w:ind w:left="340"/>
      </w:pPr>
      <w:r>
        <w:rPr>
          <w:b/>
          <w:color w:val="D11242"/>
        </w:rPr>
        <w:t xml:space="preserve">SAY: </w:t>
      </w:r>
      <w:r>
        <w:rPr>
          <w:b w:val="0"/>
          <w:i/>
        </w:rPr>
        <w:t>“Today that answer takes days of reading broker documents and spreadsheet work. We built a flood catastrophe model and an underwriting desk around it: you drop in a broker's offer, and within a minute you get every building on a real flood map, its loss in floods from 1-in-10 to 1-in-500 years, an explanation of why, and what accepting it does to the whole book.”</w:t>
      </w:r>
    </w:p>
    <w:p>
      <w:pPr>
        <w:spacing w:after="200"/>
        <w:ind w:left="340"/>
      </w:pPr>
      <w:r>
        <w:rPr>
          <w:b/>
          <w:color w:val="D11242"/>
        </w:rPr>
        <w:t xml:space="preserve">HANDOVER ➜ </w:t>
      </w:r>
      <w:r>
        <w:rPr>
          <w:b/>
          <w:i w:val="0"/>
        </w:rPr>
        <w:t>“[B] will show you how it fits together.”</w:t>
      </w:r>
    </w:p>
    <w:tbl>
      <w:tblPr>
        <w:tblW w:type="auto" w:w="0"/>
        <w:jc w:val="center"/>
        <w:tblLook w:firstColumn="1" w:firstRow="1" w:lastColumn="0" w:lastRow="0" w:noHBand="0" w:noVBand="1" w:val="04A0"/>
      </w:tblPr>
      <w:tblGrid>
        <w:gridCol w:w="9972"/>
      </w:tblGrid>
      <w:tr>
        <w:tc>
          <w:tcPr>
            <w:tcW w:type="dxa" w:w="9638"/>
            <w:shd w:val="clear" w:color="auto" w:fill="F6DDE3"/>
          </w:tcPr>
          <w:p>
            <w:r>
              <w:rPr>
                <w:b/>
                <w:i w:val="0"/>
                <w:color w:val="041D3B"/>
                <w:sz w:val="24"/>
              </w:rPr>
              <w:t>MEMBER B  ·  Architecture: how the system fits together</w:t>
            </w:r>
          </w:p>
          <w:p>
            <w:r>
              <w:rPr>
                <w:b w:val="0"/>
                <w:i w:val="0"/>
                <w:color w:val="696F6F"/>
                <w:sz w:val="19"/>
              </w:rPr>
              <w:t>1:00 – 2:00   (1 minute)</w:t>
            </w:r>
          </w:p>
        </w:tc>
      </w:tr>
    </w:tbl>
    <w:p>
      <w:pPr>
        <w:spacing w:after="0"/>
      </w:pPr>
    </w:p>
    <w:p>
      <w:pPr>
        <w:spacing w:after="60"/>
        <w:ind w:left="340"/>
      </w:pPr>
      <w:r>
        <w:rPr>
          <w:b/>
          <w:color w:val="041D3B"/>
        </w:rPr>
        <w:t xml:space="preserve">DO: </w:t>
      </w:r>
      <w:r>
        <w:rPr>
          <w:b w:val="0"/>
          <w:i w:val="0"/>
        </w:rPr>
        <w:t>Optional: show a one-slide diagram — Hazard ➜ Vulnerability ➜ Exposure ➜ Financial ➜ Risk metrics.</w:t>
      </w:r>
    </w:p>
    <w:p>
      <w:pPr>
        <w:spacing w:after="100"/>
        <w:ind w:left="340"/>
      </w:pPr>
      <w:r>
        <w:rPr>
          <w:b/>
          <w:color w:val="D11242"/>
        </w:rPr>
        <w:t xml:space="preserve">SAY: </w:t>
      </w:r>
      <w:r>
        <w:rPr>
          <w:b w:val="0"/>
          <w:i/>
        </w:rPr>
        <w:t>“The system follows the standard catastrophe-model chain in four boxes. Hazard: how deep the water gets. Vulnerability: what share of the building that depth destroys. Exposure: what each building is worth. Financial: deductible, limit and reinsurance, giving the loss curve and the average annual loss.”</w:t>
      </w:r>
    </w:p>
    <w:p>
      <w:pPr>
        <w:spacing w:after="100"/>
        <w:ind w:left="340"/>
      </w:pPr>
      <w:r>
        <w:rPr>
          <w:b/>
          <w:color w:val="D11242"/>
        </w:rPr>
        <w:t xml:space="preserve">SAY: </w:t>
      </w:r>
      <w:r>
        <w:rPr>
          <w:b w:val="0"/>
          <w:i/>
        </w:rPr>
        <w:t>“The model is built in a Python notebook. For vulnerability we started from the published JRC depth-damage curves, adapted them to four Kenyan construction types, and trained a gradient-boosting model with physics constraints — deeper water can never mean less damage — that predicts a range of damage, not just one number. The results are exported to a Next.js web app, and the whole financial engine runs live in the browser; a validation script proves it matches the notebook within half a percent.”</w:t>
      </w:r>
    </w:p>
    <w:p>
      <w:pPr>
        <w:spacing w:after="100"/>
        <w:ind w:left="340"/>
      </w:pPr>
      <w:r>
        <w:rPr>
          <w:b/>
          <w:color w:val="D11242"/>
        </w:rPr>
        <w:t xml:space="preserve">SAY: </w:t>
      </w:r>
      <w:r>
        <w:rPr>
          <w:b w:val="0"/>
          <w:i/>
        </w:rPr>
        <w:t>“AI sits only at the edges: it reads documents and photos, and it writes the briefing. It never produces a loss number — every shilling you'll see comes from the model.”</w:t>
      </w:r>
    </w:p>
    <w:p>
      <w:pPr>
        <w:spacing w:after="200"/>
        <w:ind w:left="340"/>
      </w:pPr>
      <w:r>
        <w:rPr>
          <w:b/>
          <w:color w:val="D11242"/>
        </w:rPr>
        <w:t xml:space="preserve">HANDOVER ➜ </w:t>
      </w:r>
      <w:r>
        <w:rPr>
          <w:b/>
          <w:i w:val="0"/>
        </w:rPr>
        <w:t>“[C] will cover the data and resources behind it.”</w:t>
      </w:r>
    </w:p>
    <w:tbl>
      <w:tblPr>
        <w:tblW w:type="auto" w:w="0"/>
        <w:jc w:val="center"/>
        <w:tblLook w:firstColumn="1" w:firstRow="1" w:lastColumn="0" w:lastRow="0" w:noHBand="0" w:noVBand="1" w:val="04A0"/>
      </w:tblPr>
      <w:tblGrid>
        <w:gridCol w:w="9972"/>
      </w:tblGrid>
      <w:tr>
        <w:tc>
          <w:tcPr>
            <w:tcW w:type="dxa" w:w="9638"/>
            <w:shd w:val="clear" w:color="auto" w:fill="E6E8E8"/>
          </w:tcPr>
          <w:p>
            <w:r>
              <w:rPr>
                <w:b/>
                <w:i w:val="0"/>
                <w:color w:val="041D3B"/>
                <w:sz w:val="24"/>
              </w:rPr>
              <w:t>MEMBER C  ·  Data, resources and headline results</w:t>
            </w:r>
          </w:p>
          <w:p>
            <w:r>
              <w:rPr>
                <w:b w:val="0"/>
                <w:i w:val="0"/>
                <w:color w:val="696F6F"/>
                <w:sz w:val="19"/>
              </w:rPr>
              <w:t>2:00 – 3:00   (1 minute)</w:t>
            </w:r>
          </w:p>
        </w:tc>
      </w:tr>
    </w:tbl>
    <w:p>
      <w:pPr>
        <w:spacing w:after="0"/>
      </w:pPr>
    </w:p>
    <w:p>
      <w:pPr>
        <w:spacing w:after="60"/>
        <w:ind w:left="340"/>
      </w:pPr>
      <w:r>
        <w:rPr>
          <w:b/>
          <w:color w:val="041D3B"/>
        </w:rPr>
        <w:t xml:space="preserve">DO: </w:t>
      </w:r>
      <w:r>
        <w:rPr>
          <w:b w:val="0"/>
          <w:i w:val="0"/>
        </w:rPr>
        <w:t>Optional: show a resources slide (real / synthetic / assumption).</w:t>
      </w:r>
    </w:p>
    <w:p>
      <w:pPr>
        <w:spacing w:after="100"/>
        <w:ind w:left="340"/>
      </w:pPr>
      <w:r>
        <w:rPr>
          <w:b/>
          <w:color w:val="D11242"/>
        </w:rPr>
        <w:t xml:space="preserve">SAY: </w:t>
      </w:r>
      <w:r>
        <w:rPr>
          <w:b w:val="0"/>
          <w:i/>
        </w:rPr>
        <w:t>“We label every input as real, synthetic or an assumption. The flood maps are real: the European Commission's JRC flood depth maps for six return periods, at about one-kilometre resolution. The 500-building portfolio is the synthetic starter kit — and auditing it, we found its insured-value column was ten times too large; recomputing floor area times cost per square metre matches the data dictionary exactly, so we corrected it and kept the original for audit.”</w:t>
      </w:r>
    </w:p>
    <w:p>
      <w:pPr>
        <w:spacing w:after="100"/>
        <w:ind w:left="340"/>
      </w:pPr>
      <w:r>
        <w:rPr>
          <w:b/>
          <w:color w:val="D11242"/>
        </w:rPr>
        <w:t xml:space="preserve">SAY: </w:t>
      </w:r>
      <w:r>
        <w:rPr>
          <w:b w:val="0"/>
          <w:i/>
        </w:rPr>
        <w:t>“Tools: Python with scikit-learn for the model, Next.js and React for the app, Google Gemini for document reading, and a SQLite database that stores accepted offers with a full audit trail, behind a passcode, rate limits and prompt-injection defences.”</w:t>
      </w:r>
    </w:p>
    <w:p>
      <w:pPr>
        <w:spacing w:after="100"/>
        <w:ind w:left="340"/>
      </w:pPr>
      <w:r>
        <w:rPr>
          <w:b/>
          <w:color w:val="D11242"/>
        </w:rPr>
        <w:t xml:space="preserve">SAY: </w:t>
      </w:r>
      <w:r>
        <w:rPr>
          <w:b w:val="0"/>
          <w:i/>
        </w:rPr>
        <w:t>“On the starter book, a 1-in-100-year flood costs about KES 32 million ground-up and the average annual loss is KES 5.8 million. Once we add damage uncertainty in a 50,000-year simulation, the realistic 1-in-100 rises to about KES 39 million — and that gap is what a reinsurance buyer needs to see. Let's show you.”</w:t>
      </w:r>
    </w:p>
    <w:p>
      <w:pPr>
        <w:spacing w:after="200"/>
        <w:ind w:left="340"/>
      </w:pPr>
      <w:r>
        <w:rPr>
          <w:b/>
          <w:color w:val="D11242"/>
        </w:rPr>
        <w:t xml:space="preserve">HANDOVER ➜ </w:t>
      </w:r>
      <w:r>
        <w:rPr>
          <w:b/>
          <w:i w:val="0"/>
        </w:rPr>
        <w:t>“[A] will run a broker's offer through the desk.”</w:t>
      </w:r>
    </w:p>
    <w:p>
      <w:pPr>
        <w:pStyle w:val="Heading1"/>
      </w:pPr>
      <w:r>
        <w:t>Part 2 — Live demo (3:00 – 10:00)</w:t>
      </w:r>
    </w:p>
    <w:tbl>
      <w:tblPr>
        <w:tblW w:type="auto" w:w="0"/>
        <w:jc w:val="center"/>
        <w:tblLook w:firstColumn="1" w:firstRow="1" w:lastColumn="0" w:lastRow="0" w:noHBand="0" w:noVBand="1" w:val="04A0"/>
      </w:tblPr>
      <w:tblGrid>
        <w:gridCol w:w="9972"/>
      </w:tblGrid>
      <w:tr>
        <w:tc>
          <w:tcPr>
            <w:tcW w:type="dxa" w:w="9638"/>
            <w:shd w:val="clear" w:color="auto" w:fill="DCE3EC"/>
          </w:tcPr>
          <w:p>
            <w:r>
              <w:rPr>
                <w:b/>
                <w:i w:val="0"/>
                <w:color w:val="041D3B"/>
                <w:sz w:val="24"/>
              </w:rPr>
              <w:t>MEMBER A  ·  DEMO 1 — Submit an offer and see what the AI read (Steps 1–2)</w:t>
            </w:r>
          </w:p>
          <w:p>
            <w:r>
              <w:rPr>
                <w:b w:val="0"/>
                <w:i w:val="0"/>
                <w:color w:val="696F6F"/>
                <w:sz w:val="19"/>
              </w:rPr>
              <w:t>3:00 – 5:20   (2 minutes 20 seconds)</w:t>
            </w:r>
          </w:p>
        </w:tc>
      </w:tr>
    </w:tbl>
    <w:p>
      <w:pPr>
        <w:spacing w:after="0"/>
      </w:pPr>
    </w:p>
    <w:p>
      <w:pPr>
        <w:spacing w:after="60"/>
        <w:ind w:left="340"/>
      </w:pPr>
      <w:r>
        <w:rPr>
          <w:b/>
          <w:color w:val="041D3B"/>
        </w:rPr>
        <w:t xml:space="preserve">DO: </w:t>
      </w:r>
      <w:r>
        <w:rPr>
          <w:b w:val="0"/>
          <w:i w:val="0"/>
        </w:rPr>
        <w:t xml:space="preserve">Point to the </w:t>
      </w:r>
      <w:r>
        <w:rPr>
          <w:b/>
          <w:i w:val="0"/>
        </w:rPr>
        <w:t>Current book</w:t>
      </w:r>
      <w:r>
        <w:rPr>
          <w:b w:val="0"/>
          <w:i w:val="0"/>
        </w:rPr>
        <w:t xml:space="preserve"> box at the top of the desk: 500 buildings and the book's 1-in-100 net loss.</w:t>
      </w:r>
    </w:p>
    <w:p>
      <w:pPr>
        <w:spacing w:after="100"/>
        <w:ind w:left="340"/>
      </w:pPr>
      <w:r>
        <w:rPr>
          <w:b/>
          <w:color w:val="D11242"/>
        </w:rPr>
        <w:t xml:space="preserve">SAY: </w:t>
      </w:r>
      <w:r>
        <w:rPr>
          <w:b w:val="0"/>
          <w:i/>
        </w:rPr>
        <w:t>“This is the underwriting desk. The box at the top is our current book — remember this number; we'll change it at the end.”</w:t>
      </w:r>
    </w:p>
    <w:p>
      <w:pPr>
        <w:spacing w:after="60"/>
        <w:ind w:left="340"/>
      </w:pPr>
      <w:r>
        <w:rPr>
          <w:b/>
          <w:color w:val="041D3B"/>
        </w:rPr>
        <w:t xml:space="preserve">DO: </w:t>
      </w:r>
      <w:r>
        <w:rPr>
          <w:b w:val="0"/>
          <w:i w:val="0"/>
        </w:rPr>
        <w:t xml:space="preserve">Drag </w:t>
      </w:r>
      <w:r>
        <w:rPr>
          <w:b/>
          <w:i w:val="0"/>
        </w:rPr>
        <w:t>OFFER_NZOIA_GRAIN_PROCESSING.docx</w:t>
      </w:r>
      <w:r>
        <w:rPr>
          <w:b w:val="0"/>
          <w:i w:val="0"/>
        </w:rPr>
        <w:t xml:space="preserve"> into </w:t>
      </w:r>
      <w:r>
        <w:rPr>
          <w:b/>
          <w:i w:val="0"/>
        </w:rPr>
        <w:t>Step 1</w:t>
      </w:r>
      <w:r>
        <w:rPr>
          <w:b w:val="0"/>
          <w:i w:val="0"/>
        </w:rPr>
        <w:t xml:space="preserve">, then click </w:t>
      </w:r>
      <w:r>
        <w:rPr>
          <w:b/>
          <w:i w:val="0"/>
        </w:rPr>
        <w:t>Extract with AI</w:t>
      </w:r>
      <w:r>
        <w:rPr>
          <w:b w:val="0"/>
          <w:i w:val="0"/>
        </w:rPr>
        <w:t>.</w:t>
      </w:r>
    </w:p>
    <w:p>
      <w:pPr>
        <w:spacing w:after="100"/>
        <w:ind w:left="340"/>
      </w:pPr>
      <w:r>
        <w:rPr>
          <w:b/>
          <w:color w:val="D11242"/>
        </w:rPr>
        <w:t xml:space="preserve">SAY: </w:t>
      </w:r>
      <w:r>
        <w:rPr>
          <w:b w:val="0"/>
          <w:i/>
        </w:rPr>
        <w:t>“This is a real-style facultative offer: thirty thousand characters with broker contacts, phone numbers, a machinery schedule and a loss history. The Word file is read inside the browser. The AI is told to pull out only insurable buildings, into a fixed form, and to treat the document as data, never as instructions.”</w:t>
      </w:r>
    </w:p>
    <w:p>
      <w:pPr>
        <w:spacing w:after="100"/>
        <w:ind w:left="340"/>
      </w:pPr>
      <w:r>
        <w:rPr>
          <w:b w:val="0"/>
          <w:i/>
          <w:color w:val="696F6F"/>
          <w:sz w:val="19"/>
        </w:rPr>
        <w:t>⏱ While it runs (10–20 seconds), keep talking: “Everything it returns is re-checked in code — construction types, counts, coordinates, places.”</w:t>
      </w:r>
    </w:p>
    <w:p>
      <w:pPr>
        <w:spacing w:after="60"/>
        <w:ind w:left="340"/>
      </w:pPr>
      <w:r>
        <w:rPr>
          <w:b/>
          <w:color w:val="041D3B"/>
        </w:rPr>
        <w:t xml:space="preserve">DO: </w:t>
      </w:r>
      <w:r>
        <w:rPr>
          <w:b w:val="0"/>
          <w:i w:val="0"/>
        </w:rPr>
        <w:t xml:space="preserve">Scroll through </w:t>
      </w:r>
      <w:r>
        <w:rPr>
          <w:b/>
          <w:i w:val="0"/>
        </w:rPr>
        <w:t>Step 2 — What the AI read from it</w:t>
      </w:r>
      <w:r>
        <w:rPr>
          <w:b w:val="0"/>
          <w:i w:val="0"/>
        </w:rPr>
        <w:t>.</w:t>
      </w:r>
    </w:p>
    <w:p>
      <w:pPr>
        <w:spacing w:after="100"/>
        <w:ind w:left="340"/>
      </w:pPr>
      <w:r>
        <w:rPr>
          <w:b/>
          <w:color w:val="D11242"/>
        </w:rPr>
        <w:t xml:space="preserve">SAY: </w:t>
      </w:r>
      <w:r>
        <w:rPr>
          <w:b w:val="0"/>
          <w:i/>
        </w:rPr>
        <w:t>“It found the eight buildings — the processing hall, three warehouses, the office raised 0.8 metres, the workshop, guardhouse and fuel shed — and it ignored the phone numbers, years and machinery; the note at the top says the machinery was excluded because we price structures only.”</w:t>
      </w:r>
    </w:p>
    <w:p>
      <w:pPr>
        <w:spacing w:after="100"/>
        <w:ind w:left="340"/>
      </w:pPr>
      <w:r>
        <w:rPr>
          <w:b/>
          <w:color w:val="D11242"/>
        </w:rPr>
        <w:t xml:space="preserve">SAY: </w:t>
      </w:r>
      <w:r>
        <w:rPr>
          <w:b w:val="0"/>
          <w:i/>
        </w:rPr>
        <w:t>“Every value has a tag: from the document, from a photo, AI judgement, derived or default. Each row shows the exact quote it came from and the AI's assumptions. The confidence column is a reading-quality flag — red means a human should check that row; it is never an input to the price.”</w:t>
      </w:r>
    </w:p>
    <w:p>
      <w:pPr>
        <w:spacing w:after="60"/>
        <w:ind w:left="340"/>
      </w:pPr>
      <w:r>
        <w:rPr>
          <w:b/>
          <w:color w:val="041D3B"/>
        </w:rPr>
        <w:t xml:space="preserve">DO: </w:t>
      </w:r>
      <w:r>
        <w:rPr>
          <w:b w:val="0"/>
          <w:i w:val="0"/>
        </w:rPr>
        <w:t xml:space="preserve">Point to the </w:t>
      </w:r>
      <w:r>
        <w:rPr>
          <w:b/>
          <w:i w:val="0"/>
        </w:rPr>
        <w:t>Location</w:t>
      </w:r>
      <w:r>
        <w:rPr>
          <w:b w:val="0"/>
          <w:i w:val="0"/>
        </w:rPr>
        <w:t xml:space="preserve"> column (exact coordinates) and </w:t>
      </w:r>
      <w:r>
        <w:rPr>
          <w:b/>
          <w:i w:val="0"/>
        </w:rPr>
        <w:t>0 wet</w:t>
      </w:r>
      <w:r>
        <w:rPr>
          <w:b w:val="0"/>
          <w:i w:val="0"/>
        </w:rPr>
        <w:t xml:space="preserve"> buildings.</w:t>
      </w:r>
    </w:p>
    <w:p>
      <w:pPr>
        <w:spacing w:after="100"/>
        <w:ind w:left="340"/>
      </w:pPr>
      <w:r>
        <w:rPr>
          <w:b/>
          <w:color w:val="D11242"/>
        </w:rPr>
        <w:t xml:space="preserve">SAY: </w:t>
      </w:r>
      <w:r>
        <w:rPr>
          <w:b w:val="0"/>
          <w:i/>
        </w:rPr>
        <w:t>“The broker writes that the valley floods seasonally. But the stated GPS puts the site at 1,289 metres, about nineteen kilometres from the nearest modelled flood cell — so the model gives no flood loss. It doesn't invent risk because a document sounds worrying.”</w:t>
      </w:r>
    </w:p>
    <w:p>
      <w:pPr>
        <w:spacing w:after="60"/>
        <w:ind w:left="340"/>
      </w:pPr>
      <w:r>
        <w:rPr>
          <w:b/>
          <w:color w:val="041D3B"/>
        </w:rPr>
        <w:t xml:space="preserve">DO: </w:t>
      </w:r>
      <w:r>
        <w:rPr>
          <w:b w:val="0"/>
          <w:i w:val="0"/>
        </w:rPr>
        <w:t xml:space="preserve">Click the example button </w:t>
      </w:r>
      <w:r>
        <w:rPr>
          <w:b/>
          <w:i w:val="0"/>
        </w:rPr>
        <w:t>Mixed Budalangi book</w:t>
      </w:r>
      <w:r>
        <w:rPr>
          <w:b w:val="0"/>
          <w:i w:val="0"/>
        </w:rPr>
        <w:t xml:space="preserve">, then </w:t>
      </w:r>
      <w:r>
        <w:rPr>
          <w:b/>
          <w:i w:val="0"/>
        </w:rPr>
        <w:t>Extract with AI</w:t>
      </w:r>
      <w:r>
        <w:rPr>
          <w:b w:val="0"/>
          <w:i w:val="0"/>
        </w:rPr>
        <w:t>.</w:t>
      </w:r>
    </w:p>
    <w:p>
      <w:pPr>
        <w:spacing w:after="100"/>
        <w:ind w:left="340"/>
      </w:pPr>
      <w:r>
        <w:rPr>
          <w:b/>
          <w:color w:val="D11242"/>
        </w:rPr>
        <w:t xml:space="preserve">SAY: </w:t>
      </w:r>
      <w:r>
        <w:rPr>
          <w:b w:val="0"/>
          <w:i/>
        </w:rPr>
        <w:t>“Now a riverside offer: twelve mabati shops by the river in Budalangi, a two-storey concrete school in Port Victoria worth 45 million, and thirty mud-walled homes on the floodplain near Rwambwa.”</w:t>
      </w:r>
    </w:p>
    <w:p>
      <w:pPr>
        <w:spacing w:after="60"/>
        <w:ind w:left="340"/>
      </w:pPr>
      <w:r>
        <w:rPr>
          <w:b/>
          <w:color w:val="041D3B"/>
        </w:rPr>
        <w:t xml:space="preserve">DO: </w:t>
      </w:r>
      <w:r>
        <w:rPr>
          <w:b w:val="0"/>
          <w:i w:val="0"/>
        </w:rPr>
        <w:t xml:space="preserve">In Step 2, point to the </w:t>
      </w:r>
      <w:r>
        <w:rPr>
          <w:b/>
          <w:i w:val="0"/>
        </w:rPr>
        <w:t>by the river</w:t>
      </w:r>
      <w:r>
        <w:rPr>
          <w:b w:val="0"/>
          <w:i w:val="0"/>
        </w:rPr>
        <w:t xml:space="preserve"> tick box and the location note, then to an editable cell.</w:t>
      </w:r>
    </w:p>
    <w:p>
      <w:pPr>
        <w:spacing w:after="100"/>
        <w:ind w:left="340"/>
      </w:pPr>
      <w:r>
        <w:rPr>
          <w:b/>
          <w:color w:val="D11242"/>
        </w:rPr>
        <w:t xml:space="preserve">SAY: </w:t>
      </w:r>
      <w:r>
        <w:rPr>
          <w:b w:val="0"/>
          <w:i/>
        </w:rPr>
        <w:t>““By the river” moves those buildings onto the real 1-in-10-year flood corridor, not a guess. And everything is editable: if the broker confirms the school sits on a raised floor, the underwriter types it here and every number downstream updates.”</w:t>
      </w:r>
    </w:p>
    <w:p>
      <w:pPr>
        <w:spacing w:after="200"/>
        <w:ind w:left="340"/>
      </w:pPr>
      <w:r>
        <w:rPr>
          <w:b/>
          <w:color w:val="D11242"/>
        </w:rPr>
        <w:t xml:space="preserve">HANDOVER ➜ </w:t>
      </w:r>
      <w:r>
        <w:rPr>
          <w:b/>
          <w:i w:val="0"/>
        </w:rPr>
        <w:t>“These are now buildings on a real flood map. [B] will show what they could cost.”</w:t>
      </w:r>
    </w:p>
    <w:tbl>
      <w:tblPr>
        <w:tblW w:type="auto" w:w="0"/>
        <w:jc w:val="center"/>
        <w:tblLook w:firstColumn="1" w:firstRow="1" w:lastColumn="0" w:lastRow="0" w:noHBand="0" w:noVBand="1" w:val="04A0"/>
      </w:tblPr>
      <w:tblGrid>
        <w:gridCol w:w="9972"/>
      </w:tblGrid>
      <w:tr>
        <w:tc>
          <w:tcPr>
            <w:tcW w:type="dxa" w:w="9638"/>
            <w:shd w:val="clear" w:color="auto" w:fill="F6DDE3"/>
          </w:tcPr>
          <w:p>
            <w:r>
              <w:rPr>
                <w:b/>
                <w:i w:val="0"/>
                <w:color w:val="041D3B"/>
                <w:sz w:val="24"/>
              </w:rPr>
              <w:t>MEMBER B  ·  DEMO 2 — What it could cost, and why (Steps 3–4)</w:t>
            </w:r>
          </w:p>
          <w:p>
            <w:r>
              <w:rPr>
                <w:b w:val="0"/>
                <w:i w:val="0"/>
                <w:color w:val="696F6F"/>
                <w:sz w:val="19"/>
              </w:rPr>
              <w:t>5:20 – 7:40   (2 minutes 20 seconds)</w:t>
            </w:r>
          </w:p>
        </w:tc>
      </w:tr>
    </w:tbl>
    <w:p>
      <w:pPr>
        <w:spacing w:after="0"/>
      </w:pPr>
    </w:p>
    <w:p>
      <w:pPr>
        <w:spacing w:after="60"/>
        <w:ind w:left="340"/>
      </w:pPr>
      <w:r>
        <w:rPr>
          <w:b/>
          <w:color w:val="041D3B"/>
        </w:rPr>
        <w:t xml:space="preserve">DO: </w:t>
      </w:r>
      <w:r>
        <w:rPr>
          <w:b w:val="0"/>
          <w:i w:val="0"/>
        </w:rPr>
        <w:t xml:space="preserve">Scroll to </w:t>
      </w:r>
      <w:r>
        <w:rPr>
          <w:b/>
          <w:i w:val="0"/>
        </w:rPr>
        <w:t>Step 3 — What it could cost</w:t>
      </w:r>
      <w:r>
        <w:rPr>
          <w:b w:val="0"/>
          <w:i w:val="0"/>
        </w:rPr>
        <w:t xml:space="preserve">. Select </w:t>
      </w:r>
      <w:r>
        <w:rPr>
          <w:b/>
          <w:i w:val="0"/>
        </w:rPr>
        <w:t>1-in-100</w:t>
      </w:r>
      <w:r>
        <w:rPr>
          <w:b w:val="0"/>
          <w:i w:val="0"/>
        </w:rPr>
        <w:t xml:space="preserve"> in the return-period selector.</w:t>
      </w:r>
    </w:p>
    <w:p>
      <w:pPr>
        <w:spacing w:after="100"/>
        <w:ind w:left="340"/>
      </w:pPr>
      <w:r>
        <w:rPr>
          <w:b/>
          <w:color w:val="D11242"/>
        </w:rPr>
        <w:t xml:space="preserve">SAY: </w:t>
      </w:r>
      <w:r>
        <w:rPr>
          <w:b w:val="0"/>
          <w:i/>
        </w:rPr>
        <w:t>“A 1-in-100 flood has a one-percent chance each year. This chart answers who pays for it. The physical damage — ground-up — is [KES __ M]. The owners keep the deductible, two percent of each building's value. The insurer's gross loss is [KES __ M]; the catastrophe excess-of-loss treaty pays anything between 20 and 40 million across the event; and the insurer keeps the net.”</w:t>
      </w:r>
    </w:p>
    <w:p>
      <w:pPr>
        <w:spacing w:after="60"/>
        <w:ind w:left="340"/>
      </w:pPr>
      <w:r>
        <w:rPr>
          <w:b/>
          <w:color w:val="041D3B"/>
        </w:rPr>
        <w:t xml:space="preserve">DO: </w:t>
      </w:r>
      <w:r>
        <w:rPr>
          <w:b w:val="0"/>
          <w:i w:val="0"/>
        </w:rPr>
        <w:t xml:space="preserve">Point to the </w:t>
      </w:r>
      <w:r>
        <w:rPr>
          <w:b/>
          <w:i w:val="0"/>
        </w:rPr>
        <w:t>EP curve</w:t>
      </w:r>
      <w:r>
        <w:rPr>
          <w:b w:val="0"/>
          <w:i w:val="0"/>
        </w:rPr>
        <w:t xml:space="preserve"> and then the </w:t>
      </w:r>
      <w:r>
        <w:rPr>
          <w:b/>
          <w:i w:val="0"/>
        </w:rPr>
        <w:t>loss at each return period</w:t>
      </w:r>
      <w:r>
        <w:rPr>
          <w:b w:val="0"/>
          <w:i w:val="0"/>
        </w:rPr>
        <w:t xml:space="preserve"> table.</w:t>
      </w:r>
    </w:p>
    <w:p>
      <w:pPr>
        <w:spacing w:after="100"/>
        <w:ind w:left="340"/>
      </w:pPr>
      <w:r>
        <w:rPr>
          <w:b/>
          <w:color w:val="D11242"/>
        </w:rPr>
        <w:t xml:space="preserve">SAY: </w:t>
      </w:r>
      <w:r>
        <w:rPr>
          <w:b w:val="0"/>
          <w:i/>
        </w:rPr>
        <w:t>“The curve gives the same answer for every flood size, from 1-in-10 to 1-in-500, and the table shows every step from physical damage to what the insurer keeps.”</w:t>
      </w:r>
    </w:p>
    <w:p>
      <w:pPr>
        <w:spacing w:after="60"/>
        <w:ind w:left="340"/>
      </w:pPr>
      <w:r>
        <w:rPr>
          <w:b/>
          <w:color w:val="041D3B"/>
        </w:rPr>
        <w:t xml:space="preserve">DO: </w:t>
      </w:r>
      <w:r>
        <w:rPr>
          <w:b w:val="0"/>
          <w:i w:val="0"/>
        </w:rPr>
        <w:t xml:space="preserve">Point to </w:t>
      </w:r>
      <w:r>
        <w:rPr>
          <w:b/>
          <w:i w:val="0"/>
        </w:rPr>
        <w:t>Damage ratio and ground-up loss per building</w:t>
      </w:r>
      <w:r>
        <w:rPr>
          <w:b w:val="0"/>
          <w:i w:val="0"/>
        </w:rPr>
        <w:t>.</w:t>
      </w:r>
    </w:p>
    <w:p>
      <w:pPr>
        <w:spacing w:after="100"/>
        <w:ind w:left="340"/>
      </w:pPr>
      <w:r>
        <w:rPr>
          <w:b/>
          <w:color w:val="D11242"/>
        </w:rPr>
        <w:t xml:space="preserve">SAY: </w:t>
      </w:r>
      <w:r>
        <w:rPr>
          <w:b w:val="0"/>
          <w:i/>
        </w:rPr>
        <w:t>“Per building: the mabati shops have the highest damage ratio — iron-sheet walls at ground level — but the school carries the biggest shilling loss because it's worth far more. Vulnerable and expensive are not the same thing.”</w:t>
      </w:r>
    </w:p>
    <w:p>
      <w:pPr>
        <w:spacing w:after="60"/>
        <w:ind w:left="340"/>
      </w:pPr>
      <w:r>
        <w:rPr>
          <w:b/>
          <w:color w:val="041D3B"/>
        </w:rPr>
        <w:t xml:space="preserve">DO: </w:t>
      </w:r>
      <w:r>
        <w:rPr>
          <w:b w:val="0"/>
          <w:i w:val="0"/>
        </w:rPr>
        <w:t xml:space="preserve">Optional, 15 seconds: open </w:t>
      </w:r>
      <w:r>
        <w:rPr>
          <w:b/>
          <w:i w:val="0"/>
        </w:rPr>
        <w:t>Model settings</w:t>
      </w:r>
      <w:r>
        <w:rPr>
          <w:b w:val="0"/>
          <w:i w:val="0"/>
        </w:rPr>
        <w:t xml:space="preserve">, change </w:t>
      </w:r>
      <w:r>
        <w:rPr>
          <w:b/>
          <w:i w:val="0"/>
        </w:rPr>
        <w:t>Flood duration</w:t>
      </w:r>
      <w:r>
        <w:rPr>
          <w:b w:val="0"/>
          <w:i w:val="0"/>
        </w:rPr>
        <w:t xml:space="preserve"> from 7 to 21 days, show the numbers jump, change back to 7.</w:t>
      </w:r>
    </w:p>
    <w:p>
      <w:pPr>
        <w:spacing w:after="100"/>
        <w:ind w:left="340"/>
      </w:pPr>
      <w:r>
        <w:rPr>
          <w:b/>
          <w:color w:val="D11242"/>
        </w:rPr>
        <w:t xml:space="preserve">SAY: </w:t>
      </w:r>
      <w:r>
        <w:rPr>
          <w:b w:val="0"/>
          <w:i/>
        </w:rPr>
        <w:t>“Every setting recalculates instantly in the browser — a three-week flood instead of one week adds about ten percent.”</w:t>
      </w:r>
    </w:p>
    <w:p>
      <w:pPr>
        <w:spacing w:after="60"/>
        <w:ind w:left="340"/>
      </w:pPr>
      <w:r>
        <w:rPr>
          <w:b/>
          <w:color w:val="041D3B"/>
        </w:rPr>
        <w:t xml:space="preserve">DO: </w:t>
      </w:r>
      <w:r>
        <w:rPr>
          <w:b w:val="0"/>
          <w:i w:val="0"/>
        </w:rPr>
        <w:t xml:space="preserve">Scroll to </w:t>
      </w:r>
      <w:r>
        <w:rPr>
          <w:b/>
          <w:i w:val="0"/>
        </w:rPr>
        <w:t>Step 4 — Why the model says so</w:t>
      </w:r>
      <w:r>
        <w:rPr>
          <w:b w:val="0"/>
          <w:i w:val="0"/>
        </w:rPr>
        <w:t>. Pick one of the mabati shops.</w:t>
      </w:r>
    </w:p>
    <w:p>
      <w:pPr>
        <w:spacing w:after="100"/>
        <w:ind w:left="340"/>
      </w:pPr>
      <w:r>
        <w:rPr>
          <w:b/>
          <w:color w:val="D11242"/>
        </w:rPr>
        <w:t xml:space="preserve">SAY: </w:t>
      </w:r>
      <w:r>
        <w:rPr>
          <w:b w:val="0"/>
          <w:i/>
        </w:rPr>
        <w:t>“Why does this shop lose [__] percent? SHAP splits the prediction into pieces that add up exactly: deeper water than a typical flooded building adds [__] points, iron-sheet construction adds [__], and so on.”</w:t>
      </w:r>
    </w:p>
    <w:p>
      <w:pPr>
        <w:spacing w:after="100"/>
        <w:ind w:left="340"/>
      </w:pPr>
      <w:r>
        <w:rPr>
          <w:b/>
          <w:color w:val="D11242"/>
        </w:rPr>
        <w:t xml:space="preserve">SAY: </w:t>
      </w:r>
      <w:r>
        <w:rPr>
          <w:b w:val="0"/>
          <w:i/>
        </w:rPr>
        <w:t>“LIME answers the underwriter's next question — what would change it? Each extra ten centimetres of raised floor removes about [__] points of damage. That turns straight into an underwriting condition: raise the floor, or price for it.”</w:t>
      </w:r>
    </w:p>
    <w:p>
      <w:pPr>
        <w:spacing w:after="200"/>
        <w:ind w:left="340"/>
      </w:pPr>
      <w:r>
        <w:rPr>
          <w:b/>
          <w:color w:val="D11242"/>
        </w:rPr>
        <w:t xml:space="preserve">HANDOVER ➜ </w:t>
      </w:r>
      <w:r>
        <w:rPr>
          <w:b/>
          <w:i w:val="0"/>
        </w:rPr>
        <w:t>“So we know what it costs and why. [C] will make the decision and show the book.”</w:t>
      </w:r>
    </w:p>
    <w:tbl>
      <w:tblPr>
        <w:tblW w:type="auto" w:w="0"/>
        <w:jc w:val="center"/>
        <w:tblLook w:firstColumn="1" w:firstRow="1" w:lastColumn="0" w:lastRow="0" w:noHBand="0" w:noVBand="1" w:val="04A0"/>
      </w:tblPr>
      <w:tblGrid>
        <w:gridCol w:w="9972"/>
      </w:tblGrid>
      <w:tr>
        <w:tc>
          <w:tcPr>
            <w:tcW w:type="dxa" w:w="9638"/>
            <w:shd w:val="clear" w:color="auto" w:fill="E6E8E8"/>
          </w:tcPr>
          <w:p>
            <w:r>
              <w:rPr>
                <w:b/>
                <w:i w:val="0"/>
                <w:color w:val="041D3B"/>
                <w:sz w:val="24"/>
              </w:rPr>
              <w:t>MEMBER C  ·  DEMO 3 — Decide, brief, accept; then the Portfolio tab (Step 5)</w:t>
            </w:r>
          </w:p>
          <w:p>
            <w:r>
              <w:rPr>
                <w:b w:val="0"/>
                <w:i w:val="0"/>
                <w:color w:val="696F6F"/>
                <w:sz w:val="19"/>
              </w:rPr>
              <w:t>7:40 – 10:00   (2 minutes 20 seconds)</w:t>
            </w:r>
          </w:p>
        </w:tc>
      </w:tr>
    </w:tbl>
    <w:p>
      <w:pPr>
        <w:spacing w:after="0"/>
      </w:pPr>
    </w:p>
    <w:p>
      <w:pPr>
        <w:spacing w:after="60"/>
        <w:ind w:left="340"/>
      </w:pPr>
      <w:r>
        <w:rPr>
          <w:b/>
          <w:color w:val="041D3B"/>
        </w:rPr>
        <w:t xml:space="preserve">DO: </w:t>
      </w:r>
      <w:r>
        <w:rPr>
          <w:b w:val="0"/>
          <w:i w:val="0"/>
        </w:rPr>
        <w:t xml:space="preserve">Scroll to </w:t>
      </w:r>
      <w:r>
        <w:rPr>
          <w:b/>
          <w:i w:val="0"/>
        </w:rPr>
        <w:t>Step 5 — Decide</w:t>
      </w:r>
      <w:r>
        <w:rPr>
          <w:b w:val="0"/>
          <w:i w:val="0"/>
        </w:rPr>
        <w:t xml:space="preserve">. Point to </w:t>
      </w:r>
      <w:r>
        <w:rPr>
          <w:b/>
          <w:i w:val="0"/>
        </w:rPr>
        <w:t>What accepting this offer does to the book</w:t>
      </w:r>
      <w:r>
        <w:rPr>
          <w:b w:val="0"/>
          <w:i w:val="0"/>
        </w:rPr>
        <w:t>.</w:t>
      </w:r>
    </w:p>
    <w:p>
      <w:pPr>
        <w:spacing w:after="100"/>
        <w:ind w:left="340"/>
      </w:pPr>
      <w:r>
        <w:rPr>
          <w:b/>
          <w:color w:val="D11242"/>
        </w:rPr>
        <w:t xml:space="preserve">SAY: </w:t>
      </w:r>
      <w:r>
        <w:rPr>
          <w:b w:val="0"/>
          <w:i/>
        </w:rPr>
        <w:t>“This is the decision view: total insured value, the 1-in-100 ground-up, gross and net, and the average annual loss — before and after this offer. The book's 1-in-100 net goes from [__] to [__], and the AAL rises by [__].”</w:t>
      </w:r>
    </w:p>
    <w:p>
      <w:pPr>
        <w:spacing w:after="60"/>
        <w:ind w:left="340"/>
      </w:pPr>
      <w:r>
        <w:rPr>
          <w:b/>
          <w:color w:val="041D3B"/>
        </w:rPr>
        <w:t xml:space="preserve">DO: </w:t>
      </w:r>
      <w:r>
        <w:rPr>
          <w:b w:val="0"/>
          <w:i w:val="0"/>
        </w:rPr>
        <w:t xml:space="preserve">Click </w:t>
      </w:r>
      <w:r>
        <w:rPr>
          <w:b/>
          <w:i w:val="0"/>
        </w:rPr>
        <w:t>Write briefing with AI</w:t>
      </w:r>
      <w:r>
        <w:rPr>
          <w:b w:val="0"/>
          <w:i w:val="0"/>
        </w:rPr>
        <w:t xml:space="preserve">. While it writes, open </w:t>
      </w:r>
      <w:r>
        <w:rPr>
          <w:b/>
          <w:i w:val="0"/>
        </w:rPr>
        <w:t>Exactly what the AI was given</w:t>
      </w:r>
      <w:r>
        <w:rPr>
          <w:b w:val="0"/>
          <w:i w:val="0"/>
        </w:rPr>
        <w:t>.</w:t>
      </w:r>
    </w:p>
    <w:p>
      <w:pPr>
        <w:spacing w:after="100"/>
        <w:ind w:left="340"/>
      </w:pPr>
      <w:r>
        <w:rPr>
          <w:b/>
          <w:color w:val="D11242"/>
        </w:rPr>
        <w:t xml:space="preserve">SAY: </w:t>
      </w:r>
      <w:r>
        <w:rPr>
          <w:b w:val="0"/>
          <w:i/>
        </w:rPr>
        <w:t>“The briefing AI receives only the numbers our model computed — you can see the exact payload here — so it can explain and recommend, but it can't change a figure. If it's unavailable, a template version gives the same sections.”</w:t>
      </w:r>
    </w:p>
    <w:p>
      <w:pPr>
        <w:spacing w:after="60"/>
        <w:ind w:left="340"/>
      </w:pPr>
      <w:r>
        <w:rPr>
          <w:b/>
          <w:color w:val="041D3B"/>
        </w:rPr>
        <w:t xml:space="preserve">DO: </w:t>
      </w:r>
      <w:r>
        <w:rPr>
          <w:b w:val="0"/>
          <w:i w:val="0"/>
        </w:rPr>
        <w:t>Read the briefing's headline and recommendation line aloud (one sentence).</w:t>
      </w:r>
    </w:p>
    <w:p>
      <w:pPr>
        <w:spacing w:after="60"/>
        <w:ind w:left="340"/>
      </w:pPr>
      <w:r>
        <w:rPr>
          <w:b/>
          <w:color w:val="041D3B"/>
        </w:rPr>
        <w:t xml:space="preserve">DO: </w:t>
      </w:r>
      <w:r>
        <w:rPr>
          <w:b w:val="0"/>
          <w:i w:val="0"/>
        </w:rPr>
        <w:t xml:space="preserve">Click </w:t>
      </w:r>
      <w:r>
        <w:rPr>
          <w:b/>
          <w:i w:val="0"/>
        </w:rPr>
        <w:t>Accept — add N building(s) to the portfolio</w:t>
      </w:r>
      <w:r>
        <w:rPr>
          <w:b w:val="0"/>
          <w:i w:val="0"/>
        </w:rPr>
        <w:t xml:space="preserve"> — point to the “Offer accepted” note at the top and the batch ID.</w:t>
      </w:r>
    </w:p>
    <w:p>
      <w:pPr>
        <w:spacing w:after="100"/>
        <w:ind w:left="340"/>
      </w:pPr>
      <w:r>
        <w:rPr>
          <w:b/>
          <w:color w:val="D11242"/>
        </w:rPr>
        <w:t xml:space="preserve">SAY: </w:t>
      </w:r>
      <w:r>
        <w:rPr>
          <w:b w:val="0"/>
          <w:i/>
        </w:rPr>
        <w:t>“Accepted. The offer is saved as batch [____] in the database, and the action is logged.”</w:t>
      </w:r>
    </w:p>
    <w:p>
      <w:pPr>
        <w:spacing w:after="60"/>
        <w:ind w:left="340"/>
      </w:pPr>
      <w:r>
        <w:rPr>
          <w:b/>
          <w:color w:val="041D3B"/>
        </w:rPr>
        <w:t xml:space="preserve">DO: </w:t>
      </w:r>
      <w:r>
        <w:rPr>
          <w:b w:val="0"/>
          <w:i w:val="0"/>
        </w:rPr>
        <w:t xml:space="preserve">Click the </w:t>
      </w:r>
      <w:r>
        <w:rPr>
          <w:b/>
          <w:i w:val="0"/>
        </w:rPr>
        <w:t>Portfolio</w:t>
      </w:r>
      <w:r>
        <w:rPr>
          <w:b w:val="0"/>
          <w:i w:val="0"/>
        </w:rPr>
        <w:t xml:space="preserve"> tab.</w:t>
      </w:r>
    </w:p>
    <w:p>
      <w:pPr>
        <w:spacing w:after="100"/>
        <w:ind w:left="340"/>
      </w:pPr>
      <w:r>
        <w:rPr>
          <w:b/>
          <w:color w:val="D11242"/>
        </w:rPr>
        <w:t xml:space="preserve">SAY: </w:t>
      </w:r>
      <w:r>
        <w:rPr>
          <w:b w:val="0"/>
          <w:i/>
        </w:rPr>
        <w:t>“The Portfolio tab is the whole book, now including the offer we just accepted — the cards show the new insured value and losses.”</w:t>
      </w:r>
    </w:p>
    <w:p>
      <w:pPr>
        <w:spacing w:after="60"/>
        <w:ind w:left="340"/>
      </w:pPr>
      <w:r>
        <w:rPr>
          <w:b/>
          <w:color w:val="041D3B"/>
        </w:rPr>
        <w:t xml:space="preserve">DO: </w:t>
      </w:r>
      <w:r>
        <w:rPr>
          <w:b w:val="0"/>
          <w:i w:val="0"/>
        </w:rPr>
        <w:t xml:space="preserve">On the flood-scenario selector, click </w:t>
      </w:r>
      <w:r>
        <w:rPr>
          <w:b/>
          <w:i w:val="0"/>
        </w:rPr>
        <w:t>1-in-10</w:t>
      </w:r>
      <w:r>
        <w:rPr>
          <w:b w:val="0"/>
          <w:i w:val="0"/>
        </w:rPr>
        <w:t xml:space="preserve">, then </w:t>
      </w:r>
      <w:r>
        <w:rPr>
          <w:b/>
          <w:i w:val="0"/>
        </w:rPr>
        <w:t>1-in-500</w:t>
      </w:r>
      <w:r>
        <w:rPr>
          <w:b w:val="0"/>
          <w:i w:val="0"/>
        </w:rPr>
        <w:t>; point at the map.</w:t>
      </w:r>
    </w:p>
    <w:p>
      <w:pPr>
        <w:spacing w:after="100"/>
        <w:ind w:left="340"/>
      </w:pPr>
      <w:r>
        <w:rPr>
          <w:b/>
          <w:color w:val="D11242"/>
        </w:rPr>
        <w:t xml:space="preserve">SAY: </w:t>
      </w:r>
      <w:r>
        <w:rPr>
          <w:b w:val="0"/>
          <w:i/>
        </w:rPr>
        <w:t>“This is the real JRC flood map for the chosen flood size, with every building on top: colour shows damage, size shows value, and our new buildings have the navy outline.”</w:t>
      </w:r>
    </w:p>
    <w:p>
      <w:pPr>
        <w:spacing w:after="60"/>
        <w:ind w:left="340"/>
      </w:pPr>
      <w:r>
        <w:rPr>
          <w:b/>
          <w:color w:val="041D3B"/>
        </w:rPr>
        <w:t xml:space="preserve">DO: </w:t>
      </w:r>
      <w:r>
        <w:rPr>
          <w:b w:val="0"/>
          <w:i w:val="0"/>
        </w:rPr>
        <w:t xml:space="preserve">Scroll to </w:t>
      </w:r>
      <w:r>
        <w:rPr>
          <w:b/>
          <w:i w:val="0"/>
        </w:rPr>
        <w:t>Where the loss concentrates</w:t>
      </w:r>
      <w:r>
        <w:rPr>
          <w:b w:val="0"/>
          <w:i w:val="0"/>
        </w:rPr>
        <w:t>.</w:t>
      </w:r>
    </w:p>
    <w:p>
      <w:pPr>
        <w:spacing w:after="100"/>
        <w:ind w:left="340"/>
      </w:pPr>
      <w:r>
        <w:rPr>
          <w:b/>
          <w:color w:val="D11242"/>
        </w:rPr>
        <w:t xml:space="preserve">SAY: </w:t>
      </w:r>
      <w:r>
        <w:rPr>
          <w:b w:val="0"/>
          <w:i/>
        </w:rPr>
        <w:t>“Accumulation: Port Victoria — at the river mouth — already drove about sixty percent of the 1-in-100 loss with only thirteen buildings, and our school sits right there. That's the concentration a reinsurer has to watch.”</w:t>
      </w:r>
    </w:p>
    <w:p>
      <w:pPr>
        <w:spacing w:after="60"/>
        <w:ind w:left="340"/>
      </w:pPr>
      <w:r>
        <w:rPr>
          <w:b/>
          <w:color w:val="041D3B"/>
        </w:rPr>
        <w:t xml:space="preserve">DO: </w:t>
      </w:r>
      <w:r>
        <w:rPr>
          <w:b w:val="0"/>
          <w:i w:val="0"/>
        </w:rPr>
        <w:t xml:space="preserve">Scroll to </w:t>
      </w:r>
      <w:r>
        <w:rPr>
          <w:b/>
          <w:i w:val="0"/>
        </w:rPr>
        <w:t>Offers accepted from the Underwriting desk</w:t>
      </w:r>
      <w:r>
        <w:rPr>
          <w:b w:val="0"/>
          <w:i w:val="0"/>
        </w:rPr>
        <w:t xml:space="preserve"> and the </w:t>
      </w:r>
      <w:r>
        <w:rPr>
          <w:b/>
          <w:i w:val="0"/>
        </w:rPr>
        <w:t>Audit trail</w:t>
      </w:r>
      <w:r>
        <w:rPr>
          <w:b w:val="0"/>
          <w:i w:val="0"/>
        </w:rPr>
        <w:t>.</w:t>
      </w:r>
    </w:p>
    <w:p>
      <w:pPr>
        <w:spacing w:after="100"/>
        <w:ind w:left="340"/>
      </w:pPr>
      <w:r>
        <w:rPr>
          <w:b/>
          <w:color w:val="D11242"/>
        </w:rPr>
        <w:t xml:space="preserve">SAY: </w:t>
      </w:r>
      <w:r>
        <w:rPr>
          <w:b w:val="0"/>
          <w:i/>
        </w:rPr>
        <w:t>“Each accepted offer is a batch that can be removed in one click, and the audit trail records who extracted and accepted it, when, and a fingerprint of the exact document it came from.”</w:t>
      </w:r>
    </w:p>
    <w:p>
      <w:pPr>
        <w:spacing w:after="100"/>
        <w:ind w:left="340"/>
      </w:pPr>
      <w:r>
        <w:rPr>
          <w:b w:val="0"/>
          <w:i/>
          <w:color w:val="696F6F"/>
          <w:sz w:val="19"/>
        </w:rPr>
        <w:t>⏱ 9:45 — closing line, Member C, 15 seconds.</w:t>
      </w:r>
    </w:p>
    <w:p>
      <w:pPr>
        <w:spacing w:after="100"/>
        <w:ind w:left="340"/>
      </w:pPr>
      <w:r>
        <w:rPr>
          <w:b/>
          <w:color w:val="D11242"/>
        </w:rPr>
        <w:t xml:space="preserve">SAY: </w:t>
      </w:r>
      <w:r>
        <w:rPr>
          <w:b w:val="0"/>
          <w:i/>
        </w:rPr>
        <w:t>“So in under ten minutes: a messy broker document became priced, explained buildings on a real flood map, and a documented decision on the book — with every number traceable and every assumption labelled. Thank you; we're happy to take questions.”</w:t>
      </w:r>
    </w:p>
    <w:p>
      <w:pPr>
        <w:pStyle w:val="Heading1"/>
      </w:pPr>
      <w:r>
        <w:t>Plan B — if something goes wrong</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041D3B"/>
          </w:tcPr>
          <w:p>
            <w:r/>
            <w:r>
              <w:rPr>
                <w:b/>
                <w:i w:val="0"/>
                <w:color w:val="FFFFFF"/>
                <w:sz w:val="19"/>
              </w:rPr>
              <w:t>Problem on the day</w:t>
            </w:r>
          </w:p>
        </w:tc>
        <w:tc>
          <w:tcPr>
            <w:tcW w:type="dxa" w:w="6520"/>
            <w:shd w:val="clear" w:color="auto" w:fill="041D3B"/>
          </w:tcPr>
          <w:p>
            <w:r/>
            <w:r>
              <w:rPr>
                <w:b/>
                <w:i w:val="0"/>
                <w:color w:val="FFFFFF"/>
                <w:sz w:val="19"/>
              </w:rPr>
              <w:t>What to do (keep talking while you do it)</w:t>
            </w:r>
          </w:p>
        </w:tc>
      </w:tr>
      <w:tr>
        <w:tc>
          <w:tcPr>
            <w:tcW w:type="dxa" w:w="3118"/>
          </w:tcPr>
          <w:p>
            <w:pPr>
              <w:spacing w:after="20"/>
            </w:pPr>
            <w:r/>
            <w:r>
              <w:rPr>
                <w:b w:val="0"/>
                <w:i w:val="0"/>
                <w:sz w:val="19"/>
              </w:rPr>
              <w:t>AI is slow (&gt; 25 s) or header shows “offline fallback”</w:t>
            </w:r>
          </w:p>
        </w:tc>
        <w:tc>
          <w:tcPr>
            <w:tcW w:type="dxa" w:w="6520"/>
          </w:tcPr>
          <w:p>
            <w:pPr>
              <w:spacing w:after="20"/>
            </w:pPr>
            <w:r/>
            <w:r>
              <w:rPr>
                <w:b w:val="0"/>
                <w:i w:val="0"/>
                <w:sz w:val="19"/>
              </w:rPr>
              <w:t xml:space="preserve">Skip the grain document. Load </w:t>
            </w:r>
            <w:r>
              <w:rPr>
                <w:b/>
                <w:i w:val="0"/>
                <w:sz w:val="19"/>
              </w:rPr>
              <w:t>Mixed Budalangi book</w:t>
            </w:r>
            <w:r>
              <w:rPr>
                <w:b w:val="0"/>
                <w:i w:val="0"/>
                <w:sz w:val="19"/>
              </w:rPr>
              <w:t xml:space="preserve"> and click </w:t>
            </w:r>
            <w:r>
              <w:rPr>
                <w:b/>
                <w:i w:val="0"/>
                <w:sz w:val="19"/>
              </w:rPr>
              <w:t>Compare: keyword parser (no AI)</w:t>
            </w:r>
            <w:r>
              <w:rPr>
                <w:b w:val="0"/>
                <w:i w:val="0"/>
                <w:sz w:val="19"/>
              </w:rPr>
              <w:t>. Say: “Without internet, a rule-based parser does the same job for simple descriptions — the model itself never needs AI.”</w:t>
            </w:r>
          </w:p>
        </w:tc>
      </w:tr>
      <w:tr>
        <w:tc>
          <w:tcPr>
            <w:tcW w:type="dxa" w:w="3118"/>
          </w:tcPr>
          <w:p>
            <w:pPr>
              <w:spacing w:after="20"/>
            </w:pPr>
            <w:r/>
            <w:r>
              <w:rPr>
                <w:b w:val="0"/>
                <w:i w:val="0"/>
                <w:sz w:val="19"/>
              </w:rPr>
              <w:t>AI returns a rate-limit message</w:t>
            </w:r>
          </w:p>
        </w:tc>
        <w:tc>
          <w:tcPr>
            <w:tcW w:type="dxa" w:w="6520"/>
          </w:tcPr>
          <w:p>
            <w:pPr>
              <w:spacing w:after="20"/>
            </w:pPr>
            <w:r/>
            <w:r>
              <w:rPr>
                <w:b w:val="0"/>
                <w:i w:val="0"/>
                <w:sz w:val="19"/>
              </w:rPr>
              <w:t>Same as above. The message on screen explains the cause (free-tier quota) — show it as a feature: “Errors tell the user what to do, never the raw technical error.”</w:t>
            </w:r>
          </w:p>
        </w:tc>
      </w:tr>
      <w:tr>
        <w:tc>
          <w:tcPr>
            <w:tcW w:type="dxa" w:w="3118"/>
          </w:tcPr>
          <w:p>
            <w:pPr>
              <w:spacing w:after="20"/>
            </w:pPr>
            <w:r/>
            <w:r>
              <w:rPr>
                <w:b w:val="0"/>
                <w:i w:val="0"/>
                <w:sz w:val="19"/>
              </w:rPr>
              <w:t>Briefing does not appear</w:t>
            </w:r>
          </w:p>
        </w:tc>
        <w:tc>
          <w:tcPr>
            <w:tcW w:type="dxa" w:w="6520"/>
          </w:tcPr>
          <w:p>
            <w:pPr>
              <w:spacing w:after="20"/>
            </w:pPr>
            <w:r/>
            <w:r>
              <w:rPr>
                <w:b w:val="0"/>
                <w:i w:val="0"/>
                <w:sz w:val="19"/>
              </w:rPr>
              <w:t xml:space="preserve">Click </w:t>
            </w:r>
            <w:r>
              <w:rPr>
                <w:b/>
                <w:i w:val="0"/>
                <w:sz w:val="19"/>
              </w:rPr>
              <w:t>Template version</w:t>
            </w:r>
            <w:r>
              <w:rPr>
                <w:b w:val="0"/>
                <w:i w:val="0"/>
                <w:sz w:val="19"/>
              </w:rPr>
              <w:t>. Same sections, built from the same numbers.</w:t>
            </w:r>
          </w:p>
        </w:tc>
      </w:tr>
      <w:tr>
        <w:tc>
          <w:tcPr>
            <w:tcW w:type="dxa" w:w="3118"/>
          </w:tcPr>
          <w:p>
            <w:pPr>
              <w:spacing w:after="20"/>
            </w:pPr>
            <w:r/>
            <w:r>
              <w:rPr>
                <w:b w:val="0"/>
                <w:i w:val="0"/>
                <w:sz w:val="19"/>
              </w:rPr>
              <w:t>Map tiles do not load (no internet)</w:t>
            </w:r>
          </w:p>
        </w:tc>
        <w:tc>
          <w:tcPr>
            <w:tcW w:type="dxa" w:w="6520"/>
          </w:tcPr>
          <w:p>
            <w:pPr>
              <w:spacing w:after="20"/>
            </w:pPr>
            <w:r/>
            <w:r>
              <w:rPr>
                <w:b w:val="0"/>
                <w:i w:val="0"/>
                <w:sz w:val="19"/>
              </w:rPr>
              <w:t>The flood overlay and buildings still draw. Say “the base map needs internet; the flood data is local.”</w:t>
            </w:r>
          </w:p>
        </w:tc>
      </w:tr>
      <w:tr>
        <w:tc>
          <w:tcPr>
            <w:tcW w:type="dxa" w:w="3118"/>
          </w:tcPr>
          <w:p>
            <w:pPr>
              <w:spacing w:after="20"/>
            </w:pPr>
            <w:r/>
            <w:r>
              <w:rPr>
                <w:b w:val="0"/>
                <w:i w:val="0"/>
                <w:sz w:val="19"/>
              </w:rPr>
              <w:t>Running over time</w:t>
            </w:r>
          </w:p>
        </w:tc>
        <w:tc>
          <w:tcPr>
            <w:tcW w:type="dxa" w:w="6520"/>
          </w:tcPr>
          <w:p>
            <w:pPr>
              <w:spacing w:after="20"/>
            </w:pPr>
            <w:r/>
            <w:r>
              <w:rPr>
                <w:b w:val="0"/>
                <w:i w:val="0"/>
                <w:sz w:val="19"/>
              </w:rPr>
              <w:t>B skips the Model settings duration change. C skips the 1-in-10/1-in-500 toggle and goes straight to the accumulation table.</w:t>
            </w:r>
          </w:p>
        </w:tc>
      </w:tr>
      <w:tr>
        <w:tc>
          <w:tcPr>
            <w:tcW w:type="dxa" w:w="3118"/>
          </w:tcPr>
          <w:p>
            <w:pPr>
              <w:spacing w:after="20"/>
            </w:pPr>
            <w:r/>
            <w:r>
              <w:rPr>
                <w:b w:val="0"/>
                <w:i w:val="0"/>
                <w:sz w:val="19"/>
              </w:rPr>
              <w:t>Running under time</w:t>
            </w:r>
          </w:p>
        </w:tc>
        <w:tc>
          <w:tcPr>
            <w:tcW w:type="dxa" w:w="6520"/>
          </w:tcPr>
          <w:p>
            <w:pPr>
              <w:spacing w:after="20"/>
            </w:pPr>
            <w:r/>
            <w:r>
              <w:rPr>
                <w:b w:val="0"/>
                <w:i w:val="0"/>
                <w:sz w:val="19"/>
              </w:rPr>
              <w:t xml:space="preserve">A adds the </w:t>
            </w:r>
            <w:r>
              <w:rPr>
                <w:b/>
                <w:i w:val="0"/>
                <w:sz w:val="19"/>
              </w:rPr>
              <w:t>Proposal + site photo</w:t>
            </w:r>
            <w:r>
              <w:rPr>
                <w:b w:val="0"/>
                <w:i w:val="0"/>
                <w:sz w:val="19"/>
              </w:rPr>
              <w:t xml:space="preserve"> example: the proposal says concrete block, the photo shows mud walls, and the desk flags the conflict in red (“document kept — verify before binding”).</w:t>
            </w:r>
          </w:p>
        </w:tc>
      </w:tr>
      <w:tr>
        <w:tc>
          <w:tcPr>
            <w:tcW w:type="dxa" w:w="3118"/>
          </w:tcPr>
          <w:p>
            <w:pPr>
              <w:spacing w:after="20"/>
            </w:pPr>
            <w:r/>
            <w:r>
              <w:rPr>
                <w:b w:val="0"/>
                <w:i w:val="0"/>
                <w:sz w:val="19"/>
              </w:rPr>
              <w:t>Accept fails (“batch already exists”)</w:t>
            </w:r>
          </w:p>
        </w:tc>
        <w:tc>
          <w:tcPr>
            <w:tcW w:type="dxa" w:w="6520"/>
          </w:tcPr>
          <w:p>
            <w:pPr>
              <w:spacing w:after="20"/>
            </w:pPr>
            <w:r/>
            <w:r>
              <w:rPr>
                <w:b w:val="0"/>
                <w:i w:val="0"/>
                <w:sz w:val="19"/>
              </w:rPr>
              <w:t>Extract again (new batch ID) and accept. Before the session, reset the portfolio to avoid it.</w:t>
            </w:r>
          </w:p>
        </w:tc>
      </w:tr>
    </w:tbl>
    <w:p>
      <w:pPr>
        <w:spacing w:after="40"/>
      </w:pPr>
    </w:p>
    <w:p>
      <w:pPr>
        <w:pStyle w:val="Heading1"/>
      </w:pPr>
      <w:r>
        <w:t>Likely judge questions — short answers</w:t>
      </w:r>
    </w:p>
    <w:p>
      <w:pPr>
        <w:spacing w:after="80"/>
      </w:pPr>
      <w:r>
        <w:rPr>
          <w:b w:val="0"/>
          <w:i/>
          <w:color w:val="696F6F"/>
          <w:sz w:val="19"/>
        </w:rPr>
        <w:t>Any member can answer; default owner in brackets.</w:t>
      </w:r>
    </w:p>
    <w:p>
      <w:pPr>
        <w:spacing w:after="20"/>
      </w:pPr>
      <w:r>
        <w:rPr>
          <w:b/>
          <w:i w:val="0"/>
          <w:color w:val="041D3B"/>
        </w:rPr>
        <w:t>Is the AI making up numbers? (A)</w:t>
      </w:r>
    </w:p>
    <w:p>
      <w:pPr>
        <w:spacing w:after="120"/>
        <w:ind w:left="340"/>
      </w:pPr>
      <w:r>
        <w:rPr>
          <w:b w:val="0"/>
          <w:i w:val="0"/>
          <w:sz w:val="20"/>
        </w:rPr>
        <w:t>No. The AI only turns documents into structured building rows, each tied to an exact quote and a source tag, all editable before acceptance. Every loss figure comes from the deterministic model and the trained vulnerability table. The confidence % is a reading-quality flag, not a price input.</w:t>
      </w:r>
    </w:p>
    <w:p>
      <w:pPr>
        <w:spacing w:after="20"/>
      </w:pPr>
      <w:r>
        <w:rPr>
          <w:b/>
          <w:i w:val="0"/>
          <w:color w:val="041D3B"/>
        </w:rPr>
        <w:t>Your ML was trained on synthetic claims — so what does it add? (B)</w:t>
      </w:r>
    </w:p>
    <w:p>
      <w:pPr>
        <w:spacing w:after="120"/>
        <w:ind w:left="340"/>
      </w:pPr>
      <w:r>
        <w:rPr>
          <w:b w:val="0"/>
          <w:i w:val="0"/>
          <w:sz w:val="20"/>
        </w:rPr>
        <w:t>No public Kenyan flood claims exist, so we generated 30,000 pseudo-claims from the published JRC curves plus documented effects of flood duration and build quality, with realistic scatter. On held-out data the model's error against the true damage is 29 % lower than the plain curve, its R² of 0.888 is within 0.01 of the best possible, and it gives damage ranges that move the realistic 1-in-100 from 32 to 39 million. The same pipeline retrains on real loss-adjuster data the day it's available.</w:t>
      </w:r>
    </w:p>
    <w:p>
      <w:pPr>
        <w:spacing w:after="20"/>
      </w:pPr>
      <w:r>
        <w:rPr>
          <w:b/>
          <w:i w:val="0"/>
          <w:color w:val="041D3B"/>
        </w:rPr>
        <w:t>Why is net loss always KES 20 million? (B)</w:t>
      </w:r>
    </w:p>
    <w:p>
      <w:pPr>
        <w:spacing w:after="120"/>
        <w:ind w:left="340"/>
      </w:pPr>
      <w:r>
        <w:rPr>
          <w:b w:val="0"/>
          <w:i w:val="0"/>
          <w:sz w:val="20"/>
        </w:rPr>
        <w:t>That's the illustrative Cat XL of 20 million excess of 20 million: the insurer keeps the first 20 million of each event and the treaty pays the next 20. All terms are editable in Model settings.</w:t>
      </w:r>
    </w:p>
    <w:p>
      <w:pPr>
        <w:spacing w:after="20"/>
      </w:pPr>
      <w:r>
        <w:rPr>
          <w:b/>
          <w:i w:val="0"/>
          <w:color w:val="041D3B"/>
        </w:rPr>
        <w:t>How do you handle the 10× insured-value issue? (C)</w:t>
      </w:r>
    </w:p>
    <w:p>
      <w:pPr>
        <w:spacing w:after="120"/>
        <w:ind w:left="340"/>
      </w:pPr>
      <w:r>
        <w:rPr>
          <w:b w:val="0"/>
          <w:i w:val="0"/>
          <w:sz w:val="20"/>
        </w:rPr>
        <w:t>Floor area × cost per m² reproduces the data dictionary's KES 2.27 billion total exactly, while the file column sums to 22.7 billion. We use the recomputed value everywhere and keep the original column for audit.</w:t>
      </w:r>
    </w:p>
    <w:p>
      <w:pPr>
        <w:spacing w:after="20"/>
      </w:pPr>
      <w:r>
        <w:rPr>
          <w:b/>
          <w:i w:val="0"/>
          <w:color w:val="041D3B"/>
        </w:rPr>
        <w:t>How accurate is the location? (A)</w:t>
      </w:r>
    </w:p>
    <w:p>
      <w:pPr>
        <w:spacing w:after="120"/>
        <w:ind w:left="340"/>
      </w:pPr>
      <w:r>
        <w:rPr>
          <w:b w:val="0"/>
          <w:i w:val="0"/>
          <w:sz w:val="20"/>
        </w:rPr>
        <w:t>The flood maps are about 925 m per cell. Stated GPS is used exactly; a town name means the town centre ± 2–3 km; ‘by the river’ snaps to the real 1-in-10 flood corridor. Using the smoother bilinear method moves the 1-in-100 by about 10 % — we report that as a sensitivity.</w:t>
      </w:r>
    </w:p>
    <w:p>
      <w:pPr>
        <w:spacing w:after="20"/>
      </w:pPr>
      <w:r>
        <w:rPr>
          <w:b/>
          <w:i w:val="0"/>
          <w:color w:val="041D3B"/>
        </w:rPr>
        <w:t>What about security and data protection? (C)</w:t>
      </w:r>
    </w:p>
    <w:p>
      <w:pPr>
        <w:spacing w:after="120"/>
        <w:ind w:left="340"/>
      </w:pPr>
      <w:r>
        <w:rPr>
          <w:b w:val="0"/>
          <w:i w:val="0"/>
          <w:sz w:val="20"/>
        </w:rPr>
        <w:t>Passcode with signed session cookies, rate limits protecting the AI quota, every input validated, documents treated as untrusted data with prompt-injection detection, friendly error messages with technical detail only in the server log, security headers, photos stripped of GPS metadata and never stored, and an audit trail of who did what.</w:t>
      </w:r>
    </w:p>
    <w:p>
      <w:pPr>
        <w:spacing w:after="20"/>
      </w:pPr>
      <w:r>
        <w:rPr>
          <w:b/>
          <w:i w:val="0"/>
          <w:color w:val="041D3B"/>
        </w:rPr>
        <w:t>What can't the model see? (B)</w:t>
      </w:r>
    </w:p>
    <w:p>
      <w:pPr>
        <w:spacing w:after="120"/>
        <w:ind w:left="340"/>
      </w:pPr>
      <w:r>
        <w:rPr>
          <w:b w:val="0"/>
          <w:i w:val="0"/>
          <w:sz w:val="20"/>
        </w:rPr>
        <w:t>Dyke breaches and partial-basin floods, contents and business interruption, and anything finer than the ~1 km flood map. Those are listed on the Model &amp; assumptions page, which we can open if you'd like.</w:t>
      </w:r>
    </w:p>
    <w:p>
      <w:pPr>
        <w:spacing w:after="20"/>
      </w:pPr>
      <w:r>
        <w:rPr>
          <w:b/>
          <w:i w:val="0"/>
          <w:color w:val="041D3B"/>
        </w:rPr>
        <w:t>Could this go into production? (C)</w:t>
      </w:r>
    </w:p>
    <w:p>
      <w:pPr>
        <w:spacing w:after="120"/>
        <w:ind w:left="340"/>
      </w:pPr>
      <w:r>
        <w:rPr>
          <w:b w:val="0"/>
          <w:i w:val="0"/>
          <w:sz w:val="20"/>
        </w:rPr>
        <w:t>The pipeline is production-shaped: swap in real claims to recalibrate, finer hazard maps, and real treaty terms; host it over HTTPS with the passcode and a persistent database path. It's a hackathon prototype, and we label it that way in the app.</w:t>
      </w:r>
    </w:p>
    <w:p>
      <w:pPr>
        <w:pStyle w:val="Heading1"/>
      </w:pPr>
      <w:r>
        <w:t>Numbers to have in your head</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041D3B"/>
          </w:tcPr>
          <w:p>
            <w:r/>
            <w:r>
              <w:rPr>
                <w:b/>
                <w:i w:val="0"/>
                <w:color w:val="FFFFFF"/>
                <w:sz w:val="19"/>
              </w:rPr>
              <w:t>Figure</w:t>
            </w:r>
          </w:p>
        </w:tc>
        <w:tc>
          <w:tcPr>
            <w:tcW w:type="dxa" w:w="6520"/>
            <w:shd w:val="clear" w:color="auto" w:fill="041D3B"/>
          </w:tcPr>
          <w:p>
            <w:r/>
            <w:r>
              <w:rPr>
                <w:b/>
                <w:i w:val="0"/>
                <w:color w:val="FFFFFF"/>
                <w:sz w:val="19"/>
              </w:rPr>
              <w:t>Value</w:t>
            </w:r>
          </w:p>
        </w:tc>
      </w:tr>
      <w:tr>
        <w:tc>
          <w:tcPr>
            <w:tcW w:type="dxa" w:w="3118"/>
          </w:tcPr>
          <w:p>
            <w:pPr>
              <w:spacing w:after="20"/>
            </w:pPr>
            <w:r/>
            <w:r>
              <w:rPr>
                <w:b w:val="0"/>
                <w:i w:val="0"/>
                <w:sz w:val="19"/>
              </w:rPr>
              <w:t>Starter book</w:t>
            </w:r>
          </w:p>
        </w:tc>
        <w:tc>
          <w:tcPr>
            <w:tcW w:type="dxa" w:w="6520"/>
          </w:tcPr>
          <w:p>
            <w:pPr>
              <w:spacing w:after="20"/>
            </w:pPr>
            <w:r/>
            <w:r>
              <w:rPr>
                <w:b w:val="0"/>
                <w:i w:val="0"/>
                <w:sz w:val="19"/>
              </w:rPr>
              <w:t>500 buildings · KES 2.27 bn insured value (file said 22.7 bn)</w:t>
            </w:r>
          </w:p>
        </w:tc>
      </w:tr>
      <w:tr>
        <w:tc>
          <w:tcPr>
            <w:tcW w:type="dxa" w:w="3118"/>
          </w:tcPr>
          <w:p>
            <w:pPr>
              <w:spacing w:after="20"/>
            </w:pPr>
            <w:r/>
            <w:r>
              <w:rPr>
                <w:b w:val="0"/>
                <w:i w:val="0"/>
                <w:sz w:val="19"/>
              </w:rPr>
              <w:t>Flood maps</w:t>
            </w:r>
          </w:p>
        </w:tc>
        <w:tc>
          <w:tcPr>
            <w:tcW w:type="dxa" w:w="6520"/>
          </w:tcPr>
          <w:p>
            <w:pPr>
              <w:spacing w:after="20"/>
            </w:pPr>
            <w:r/>
            <w:r>
              <w:rPr>
                <w:b w:val="0"/>
                <w:i w:val="0"/>
                <w:sz w:val="19"/>
              </w:rPr>
              <w:t>Real JRC maps · 6 return periods (1-in-10 to 1-in-500) · ~925 m cells</w:t>
            </w:r>
          </w:p>
        </w:tc>
      </w:tr>
      <w:tr>
        <w:tc>
          <w:tcPr>
            <w:tcW w:type="dxa" w:w="3118"/>
          </w:tcPr>
          <w:p>
            <w:pPr>
              <w:spacing w:after="20"/>
            </w:pPr>
            <w:r/>
            <w:r>
              <w:rPr>
                <w:b w:val="0"/>
                <w:i w:val="0"/>
                <w:sz w:val="19"/>
              </w:rPr>
              <w:t>Buildings wet in a 1-in-100 flood</w:t>
            </w:r>
          </w:p>
        </w:tc>
        <w:tc>
          <w:tcPr>
            <w:tcW w:type="dxa" w:w="6520"/>
          </w:tcPr>
          <w:p>
            <w:pPr>
              <w:spacing w:after="20"/>
            </w:pPr>
            <w:r/>
            <w:r>
              <w:rPr>
                <w:b w:val="0"/>
                <w:i w:val="0"/>
                <w:sz w:val="19"/>
              </w:rPr>
              <w:t>48 of 500 (random placement; real riverside books are far wetter)</w:t>
            </w:r>
          </w:p>
        </w:tc>
      </w:tr>
      <w:tr>
        <w:tc>
          <w:tcPr>
            <w:tcW w:type="dxa" w:w="3118"/>
          </w:tcPr>
          <w:p>
            <w:pPr>
              <w:spacing w:after="20"/>
            </w:pPr>
            <w:r/>
            <w:r>
              <w:rPr>
                <w:b w:val="0"/>
                <w:i w:val="0"/>
                <w:sz w:val="19"/>
              </w:rPr>
              <w:t>1-in-100 loss, starter book</w:t>
            </w:r>
          </w:p>
        </w:tc>
        <w:tc>
          <w:tcPr>
            <w:tcW w:type="dxa" w:w="6520"/>
          </w:tcPr>
          <w:p>
            <w:pPr>
              <w:spacing w:after="20"/>
            </w:pPr>
            <w:r/>
            <w:r>
              <w:rPr>
                <w:b w:val="0"/>
                <w:i w:val="0"/>
                <w:sz w:val="19"/>
              </w:rPr>
              <w:t>KES 32.2 M ground-up · 28.8 M gross · 8.8 M from Cat XL · 20.0 M net</w:t>
            </w:r>
          </w:p>
        </w:tc>
      </w:tr>
      <w:tr>
        <w:tc>
          <w:tcPr>
            <w:tcW w:type="dxa" w:w="3118"/>
          </w:tcPr>
          <w:p>
            <w:pPr>
              <w:spacing w:after="20"/>
            </w:pPr>
            <w:r/>
            <w:r>
              <w:rPr>
                <w:b w:val="0"/>
                <w:i w:val="0"/>
                <w:sz w:val="19"/>
              </w:rPr>
              <w:t>Average annual loss</w:t>
            </w:r>
          </w:p>
        </w:tc>
        <w:tc>
          <w:tcPr>
            <w:tcW w:type="dxa" w:w="6520"/>
          </w:tcPr>
          <w:p>
            <w:pPr>
              <w:spacing w:after="20"/>
            </w:pPr>
            <w:r/>
            <w:r>
              <w:rPr>
                <w:b w:val="0"/>
                <w:i w:val="0"/>
                <w:sz w:val="19"/>
              </w:rPr>
              <w:t>KES 5.8 M ground-up · 4.9 M gross · 4.45 M net</w:t>
            </w:r>
          </w:p>
        </w:tc>
      </w:tr>
      <w:tr>
        <w:tc>
          <w:tcPr>
            <w:tcW w:type="dxa" w:w="3118"/>
          </w:tcPr>
          <w:p>
            <w:pPr>
              <w:spacing w:after="20"/>
            </w:pPr>
            <w:r/>
            <w:r>
              <w:rPr>
                <w:b w:val="0"/>
                <w:i w:val="0"/>
                <w:sz w:val="19"/>
              </w:rPr>
              <w:t>Simulation (50,000 years)</w:t>
            </w:r>
          </w:p>
        </w:tc>
        <w:tc>
          <w:tcPr>
            <w:tcW w:type="dxa" w:w="6520"/>
          </w:tcPr>
          <w:p>
            <w:pPr>
              <w:spacing w:after="20"/>
            </w:pPr>
            <w:r/>
            <w:r>
              <w:rPr>
                <w:b w:val="0"/>
                <w:i w:val="0"/>
                <w:sz w:val="19"/>
              </w:rPr>
              <w:t>1-in-100 KES 38.7 M · 1-in-200 KES 42.5 M</w:t>
            </w:r>
          </w:p>
        </w:tc>
      </w:tr>
      <w:tr>
        <w:tc>
          <w:tcPr>
            <w:tcW w:type="dxa" w:w="3118"/>
          </w:tcPr>
          <w:p>
            <w:pPr>
              <w:spacing w:after="20"/>
            </w:pPr>
            <w:r/>
            <w:r>
              <w:rPr>
                <w:b w:val="0"/>
                <w:i w:val="0"/>
                <w:sz w:val="19"/>
              </w:rPr>
              <w:t>ML vs plain JRC curve</w:t>
            </w:r>
          </w:p>
        </w:tc>
        <w:tc>
          <w:tcPr>
            <w:tcW w:type="dxa" w:w="6520"/>
          </w:tcPr>
          <w:p>
            <w:pPr>
              <w:spacing w:after="20"/>
            </w:pPr>
            <w:r/>
            <w:r>
              <w:rPr>
                <w:b w:val="0"/>
                <w:i w:val="0"/>
                <w:sz w:val="19"/>
              </w:rPr>
              <w:t>+6 % at 1-in-100 · 29 % lower error against the true damage</w:t>
            </w:r>
          </w:p>
        </w:tc>
      </w:tr>
      <w:tr>
        <w:tc>
          <w:tcPr>
            <w:tcW w:type="dxa" w:w="3118"/>
          </w:tcPr>
          <w:p>
            <w:pPr>
              <w:spacing w:after="20"/>
            </w:pPr>
            <w:r/>
            <w:r>
              <w:rPr>
                <w:b w:val="0"/>
                <w:i w:val="0"/>
                <w:sz w:val="19"/>
              </w:rPr>
              <w:t>Largest concentration</w:t>
            </w:r>
          </w:p>
        </w:tc>
        <w:tc>
          <w:tcPr>
            <w:tcW w:type="dxa" w:w="6520"/>
          </w:tcPr>
          <w:p>
            <w:pPr>
              <w:spacing w:after="20"/>
            </w:pPr>
            <w:r/>
            <w:r>
              <w:rPr>
                <w:b w:val="0"/>
                <w:i w:val="0"/>
                <w:sz w:val="19"/>
              </w:rPr>
              <w:t>Port Victoria: 13 buildings, ~62 % of the 1-in-100 loss</w:t>
            </w:r>
          </w:p>
        </w:tc>
      </w:tr>
      <w:tr>
        <w:tc>
          <w:tcPr>
            <w:tcW w:type="dxa" w:w="3118"/>
          </w:tcPr>
          <w:p>
            <w:pPr>
              <w:spacing w:after="20"/>
            </w:pPr>
            <w:r/>
            <w:r>
              <w:rPr>
                <w:b w:val="0"/>
                <w:i w:val="0"/>
                <w:sz w:val="19"/>
              </w:rPr>
              <w:t>Biggest sensitivities</w:t>
            </w:r>
          </w:p>
        </w:tc>
        <w:tc>
          <w:tcPr>
            <w:tcW w:type="dxa" w:w="6520"/>
          </w:tcPr>
          <w:p>
            <w:pPr>
              <w:spacing w:after="20"/>
            </w:pPr>
            <w:r/>
            <w:r>
              <w:rPr>
                <w:b w:val="0"/>
                <w:i w:val="0"/>
                <w:sz w:val="19"/>
              </w:rPr>
              <w:t>Location method +10 % · 21-day flood +10 % AAL · 2-day flood −10 % AAL</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41D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41D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41D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