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i w:val="0"/>
          <w:color w:val="696F6F"/>
          <w:sz w:val="20"/>
        </w:rPr>
        <w:t>Nzoia Flood CAT Model · Kenya Re Hackathon · Team B</w:t>
      </w:r>
    </w:p>
    <w:p>
      <w:pPr>
        <w:spacing w:after="0"/>
        <w:jc w:val="center"/>
      </w:pPr>
      <w:r>
        <w:rPr>
          <w:b/>
          <w:i w:val="0"/>
          <w:color w:val="041D3B"/>
          <w:sz w:val="52"/>
        </w:rPr>
        <w:t>Monte Carlo Simulation</w:t>
      </w:r>
    </w:p>
    <w:p>
      <w:pPr>
        <w:spacing w:after="280"/>
        <w:jc w:val="center"/>
      </w:pPr>
      <w:r>
        <w:rPr>
          <w:b/>
          <w:i w:val="0"/>
          <w:color w:val="D11242"/>
          <w:sz w:val="26"/>
        </w:rPr>
        <w:t>From first principles to how our flood model uses it</w:t>
      </w:r>
    </w:p>
    <w:p>
      <w:pPr>
        <w:spacing w:after="120"/>
      </w:pPr>
      <w:r>
        <w:rPr>
          <w:b w:val="0"/>
          <w:i w:val="0"/>
        </w:rPr>
        <w:t>This guide assumes no prior knowledge. Each part starts in everyday language and then adds the technical detail, so you can stop at whatever depth you need. Every number quoted comes from our model's own output (notebook run, seed 2026, 50,000 simulated years, starter portfolio of 500 buildings, default settings).</w:t>
      </w:r>
    </w:p>
    <w:tbl>
      <w:tblPr>
        <w:tblW w:type="auto" w:w="0"/>
        <w:jc w:val="center"/>
        <w:tblLook w:firstColumn="1" w:firstRow="1" w:lastColumn="0" w:lastRow="0" w:noHBand="0" w:noVBand="1" w:val="04A0"/>
      </w:tblPr>
      <w:tblGrid>
        <w:gridCol w:w="9746"/>
      </w:tblGrid>
      <w:tr>
        <w:tc>
          <w:tcPr>
            <w:tcW w:type="dxa" w:w="9354"/>
            <w:shd w:val="clear" w:color="auto" w:fill="DCE3EC"/>
          </w:tcPr>
          <w:p>
            <w:r>
              <w:rPr>
                <w:b/>
                <w:i w:val="0"/>
                <w:color w:val="041D3B"/>
                <w:sz w:val="22"/>
              </w:rPr>
              <w:t>The whole idea in one paragraph</w:t>
            </w:r>
          </w:p>
          <w:p>
            <w:pPr>
              <w:spacing w:after="40"/>
            </w:pPr>
            <w:r>
              <w:rPr>
                <w:b w:val="0"/>
                <w:i w:val="0"/>
                <w:sz w:val="21"/>
              </w:rPr>
              <w:t xml:space="preserve">Some questions are too tangled to answer with one formula — for example, “how much could our book lose in a really bad flood year?”. Monte Carlo answers them by </w:t>
            </w:r>
            <w:r>
              <w:rPr>
                <w:b/>
                <w:i w:val="0"/>
                <w:sz w:val="21"/>
              </w:rPr>
              <w:t>playing the situation out many thousands of times with random chance</w:t>
            </w:r>
            <w:r>
              <w:rPr>
                <w:b w:val="0"/>
                <w:i w:val="0"/>
                <w:sz w:val="21"/>
              </w:rPr>
              <w:t xml:space="preserve">, writing down each result, and then </w:t>
            </w:r>
            <w:r>
              <w:rPr>
                <w:b/>
                <w:i w:val="0"/>
                <w:sz w:val="21"/>
              </w:rPr>
              <w:t>counting</w:t>
            </w:r>
            <w:r>
              <w:rPr>
                <w:b w:val="0"/>
                <w:i w:val="0"/>
                <w:sz w:val="21"/>
              </w:rPr>
              <w:t>. Our model plays out 20,000–50,000 imaginary years of Nzoia floods. In each year it decides whether a flood happens and how big it is, how much damage each building suffers (with realistic luck, good or bad), and what that costs after the policy terms and reinsurance. Sorting those years from worst to best tells us the 1-in-100-year loss, the 1-in-200-year loss, the average yearly loss and the average of the very worst years.</w:t>
            </w:r>
          </w:p>
        </w:tc>
      </w:tr>
    </w:tbl>
    <w:p>
      <w:pPr>
        <w:spacing w:after="40"/>
      </w:pPr>
    </w:p>
    <w:p>
      <w:pPr>
        <w:spacing w:after="120"/>
      </w:pPr>
      <w:r>
        <w:rPr>
          <w:b/>
          <w:i w:val="0"/>
          <w:color w:val="041D3B"/>
          <w:sz w:val="24"/>
        </w:rPr>
        <w:t>Contents</w:t>
      </w:r>
    </w:p>
    <w:p>
      <w:pPr>
        <w:pStyle w:val="ListBullet"/>
        <w:spacing w:after="60"/>
      </w:pPr>
      <w:r>
        <w:rPr>
          <w:b w:val="0"/>
          <w:i w:val="0"/>
        </w:rPr>
        <w:t>Part 1 — What Monte Carlo simulation is</w:t>
      </w:r>
    </w:p>
    <w:p>
      <w:pPr>
        <w:pStyle w:val="ListBullet"/>
        <w:spacing w:after="60"/>
      </w:pPr>
      <w:r>
        <w:rPr>
          <w:b w:val="0"/>
          <w:i w:val="0"/>
        </w:rPr>
        <w:t>Part 2 — Why an insurer needs it (and why our average-damage curve is not enough)</w:t>
      </w:r>
    </w:p>
    <w:p>
      <w:pPr>
        <w:pStyle w:val="ListBullet"/>
        <w:spacing w:after="60"/>
      </w:pPr>
      <w:r>
        <w:rPr>
          <w:b w:val="0"/>
          <w:i w:val="0"/>
        </w:rPr>
        <w:t>Part 3 — How our simulation works, step by step</w:t>
      </w:r>
    </w:p>
    <w:p>
      <w:pPr>
        <w:pStyle w:val="ListBullet"/>
        <w:spacing w:after="60"/>
      </w:pPr>
      <w:r>
        <w:rPr>
          <w:b w:val="0"/>
          <w:i w:val="0"/>
        </w:rPr>
        <w:t>Part 4 — Reading the results: 1-in-100, AAL, TVaR and friends</w:t>
      </w:r>
    </w:p>
    <w:p>
      <w:pPr>
        <w:pStyle w:val="ListBullet"/>
        <w:spacing w:after="60"/>
      </w:pPr>
      <w:r>
        <w:rPr>
          <w:b w:val="0"/>
          <w:i w:val="0"/>
        </w:rPr>
        <w:t>Part 5 — Where the results are used in our system</w:t>
      </w:r>
    </w:p>
    <w:p>
      <w:pPr>
        <w:pStyle w:val="ListBullet"/>
        <w:spacing w:after="60"/>
      </w:pPr>
      <w:r>
        <w:rPr>
          <w:b w:val="0"/>
          <w:i w:val="0"/>
        </w:rPr>
        <w:t>Part 6 — Technical notes: accuracy, random numbers, assumptions and limits</w:t>
      </w:r>
    </w:p>
    <w:p>
      <w:pPr>
        <w:pStyle w:val="ListBullet"/>
        <w:spacing w:after="60"/>
      </w:pPr>
      <w:r>
        <w:rPr>
          <w:b w:val="0"/>
          <w:i w:val="0"/>
        </w:rPr>
        <w:t>Part 7 — Frequently asked questions</w:t>
      </w:r>
    </w:p>
    <w:p>
      <w:pPr>
        <w:pStyle w:val="ListBullet"/>
        <w:spacing w:after="60"/>
      </w:pPr>
      <w:r>
        <w:rPr>
          <w:b w:val="0"/>
          <w:i w:val="0"/>
        </w:rPr>
        <w:t>Part 8 — Glossary</w:t>
      </w:r>
    </w:p>
    <w:p>
      <w:pPr>
        <w:pStyle w:val="Heading1"/>
      </w:pPr>
      <w:r>
        <w:t>Part 1 — What Monte Carlo simulation is</w:t>
      </w:r>
    </w:p>
    <w:p>
      <w:pPr>
        <w:pStyle w:val="Heading2"/>
      </w:pPr>
      <w:r>
        <w:t>1.1 A dice example</w:t>
      </w:r>
    </w:p>
    <w:p>
      <w:pPr>
        <w:spacing w:after="120"/>
      </w:pPr>
      <w:r>
        <w:rPr>
          <w:b w:val="0"/>
          <w:i w:val="0"/>
        </w:rPr>
        <w:t xml:space="preserve">Suppose someone asks: </w:t>
      </w:r>
      <w:r>
        <w:rPr>
          <w:b/>
          <w:i w:val="0"/>
        </w:rPr>
        <w:t>“If I roll two dice, what is the chance the total is 10 or more?”</w:t>
      </w:r>
      <w:r>
        <w:rPr>
          <w:b w:val="0"/>
          <w:i w:val="0"/>
        </w:rPr>
        <w:t xml:space="preserve"> There are two ways to answer.</w:t>
      </w:r>
    </w:p>
    <w:p>
      <w:pPr>
        <w:pStyle w:val="ListBullet"/>
        <w:spacing w:after="60"/>
      </w:pPr>
      <w:r>
        <w:rPr>
          <w:b/>
          <w:i w:val="0"/>
        </w:rPr>
        <w:t>Work it out exactly.</w:t>
      </w:r>
      <w:r>
        <w:rPr>
          <w:b w:val="0"/>
          <w:i w:val="0"/>
        </w:rPr>
        <w:t xml:space="preserve"> List all 36 combinations, count the ones that add to 10, 11 or 12 (there are 6), so the chance is 6/36 = 16.7 %.</w:t>
      </w:r>
    </w:p>
    <w:p>
      <w:pPr>
        <w:pStyle w:val="ListBullet"/>
        <w:spacing w:after="60"/>
      </w:pPr>
      <w:r>
        <w:rPr>
          <w:b/>
          <w:i w:val="0"/>
        </w:rPr>
        <w:t>Try it.</w:t>
      </w:r>
      <w:r>
        <w:rPr>
          <w:b w:val="0"/>
          <w:i w:val="0"/>
        </w:rPr>
        <w:t xml:space="preserve"> Roll the dice 10,000 times and count how often the total is 10 or more. You will get something very close to 16.7 % — perhaps 16.5 % or 16.9 %.</w:t>
      </w:r>
    </w:p>
    <w:p>
      <w:pPr>
        <w:spacing w:after="120"/>
      </w:pPr>
      <w:r>
        <w:rPr>
          <w:b w:val="0"/>
          <w:i w:val="0"/>
        </w:rPr>
        <w:t xml:space="preserve">The second method is a </w:t>
      </w:r>
      <w:r>
        <w:rPr>
          <w:b/>
          <w:i w:val="0"/>
        </w:rPr>
        <w:t>Monte Carlo simulation</w:t>
      </w:r>
      <w:r>
        <w:rPr>
          <w:b w:val="0"/>
          <w:i w:val="0"/>
        </w:rPr>
        <w:t>. It needs no clever maths: just a faithful description of how the dice behave, lots of repetitions, and counting. The name comes from the Monte Carlo casino in Monaco — the method is built on games of chance.</w:t>
      </w:r>
    </w:p>
    <w:p>
      <w:pPr>
        <w:pStyle w:val="Heading2"/>
      </w:pPr>
      <w:r>
        <w:t>1.2 Why bother, if you can do the maths?</w:t>
      </w:r>
    </w:p>
    <w:p>
      <w:pPr>
        <w:spacing w:after="120"/>
      </w:pPr>
      <w:r>
        <w:rPr>
          <w:b w:val="0"/>
          <w:i w:val="0"/>
        </w:rPr>
        <w:t>For two dice the maths is easy. But imagine a game with a few hundred dice, where some dice influence each other, the scoring rules have thresholds and caps, and the dice are oddly shaped. A formula becomes impossible, but simulating it is still easy: describe the rules, roll, record, repeat. A flood catastrophe is exactly that kind of game.</w:t>
      </w:r>
    </w:p>
    <w:p>
      <w:pPr>
        <w:pStyle w:val="Heading2"/>
      </w:pPr>
      <w:r>
        <w:t>1.3 The four ingredients of every Monte Carlo simulation</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041D3B"/>
          </w:tcPr>
          <w:p>
            <w:r/>
            <w:r>
              <w:rPr>
                <w:b/>
                <w:i w:val="0"/>
                <w:color w:val="FFFFFF"/>
                <w:sz w:val="20"/>
              </w:rPr>
              <w:t>Ingredient</w:t>
            </w:r>
          </w:p>
        </w:tc>
        <w:tc>
          <w:tcPr>
            <w:tcW w:type="dxa" w:w="2381"/>
            <w:shd w:val="clear" w:color="auto" w:fill="041D3B"/>
          </w:tcPr>
          <w:p>
            <w:r/>
            <w:r>
              <w:rPr>
                <w:b/>
                <w:i w:val="0"/>
                <w:color w:val="FFFFFF"/>
                <w:sz w:val="20"/>
              </w:rPr>
              <w:t>Dice example</w:t>
            </w:r>
          </w:p>
        </w:tc>
        <w:tc>
          <w:tcPr>
            <w:tcW w:type="dxa" w:w="4932"/>
            <w:shd w:val="clear" w:color="auto" w:fill="041D3B"/>
          </w:tcPr>
          <w:p>
            <w:r/>
            <w:r>
              <w:rPr>
                <w:b/>
                <w:i w:val="0"/>
                <w:color w:val="FFFFFF"/>
                <w:sz w:val="20"/>
              </w:rPr>
              <w:t>Our flood model</w:t>
            </w:r>
          </w:p>
        </w:tc>
      </w:tr>
      <w:tr>
        <w:tc>
          <w:tcPr>
            <w:tcW w:type="dxa" w:w="2041"/>
          </w:tcPr>
          <w:p>
            <w:pPr>
              <w:spacing w:after="20"/>
            </w:pPr>
            <w:r/>
            <w:r>
              <w:rPr>
                <w:b w:val="0"/>
                <w:i w:val="0"/>
                <w:sz w:val="20"/>
              </w:rPr>
              <w:t>1. A model of what can happen</w:t>
            </w:r>
          </w:p>
        </w:tc>
        <w:tc>
          <w:tcPr>
            <w:tcW w:type="dxa" w:w="2381"/>
          </w:tcPr>
          <w:p>
            <w:pPr>
              <w:spacing w:after="20"/>
            </w:pPr>
            <w:r/>
            <w:r>
              <w:rPr>
                <w:b w:val="0"/>
                <w:i w:val="0"/>
                <w:sz w:val="20"/>
              </w:rPr>
              <w:t>Each die shows 1–6 with equal chance</w:t>
            </w:r>
          </w:p>
        </w:tc>
        <w:tc>
          <w:tcPr>
            <w:tcW w:type="dxa" w:w="4932"/>
          </w:tcPr>
          <w:p>
            <w:pPr>
              <w:spacing w:after="20"/>
            </w:pPr>
            <w:r/>
            <w:r>
              <w:rPr>
                <w:b w:val="0"/>
                <w:i w:val="0"/>
                <w:sz w:val="20"/>
              </w:rPr>
              <w:t>How often floods of each size happen; how deep the water gets at each building; how much damage that depth causes, with a realistic spread</w:t>
            </w:r>
          </w:p>
        </w:tc>
      </w:tr>
      <w:tr>
        <w:tc>
          <w:tcPr>
            <w:tcW w:type="dxa" w:w="2041"/>
          </w:tcPr>
          <w:p>
            <w:pPr>
              <w:spacing w:after="20"/>
            </w:pPr>
            <w:r/>
            <w:r>
              <w:rPr>
                <w:b w:val="0"/>
                <w:i w:val="0"/>
                <w:sz w:val="20"/>
              </w:rPr>
              <w:t>2. Random draws</w:t>
            </w:r>
          </w:p>
        </w:tc>
        <w:tc>
          <w:tcPr>
            <w:tcW w:type="dxa" w:w="2381"/>
          </w:tcPr>
          <w:p>
            <w:pPr>
              <w:spacing w:after="20"/>
            </w:pPr>
            <w:r/>
            <w:r>
              <w:rPr>
                <w:b w:val="0"/>
                <w:i w:val="0"/>
                <w:sz w:val="20"/>
              </w:rPr>
              <w:t>Roll the dice</w:t>
            </w:r>
          </w:p>
        </w:tc>
        <w:tc>
          <w:tcPr>
            <w:tcW w:type="dxa" w:w="4932"/>
          </w:tcPr>
          <w:p>
            <w:pPr>
              <w:spacing w:after="20"/>
            </w:pPr>
            <w:r/>
            <w:r>
              <w:rPr>
                <w:b w:val="0"/>
                <w:i w:val="0"/>
                <w:sz w:val="20"/>
              </w:rPr>
              <w:t>The computer draws random numbers to decide the flood size and each building's damage luck</w:t>
            </w:r>
          </w:p>
        </w:tc>
      </w:tr>
      <w:tr>
        <w:tc>
          <w:tcPr>
            <w:tcW w:type="dxa" w:w="2041"/>
          </w:tcPr>
          <w:p>
            <w:pPr>
              <w:spacing w:after="20"/>
            </w:pPr>
            <w:r/>
            <w:r>
              <w:rPr>
                <w:b w:val="0"/>
                <w:i w:val="0"/>
                <w:sz w:val="20"/>
              </w:rPr>
              <w:t>3. Many repetitions</w:t>
            </w:r>
          </w:p>
        </w:tc>
        <w:tc>
          <w:tcPr>
            <w:tcW w:type="dxa" w:w="2381"/>
          </w:tcPr>
          <w:p>
            <w:pPr>
              <w:spacing w:after="20"/>
            </w:pPr>
            <w:r/>
            <w:r>
              <w:rPr>
                <w:b w:val="0"/>
                <w:i w:val="0"/>
                <w:sz w:val="20"/>
              </w:rPr>
              <w:t>10,000 rolls</w:t>
            </w:r>
          </w:p>
        </w:tc>
        <w:tc>
          <w:tcPr>
            <w:tcW w:type="dxa" w:w="4932"/>
          </w:tcPr>
          <w:p>
            <w:pPr>
              <w:spacing w:after="20"/>
            </w:pPr>
            <w:r/>
            <w:r>
              <w:rPr>
                <w:b w:val="0"/>
                <w:i w:val="0"/>
                <w:sz w:val="20"/>
              </w:rPr>
              <w:t>20,000 years in the app by default (10k / 20k / 50k selectable); 50,000 years in the notebook</w:t>
            </w:r>
          </w:p>
        </w:tc>
      </w:tr>
      <w:tr>
        <w:tc>
          <w:tcPr>
            <w:tcW w:type="dxa" w:w="2041"/>
          </w:tcPr>
          <w:p>
            <w:pPr>
              <w:spacing w:after="20"/>
            </w:pPr>
            <w:r/>
            <w:r>
              <w:rPr>
                <w:b w:val="0"/>
                <w:i w:val="0"/>
                <w:sz w:val="20"/>
              </w:rPr>
              <w:t>4. Count and summarise</w:t>
            </w:r>
          </w:p>
        </w:tc>
        <w:tc>
          <w:tcPr>
            <w:tcW w:type="dxa" w:w="2381"/>
          </w:tcPr>
          <w:p>
            <w:pPr>
              <w:spacing w:after="20"/>
            </w:pPr>
            <w:r/>
            <w:r>
              <w:rPr>
                <w:b w:val="0"/>
                <w:i w:val="0"/>
                <w:sz w:val="20"/>
              </w:rPr>
              <w:t>Share of totals ≥ 10</w:t>
            </w:r>
          </w:p>
        </w:tc>
        <w:tc>
          <w:tcPr>
            <w:tcW w:type="dxa" w:w="4932"/>
          </w:tcPr>
          <w:p>
            <w:pPr>
              <w:spacing w:after="20"/>
            </w:pPr>
            <w:r/>
            <w:r>
              <w:rPr>
                <w:b w:val="0"/>
                <w:i w:val="0"/>
                <w:sz w:val="20"/>
              </w:rPr>
              <w:t>Sort the simulated years by loss and read off the 1-in-100, 1-in-200, average, worst 1 %, etc.</w:t>
            </w:r>
          </w:p>
        </w:tc>
      </w:tr>
    </w:tbl>
    <w:p>
      <w:pPr>
        <w:spacing w:after="40"/>
      </w:pPr>
    </w:p>
    <w:p>
      <w:pPr>
        <w:pStyle w:val="Heading2"/>
      </w:pPr>
      <w:r>
        <w:t>1.4 Why it works: the law of large numbers</w:t>
      </w:r>
    </w:p>
    <w:p>
      <w:pPr>
        <w:spacing w:after="120"/>
      </w:pPr>
      <w:r>
        <w:rPr>
          <w:b w:val="0"/>
          <w:i w:val="0"/>
        </w:rPr>
        <w:t>The more times you repeat a random experiment, the closer the share of outcomes gets to the true probability. With 10 dice rolls your answer could be off by a lot; with 10,000 it is off by well under one percentage point. Our 50,000 years give an average annual loss accurate to roughly ±0.7 %, and the 1-in-100 loss is based on the 500 worst years — plenty to be stable (see Part 6.1).</w:t>
      </w:r>
    </w:p>
    <w:tbl>
      <w:tblPr>
        <w:tblW w:type="auto" w:w="0"/>
        <w:jc w:val="center"/>
        <w:tblLook w:firstColumn="1" w:firstRow="1" w:lastColumn="0" w:lastRow="0" w:noHBand="0" w:noVBand="1" w:val="04A0"/>
      </w:tblPr>
      <w:tblGrid>
        <w:gridCol w:w="9746"/>
      </w:tblGrid>
      <w:tr>
        <w:tc>
          <w:tcPr>
            <w:tcW w:type="dxa" w:w="9354"/>
            <w:shd w:val="clear" w:color="auto" w:fill="F6DDE3"/>
          </w:tcPr>
          <w:p>
            <w:r>
              <w:rPr>
                <w:b/>
                <w:i w:val="0"/>
                <w:color w:val="D11242"/>
                <w:sz w:val="22"/>
              </w:rPr>
              <w:t>In plain words</w:t>
            </w:r>
          </w:p>
          <w:p>
            <w:pPr>
              <w:spacing w:after="40"/>
            </w:pPr>
            <w:r>
              <w:rPr>
                <w:b w:val="0"/>
                <w:i w:val="0"/>
                <w:sz w:val="21"/>
              </w:rPr>
              <w:t>Monte Carlo = “don't solve it, play it out many times and count”. It is reliable when (1) the description of how things behave is sensible and (2) you repeat enough times.</w:t>
            </w:r>
          </w:p>
        </w:tc>
      </w:tr>
    </w:tbl>
    <w:p>
      <w:pPr>
        <w:spacing w:after="40"/>
      </w:pPr>
    </w:p>
    <w:p>
      <w:pPr>
        <w:pStyle w:val="Heading1"/>
      </w:pPr>
      <w:r>
        <w:t>Part 2 — Why an insurer needs it</w:t>
      </w:r>
    </w:p>
    <w:p>
      <w:pPr>
        <w:pStyle w:val="Heading2"/>
      </w:pPr>
      <w:r>
        <w:t>2.1 What we already had: the average-damage (deterministic) curve</w:t>
      </w:r>
    </w:p>
    <w:p>
      <w:pPr>
        <w:spacing w:after="120"/>
      </w:pPr>
      <w:r>
        <w:rPr>
          <w:b w:val="0"/>
          <w:i w:val="0"/>
        </w:rPr>
        <w:t xml:space="preserve">Before the simulation, the model computes losses one flood size at a time: “in a 1-in-100 flood, each building suffers its </w:t>
      </w:r>
      <w:r>
        <w:rPr>
          <w:b/>
          <w:i w:val="0"/>
        </w:rPr>
        <w:t>average</w:t>
      </w:r>
      <w:r>
        <w:rPr>
          <w:b w:val="0"/>
          <w:i w:val="0"/>
        </w:rPr>
        <w:t xml:space="preserve"> expected damage; add them up → KES 32.2 million ground-up”. Repeating this for every flood size gives the </w:t>
      </w:r>
      <w:r>
        <w:rPr>
          <w:b/>
          <w:i w:val="0"/>
        </w:rPr>
        <w:t>deterministic EP curve</w:t>
      </w:r>
      <w:r>
        <w:rPr>
          <w:b w:val="0"/>
          <w:i w:val="0"/>
        </w:rPr>
        <w:t xml:space="preserve">, and the area under it gives the </w:t>
      </w:r>
      <w:r>
        <w:rPr>
          <w:b/>
          <w:i w:val="0"/>
        </w:rPr>
        <w:t>average annual loss (AAL) of KES 5.81 million</w:t>
      </w:r>
      <w:r>
        <w:rPr>
          <w:b w:val="0"/>
          <w:i w:val="0"/>
        </w:rPr>
        <w:t>. This is transparent and easy to explain, and it is what most screens in the app show.</w:t>
      </w:r>
    </w:p>
    <w:p>
      <w:pPr>
        <w:pStyle w:val="Heading2"/>
      </w:pPr>
      <w:r>
        <w:t>2.2 What that curve misses</w:t>
      </w:r>
    </w:p>
    <w:p>
      <w:pPr>
        <w:spacing w:after="120"/>
      </w:pPr>
      <w:r>
        <w:rPr>
          <w:b w:val="0"/>
          <w:i w:val="0"/>
        </w:rPr>
        <w:t>Real floods don't deliver average damage. Two things happen:</w:t>
      </w:r>
    </w:p>
    <w:p>
      <w:pPr>
        <w:pStyle w:val="ListBullet"/>
        <w:spacing w:after="60"/>
      </w:pPr>
      <w:r>
        <w:rPr>
          <w:b/>
          <w:i w:val="0"/>
        </w:rPr>
        <w:t>Damage varies.</w:t>
      </w:r>
      <w:r>
        <w:rPr>
          <w:b w:val="0"/>
          <w:i w:val="0"/>
        </w:rPr>
        <w:t xml:space="preserve"> Two identical houses in the same depth of water can lose 20 % and 45 % — debris, how long the water stood, workmanship, luck. Our ML model knows this: as well as the average, it predicts a range (the 5th, 25th, 50th, 75th and 95th percentiles of damage).</w:t>
      </w:r>
    </w:p>
    <w:p>
      <w:pPr>
        <w:pStyle w:val="ListBullet"/>
        <w:spacing w:after="60"/>
      </w:pPr>
      <w:r>
        <w:rPr>
          <w:b/>
          <w:i w:val="0"/>
        </w:rPr>
        <w:t>Bad luck is shared.</w:t>
      </w:r>
      <w:r>
        <w:rPr>
          <w:b w:val="0"/>
          <w:i w:val="0"/>
        </w:rPr>
        <w:t xml:space="preserve"> In one flood, the same fast-moving wave, the same standing time and the same debris hit every building. If one house does badly, its neighbours probably do too.</w:t>
      </w:r>
    </w:p>
    <w:p>
      <w:pPr>
        <w:spacing w:after="120"/>
      </w:pPr>
      <w:r>
        <w:rPr>
          <w:b w:val="0"/>
          <w:i w:val="0"/>
        </w:rPr>
        <w:t xml:space="preserve">Think of the 48 buildings that get wet as 48 coin-tossers. If each tosses independently, heads and tails roughly cancel out. If they all watch the same “mood” of the flood, they tend to land the same way — and occasionally they </w:t>
      </w:r>
      <w:r>
        <w:rPr>
          <w:b/>
          <w:i w:val="0"/>
        </w:rPr>
        <w:t>all</w:t>
      </w:r>
      <w:r>
        <w:rPr>
          <w:b w:val="0"/>
          <w:i w:val="0"/>
        </w:rPr>
        <w:t xml:space="preserve"> land badly. Those rare all-bad years are what bankrupt insurers, and what reinsurance is bought for.</w:t>
      </w:r>
    </w:p>
    <w:p>
      <w:pPr>
        <w:pStyle w:val="Heading2"/>
      </w:pPr>
      <w:r>
        <w:t>2.3 What a reinsurer actually asks</w:t>
      </w:r>
    </w:p>
    <w:p>
      <w:pPr>
        <w:spacing w:after="120"/>
      </w:pPr>
      <w:r>
        <w:rPr>
          <w:b w:val="0"/>
          <w:i w:val="0"/>
        </w:rPr>
        <w:t xml:space="preserve">Kenya Re and the cedant care less about the average year than about </w:t>
      </w:r>
      <w:r>
        <w:rPr>
          <w:b/>
          <w:i w:val="0"/>
        </w:rPr>
        <w:t>bad years</w:t>
      </w:r>
      <w:r>
        <w:rPr>
          <w:b w:val="0"/>
          <w:i w:val="0"/>
        </w:rPr>
        <w:t>: “how much would we lose in the worst year out of 100? out of 200?” and “if a really bad year happens, how bad on average?”. Answering those requires the full spread of possible years — which is exactly what the simulation produces.</w:t>
      </w:r>
    </w:p>
    <w:tbl>
      <w:tblPr>
        <w:tblW w:type="auto" w:w="0"/>
        <w:jc w:val="center"/>
        <w:tblLook w:firstColumn="1" w:firstRow="1" w:lastColumn="0" w:lastRow="0" w:noHBand="0" w:noVBand="1" w:val="04A0"/>
      </w:tblPr>
      <w:tblGrid>
        <w:gridCol w:w="9746"/>
      </w:tblGrid>
      <w:tr>
        <w:tc>
          <w:tcPr>
            <w:tcW w:type="dxa" w:w="9354"/>
            <w:shd w:val="clear" w:color="auto" w:fill="F6DDE3"/>
          </w:tcPr>
          <w:p>
            <w:r>
              <w:rPr>
                <w:b/>
                <w:i w:val="0"/>
                <w:color w:val="D11242"/>
                <w:sz w:val="22"/>
              </w:rPr>
              <w:t>In plain words</w:t>
            </w:r>
          </w:p>
          <w:p>
            <w:pPr>
              <w:spacing w:after="40"/>
            </w:pPr>
            <w:r>
              <w:rPr>
                <w:b w:val="0"/>
                <w:i w:val="0"/>
                <w:sz w:val="21"/>
              </w:rPr>
              <w:t xml:space="preserve">The average-damage curve tells you what a typical flood of each size costs. The Monte Carlo tells you how bad the bad years can be once realistic damage luck — shared across buildings — is included. In our book, the realistic 1-in-100 loss is </w:t>
            </w:r>
            <w:r>
              <w:rPr>
                <w:b/>
                <w:i w:val="0"/>
                <w:sz w:val="21"/>
              </w:rPr>
              <w:t>KES 38.7 M</w:t>
            </w:r>
            <w:r>
              <w:rPr>
                <w:b w:val="0"/>
                <w:i w:val="0"/>
                <w:sz w:val="21"/>
              </w:rPr>
              <w:t xml:space="preserve"> rather than the 32.2 M the average-damage view suggests (+20 %).</w:t>
            </w:r>
          </w:p>
        </w:tc>
      </w:tr>
    </w:tbl>
    <w:p>
      <w:pPr>
        <w:spacing w:after="40"/>
      </w:pPr>
    </w:p>
    <w:p>
      <w:pPr>
        <w:pStyle w:val="Heading1"/>
      </w:pPr>
      <w:r>
        <w:t>Part 3 — How our simulation works, step by step</w:t>
      </w:r>
    </w:p>
    <w:p>
      <w:pPr>
        <w:spacing w:after="120"/>
      </w:pPr>
      <w:r>
        <w:rPr>
          <w:b w:val="0"/>
          <w:i w:val="0"/>
        </w:rPr>
        <w:t>One simulated year goes through the six steps below. The computer then repeats them for every year (20,000 in the app by default; 50,000 in the notebook). The code is `simulate()` in `web/src/lib/engine.ts` (browser) and `simulate()` in `notebooks/_build_notebook.py` §4.5 (Python); they follow the same logic.</w:t>
      </w:r>
    </w:p>
    <w:p>
      <w:pPr>
        <w:pStyle w:val="Heading2"/>
      </w:pPr>
      <w:r>
        <w:t>Step 0 — Preparation</w:t>
      </w:r>
    </w:p>
    <w:p>
      <w:pPr>
        <w:spacing w:after="120"/>
      </w:pPr>
      <w:r>
        <w:rPr>
          <w:b w:val="0"/>
          <w:i w:val="0"/>
        </w:rPr>
        <w:t>Only buildings that could ever get wet are simulated: a building is “at risk” if its flood depth, extended out to a 1-in-10,000 flood, is above zero. In the starter book that is a few dozen of the 500 buildings. The others contribute zero in every year, so skipping them changes nothing except speed.</w:t>
      </w:r>
    </w:p>
    <w:p>
      <w:pPr>
        <w:pStyle w:val="Heading2"/>
      </w:pPr>
      <w:r>
        <w:t>Step 1 — Does a flood happen this year, and how big is it?</w:t>
      </w:r>
    </w:p>
    <w:p>
      <w:pPr>
        <w:spacing w:after="120"/>
      </w:pPr>
      <w:r>
        <w:rPr>
          <w:b/>
          <w:i w:val="0"/>
        </w:rPr>
        <w:t>In plain words.</w:t>
      </w:r>
      <w:r>
        <w:rPr>
          <w:b w:val="0"/>
          <w:i w:val="0"/>
        </w:rPr>
        <w:t xml:space="preserve"> The computer picks a random number between 0 and 1, like spinning a wheel. If it lands on 0.5 or above, there is no damaging flood this year (the river stays in its banks — about half of all years). If it lands below 0.5, the number tells us how rare this year's flood is: 0.2 means a 1-in-5-year flood, 0.01 means a 1-in-100-year flood, 0.002 a 1-in-500.</w:t>
      </w:r>
    </w:p>
    <w:p>
      <w:pPr>
        <w:spacing w:after="120"/>
      </w:pPr>
      <w:r>
        <w:rPr>
          <w:b/>
          <w:i w:val="0"/>
        </w:rPr>
        <w:t>Why that gives the right frequencies.</w:t>
      </w:r>
      <w:r>
        <w:rPr>
          <w:b w:val="0"/>
          <w:i w:val="0"/>
        </w:rPr>
        <w:t xml:space="preserve"> The chance the wheel lands below 0.01 is exactly 1 %, so a flood at least as big as the 1-in-100 happens in 1 % of simulated years — which is the definition of a 1-in-100 flood. The same holds for every size.</w:t>
      </w:r>
    </w:p>
    <w:p>
      <w:pPr>
        <w:spacing w:after="120"/>
      </w:pPr>
      <w:r>
        <w:rPr>
          <w:b/>
          <w:i w:val="0"/>
        </w:rPr>
        <w:t>Technically.</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p  = U(0, 1)                 # uniform random number</w:t>
            </w:r>
          </w:p>
          <w:p>
            <w:pPr>
              <w:spacing w:after="0"/>
            </w:pPr>
            <w:r>
              <w:rPr>
                <w:rFonts w:ascii="Consolas" w:hAnsi="Consolas"/>
                <w:b w:val="0"/>
                <w:i w:val="0"/>
                <w:sz w:val="19"/>
              </w:rPr>
              <w:t>if p &gt;= 0.5: year loss = 0   # floods more frequent than 1-in-2 stay in-bank (assumption A-HAZ-2)</w:t>
            </w:r>
          </w:p>
          <w:p>
            <w:pPr>
              <w:spacing w:after="0"/>
            </w:pPr>
            <w:r>
              <w:rPr>
                <w:rFonts w:ascii="Consolas" w:hAnsi="Consolas"/>
                <w:b w:val="0"/>
                <w:i w:val="0"/>
                <w:sz w:val="19"/>
              </w:rPr>
              <w:t>RP = 1 / p                   # return period of this year's annual-maximum flood</w:t>
            </w:r>
          </w:p>
        </w:tc>
      </w:tr>
    </w:tbl>
    <w:p>
      <w:pPr>
        <w:spacing w:after="40"/>
      </w:pPr>
    </w:p>
    <w:p>
      <w:pPr>
        <w:spacing w:after="120"/>
      </w:pPr>
      <w:r>
        <w:rPr>
          <w:b w:val="0"/>
          <w:i w:val="0"/>
        </w:rPr>
        <w:t xml:space="preserve">This assumes </w:t>
      </w:r>
      <w:r>
        <w:rPr>
          <w:b/>
          <w:i w:val="0"/>
        </w:rPr>
        <w:t>one dominant river flood per year</w:t>
      </w:r>
      <w:r>
        <w:rPr>
          <w:b w:val="0"/>
          <w:i w:val="0"/>
        </w:rPr>
        <w:t xml:space="preserve"> (assumption A-FIN-3): the Nzoia's damaging floods come from the long-rains peak, so the largest flood of the year drives the loss. Because there is only one event per year, the yearly (aggregate) curve and the per-event (occurrence) curve are the same.</w:t>
      </w:r>
    </w:p>
    <w:p>
      <w:pPr>
        <w:pStyle w:val="Heading2"/>
      </w:pPr>
      <w:r>
        <w:t>Step 2 — How deep is the water at each building?</w:t>
      </w:r>
    </w:p>
    <w:p>
      <w:pPr>
        <w:spacing w:after="120"/>
      </w:pPr>
      <w:r>
        <w:rPr>
          <w:b/>
          <w:i w:val="0"/>
        </w:rPr>
        <w:t>In plain words.</w:t>
      </w:r>
      <w:r>
        <w:rPr>
          <w:b w:val="0"/>
          <w:i w:val="0"/>
        </w:rPr>
        <w:t xml:space="preserve"> We have six real flood maps (1-in-10 to 1-in-500). If this year's flood is, say, 1-in-37, we estimate the depth at each building between the 1-in-20 and 1-in-50 maps. For floods rarer than 1-in-500 we extend the trend, up to a 1-in-10,000 limit.</w:t>
      </w:r>
    </w:p>
    <w:p>
      <w:pPr>
        <w:spacing w:after="120"/>
      </w:pPr>
      <w:r>
        <w:rPr>
          <w:b/>
          <w:i w:val="0"/>
        </w:rPr>
        <w:t>Technically.</w:t>
      </w:r>
      <w:r>
        <w:rPr>
          <w:b w:val="0"/>
          <w:i w:val="0"/>
        </w:rPr>
        <w:t xml:space="preserve"> `depthAtRp()`: depth is linear in ln(RP) between the maps, zero at RP ≤ 2, and extrapolated beyond RP500 with the RP200→500 slope (assumptions A-HAZ-2/3). The whole flood is applied to every building at once — one basin-wide event (A-FIN-1). The depth itself is not randomised; the randomness enters in the damage.</w:t>
      </w:r>
    </w:p>
    <w:p>
      <w:pPr>
        <w:pStyle w:val="Heading2"/>
      </w:pPr>
      <w:r>
        <w:t>Step 3 — How bad is the damage? (the “dice” for each building)</w:t>
      </w:r>
    </w:p>
    <w:p>
      <w:pPr>
        <w:spacing w:after="120"/>
      </w:pPr>
      <w:r>
        <w:rPr>
          <w:b/>
          <w:i w:val="0"/>
        </w:rPr>
        <w:t>In plain words.</w:t>
      </w:r>
      <w:r>
        <w:rPr>
          <w:b w:val="0"/>
          <w:i w:val="0"/>
        </w:rPr>
        <w:t xml:space="preserve"> For a given depth, the ML model gives a range of likely damage — for example “usually around 28 %, but 1 in 20 times as low as 10 % and 1 in 20 times as high as 50 %”. The simulation rolls a dice for the building and picks a point in that range: a low roll gives light damage, a high roll heavy damage, a middle roll typical damage.</w:t>
      </w:r>
    </w:p>
    <w:p>
      <w:pPr>
        <w:spacing w:after="120"/>
      </w:pPr>
      <w:r>
        <w:rPr>
          <w:b/>
          <w:i w:val="0"/>
        </w:rPr>
        <w:t>Technically.</w:t>
      </w:r>
      <w:r>
        <w:rPr>
          <w:b w:val="0"/>
          <w:i w:val="0"/>
        </w:rPr>
        <w:t xml:space="preserve"> The ML model provides five quantiles of the damage ratio (q05, q25, q50, q75, q95) plus the mean, for the building's class, depth, build quality and the chosen flood duration. These are turned into a </w:t>
      </w:r>
      <w:r>
        <w:rPr>
          <w:b/>
          <w:i w:val="0"/>
        </w:rPr>
        <w:t>piecewise-linear inverse cumulative distribution</w:t>
      </w:r>
      <w:r>
        <w:rPr>
          <w:b w:val="0"/>
          <w:i w:val="0"/>
        </w:rPr>
        <w:t xml:space="preserve"> through seven knots:</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u-knots:  0      0.05   0.25   0.50   0.75   0.95   1</w:t>
            </w:r>
          </w:p>
          <w:p>
            <w:pPr>
              <w:spacing w:after="0"/>
            </w:pPr>
            <w:r>
              <w:rPr>
                <w:rFonts w:ascii="Consolas" w:hAnsi="Consolas"/>
                <w:b w:val="0"/>
                <w:i w:val="0"/>
                <w:sz w:val="19"/>
              </w:rPr>
              <w:t>values:   v0     q05    q25    q50    q75    q95    v1</w:t>
            </w:r>
          </w:p>
          <w:p>
            <w:pPr>
              <w:spacing w:after="0"/>
            </w:pPr>
            <w:r>
              <w:rPr>
                <w:rFonts w:ascii="Consolas" w:hAnsi="Consolas"/>
                <w:b w:val="0"/>
                <w:i w:val="0"/>
                <w:sz w:val="19"/>
              </w:rPr>
              <w:t>v0 = max(0, q05 − 0.25·(q25 − q05))        # a short tail below the 5th percentile</w:t>
            </w:r>
          </w:p>
          <w:p>
            <w:pPr>
              <w:spacing w:after="0"/>
            </w:pPr>
            <w:r>
              <w:rPr>
                <w:rFonts w:ascii="Consolas" w:hAnsi="Consolas"/>
                <w:b w:val="0"/>
                <w:i w:val="0"/>
                <w:sz w:val="19"/>
              </w:rPr>
              <w:t>v1 = min(class cap, q95 + 0.25·(q95 − q75)) # a short tail above the 95th, never above the class ceiling</w:t>
            </w:r>
          </w:p>
        </w:tc>
      </w:tr>
    </w:tbl>
    <w:p>
      <w:pPr>
        <w:spacing w:after="40"/>
      </w:pPr>
    </w:p>
    <w:p>
      <w:pPr>
        <w:spacing w:after="120"/>
      </w:pPr>
      <w:r>
        <w:rPr>
          <w:b w:val="0"/>
          <w:i w:val="0"/>
        </w:rPr>
        <w:t xml:space="preserve">A number u between 0 and 1 is drawn (Step 4 explains how), and the damage is read off the line between the knots. Finally the draw is </w:t>
      </w:r>
      <w:r>
        <w:rPr>
          <w:b/>
          <w:i w:val="0"/>
        </w:rPr>
        <w:t>rescaled so its long-run average equals the ML mean</w:t>
      </w:r>
      <w:r>
        <w:rPr>
          <w:b w:val="0"/>
          <w:i w:val="0"/>
        </w:rPr>
        <w:t xml:space="preserve"> (“mean-preserving”). This guarantees the simulation adds spread without making the book look more or less expensive on average.</w:t>
      </w:r>
    </w:p>
    <w:p>
      <w:pPr>
        <w:pStyle w:val="Heading3"/>
      </w:pPr>
      <w:r>
        <w:t>Worked example</w:t>
      </w:r>
    </w:p>
    <w:p>
      <w:pPr>
        <w:spacing w:after="120"/>
      </w:pPr>
      <w:r>
        <w:rPr>
          <w:b w:val="0"/>
          <w:i w:val="0"/>
        </w:rPr>
        <w:t>Say a building's ML numbers are: q05 = 0.10, q25 = 0.20, q50 = 0.28, q75 = 0.36, q95 = 0.50, mean = 0.29, class ceiling 0.90.</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color="auto" w:fill="041D3B"/>
          </w:tcPr>
          <w:p>
            <w:r/>
            <w:r>
              <w:rPr>
                <w:b/>
                <w:i w:val="0"/>
                <w:color w:val="FFFFFF"/>
                <w:sz w:val="20"/>
              </w:rPr>
              <w:t>Quantity</w:t>
            </w:r>
          </w:p>
        </w:tc>
        <w:tc>
          <w:tcPr>
            <w:tcW w:type="dxa" w:w="4649"/>
            <w:shd w:val="clear" w:color="auto" w:fill="041D3B"/>
          </w:tcPr>
          <w:p>
            <w:r/>
            <w:r>
              <w:rPr>
                <w:b/>
                <w:i w:val="0"/>
                <w:color w:val="FFFFFF"/>
                <w:sz w:val="20"/>
              </w:rPr>
              <w:t>Calculation</w:t>
            </w:r>
          </w:p>
        </w:tc>
        <w:tc>
          <w:tcPr>
            <w:tcW w:type="dxa" w:w="2098"/>
            <w:shd w:val="clear" w:color="auto" w:fill="041D3B"/>
          </w:tcPr>
          <w:p>
            <w:r/>
            <w:r>
              <w:rPr>
                <w:b/>
                <w:i w:val="0"/>
                <w:color w:val="FFFFFF"/>
                <w:sz w:val="20"/>
              </w:rPr>
              <w:t>Value</w:t>
            </w:r>
          </w:p>
        </w:tc>
      </w:tr>
      <w:tr>
        <w:tc>
          <w:tcPr>
            <w:tcW w:type="dxa" w:w="2608"/>
          </w:tcPr>
          <w:p>
            <w:pPr>
              <w:spacing w:after="20"/>
            </w:pPr>
            <w:r/>
            <w:r>
              <w:rPr>
                <w:b w:val="0"/>
                <w:i w:val="0"/>
                <w:sz w:val="20"/>
              </w:rPr>
              <w:t>Lower tail knot v0</w:t>
            </w:r>
          </w:p>
        </w:tc>
        <w:tc>
          <w:tcPr>
            <w:tcW w:type="dxa" w:w="4649"/>
          </w:tcPr>
          <w:p>
            <w:pPr>
              <w:spacing w:after="20"/>
            </w:pPr>
            <w:r/>
            <w:r>
              <w:rPr>
                <w:b w:val="0"/>
                <w:i w:val="0"/>
                <w:sz w:val="20"/>
              </w:rPr>
              <w:t>max(0, 0.10 − 0.25 × 0.10)</w:t>
            </w:r>
          </w:p>
        </w:tc>
        <w:tc>
          <w:tcPr>
            <w:tcW w:type="dxa" w:w="2098"/>
          </w:tcPr>
          <w:p>
            <w:pPr>
              <w:spacing w:after="20"/>
            </w:pPr>
            <w:r/>
            <w:r>
              <w:rPr>
                <w:b w:val="0"/>
                <w:i w:val="0"/>
                <w:sz w:val="20"/>
              </w:rPr>
              <w:t>0.075</w:t>
            </w:r>
          </w:p>
        </w:tc>
      </w:tr>
      <w:tr>
        <w:tc>
          <w:tcPr>
            <w:tcW w:type="dxa" w:w="2608"/>
          </w:tcPr>
          <w:p>
            <w:pPr>
              <w:spacing w:after="20"/>
            </w:pPr>
            <w:r/>
            <w:r>
              <w:rPr>
                <w:b w:val="0"/>
                <w:i w:val="0"/>
                <w:sz w:val="20"/>
              </w:rPr>
              <w:t>Upper tail knot v1</w:t>
            </w:r>
          </w:p>
        </w:tc>
        <w:tc>
          <w:tcPr>
            <w:tcW w:type="dxa" w:w="4649"/>
          </w:tcPr>
          <w:p>
            <w:pPr>
              <w:spacing w:after="20"/>
            </w:pPr>
            <w:r/>
            <w:r>
              <w:rPr>
                <w:b w:val="0"/>
                <w:i w:val="0"/>
                <w:sz w:val="20"/>
              </w:rPr>
              <w:t>min(0.90, 0.50 + 0.25 × 0.14)</w:t>
            </w:r>
          </w:p>
        </w:tc>
        <w:tc>
          <w:tcPr>
            <w:tcW w:type="dxa" w:w="2098"/>
          </w:tcPr>
          <w:p>
            <w:pPr>
              <w:spacing w:after="20"/>
            </w:pPr>
            <w:r/>
            <w:r>
              <w:rPr>
                <w:b w:val="0"/>
                <w:i w:val="0"/>
                <w:sz w:val="20"/>
              </w:rPr>
              <w:t>0.535</w:t>
            </w:r>
          </w:p>
        </w:tc>
      </w:tr>
      <w:tr>
        <w:tc>
          <w:tcPr>
            <w:tcW w:type="dxa" w:w="2608"/>
          </w:tcPr>
          <w:p>
            <w:pPr>
              <w:spacing w:after="20"/>
            </w:pPr>
            <w:r/>
            <w:r>
              <w:rPr>
                <w:b w:val="0"/>
                <w:i w:val="0"/>
                <w:sz w:val="20"/>
              </w:rPr>
              <w:t>Average of the knot line (q̄)</w:t>
            </w:r>
          </w:p>
        </w:tc>
        <w:tc>
          <w:tcPr>
            <w:tcW w:type="dxa" w:w="4649"/>
          </w:tcPr>
          <w:p>
            <w:pPr>
              <w:spacing w:after="20"/>
            </w:pPr>
            <w:r/>
            <w:r>
              <w:rPr>
                <w:b w:val="0"/>
                <w:i w:val="0"/>
                <w:sz w:val="20"/>
              </w:rPr>
              <w:t>area under the 7-knot line</w:t>
            </w:r>
          </w:p>
        </w:tc>
        <w:tc>
          <w:tcPr>
            <w:tcW w:type="dxa" w:w="2098"/>
          </w:tcPr>
          <w:p>
            <w:pPr>
              <w:spacing w:after="20"/>
            </w:pPr>
            <w:r/>
            <w:r>
              <w:rPr>
                <w:b w:val="0"/>
                <w:i w:val="0"/>
                <w:sz w:val="20"/>
              </w:rPr>
              <w:t>0.2863</w:t>
            </w:r>
          </w:p>
        </w:tc>
      </w:tr>
      <w:tr>
        <w:tc>
          <w:tcPr>
            <w:tcW w:type="dxa" w:w="2608"/>
          </w:tcPr>
          <w:p>
            <w:pPr>
              <w:spacing w:after="20"/>
            </w:pPr>
            <w:r/>
            <w:r>
              <w:rPr>
                <w:b w:val="0"/>
                <w:i w:val="0"/>
                <w:sz w:val="20"/>
              </w:rPr>
              <w:t>Rescale factor</w:t>
            </w:r>
          </w:p>
        </w:tc>
        <w:tc>
          <w:tcPr>
            <w:tcW w:type="dxa" w:w="4649"/>
          </w:tcPr>
          <w:p>
            <w:pPr>
              <w:spacing w:after="20"/>
            </w:pPr>
            <w:r/>
            <w:r>
              <w:rPr>
                <w:b w:val="0"/>
                <w:i w:val="0"/>
                <w:sz w:val="20"/>
              </w:rPr>
              <w:t>mean ÷ q̄ = 0.29 ÷ 0.2863</w:t>
            </w:r>
          </w:p>
        </w:tc>
        <w:tc>
          <w:tcPr>
            <w:tcW w:type="dxa" w:w="2098"/>
          </w:tcPr>
          <w:p>
            <w:pPr>
              <w:spacing w:after="20"/>
            </w:pPr>
            <w:r/>
            <w:r>
              <w:rPr>
                <w:b w:val="0"/>
                <w:i w:val="0"/>
                <w:sz w:val="20"/>
              </w:rPr>
              <w:t>1.013</w:t>
            </w:r>
          </w:p>
        </w:tc>
      </w:tr>
      <w:tr>
        <w:tc>
          <w:tcPr>
            <w:tcW w:type="dxa" w:w="2608"/>
          </w:tcPr>
          <w:p>
            <w:pPr>
              <w:spacing w:after="20"/>
            </w:pPr>
            <w:r/>
            <w:r>
              <w:rPr>
                <w:b w:val="0"/>
                <w:i w:val="0"/>
                <w:sz w:val="20"/>
              </w:rPr>
              <w:t>Draw with u = 0.50 (typical roll)</w:t>
            </w:r>
          </w:p>
        </w:tc>
        <w:tc>
          <w:tcPr>
            <w:tcW w:type="dxa" w:w="4649"/>
          </w:tcPr>
          <w:p>
            <w:pPr>
              <w:spacing w:after="20"/>
            </w:pPr>
            <w:r/>
            <w:r>
              <w:rPr>
                <w:b w:val="0"/>
                <w:i w:val="0"/>
                <w:sz w:val="20"/>
              </w:rPr>
              <w:t>0.28 × 1.013</w:t>
            </w:r>
          </w:p>
        </w:tc>
        <w:tc>
          <w:tcPr>
            <w:tcW w:type="dxa" w:w="2098"/>
          </w:tcPr>
          <w:p>
            <w:pPr>
              <w:spacing w:after="20"/>
            </w:pPr>
            <w:r/>
            <w:r>
              <w:rPr>
                <w:b w:val="0"/>
                <w:i w:val="0"/>
                <w:sz w:val="20"/>
              </w:rPr>
              <w:t>0.284 → 28 % damage</w:t>
            </w:r>
          </w:p>
        </w:tc>
      </w:tr>
      <w:tr>
        <w:tc>
          <w:tcPr>
            <w:tcW w:type="dxa" w:w="2608"/>
          </w:tcPr>
          <w:p>
            <w:pPr>
              <w:spacing w:after="20"/>
            </w:pPr>
            <w:r/>
            <w:r>
              <w:rPr>
                <w:b w:val="0"/>
                <w:i w:val="0"/>
                <w:sz w:val="20"/>
              </w:rPr>
              <w:t>Draw with u = 0.90 (bad roll)</w:t>
            </w:r>
          </w:p>
        </w:tc>
        <w:tc>
          <w:tcPr>
            <w:tcW w:type="dxa" w:w="4649"/>
          </w:tcPr>
          <w:p>
            <w:pPr>
              <w:spacing w:after="20"/>
            </w:pPr>
            <w:r/>
            <w:r>
              <w:rPr>
                <w:b w:val="0"/>
                <w:i w:val="0"/>
                <w:sz w:val="20"/>
              </w:rPr>
              <w:t>between q75 and q95: 0.36 + (0.15/0.20) × 0.14 = 0.465; × 1.013</w:t>
            </w:r>
          </w:p>
        </w:tc>
        <w:tc>
          <w:tcPr>
            <w:tcW w:type="dxa" w:w="2098"/>
          </w:tcPr>
          <w:p>
            <w:pPr>
              <w:spacing w:after="20"/>
            </w:pPr>
            <w:r/>
            <w:r>
              <w:rPr>
                <w:b w:val="0"/>
                <w:i w:val="0"/>
                <w:sz w:val="20"/>
              </w:rPr>
              <w:t>0.471 → 47 % damage</w:t>
            </w:r>
          </w:p>
        </w:tc>
      </w:tr>
      <w:tr>
        <w:tc>
          <w:tcPr>
            <w:tcW w:type="dxa" w:w="2608"/>
          </w:tcPr>
          <w:p>
            <w:pPr>
              <w:spacing w:after="20"/>
            </w:pPr>
            <w:r/>
            <w:r>
              <w:rPr>
                <w:b w:val="0"/>
                <w:i w:val="0"/>
                <w:sz w:val="20"/>
              </w:rPr>
              <w:t>Draw with u = 0.03 (lucky roll)</w:t>
            </w:r>
          </w:p>
        </w:tc>
        <w:tc>
          <w:tcPr>
            <w:tcW w:type="dxa" w:w="4649"/>
          </w:tcPr>
          <w:p>
            <w:pPr>
              <w:spacing w:after="20"/>
            </w:pPr>
            <w:r/>
            <w:r>
              <w:rPr>
                <w:b w:val="0"/>
                <w:i w:val="0"/>
                <w:sz w:val="20"/>
              </w:rPr>
              <w:t>between v0 and q05: 0.075 + (0.03/0.05) × 0.025 = 0.09; × 1.013</w:t>
            </w:r>
          </w:p>
        </w:tc>
        <w:tc>
          <w:tcPr>
            <w:tcW w:type="dxa" w:w="2098"/>
          </w:tcPr>
          <w:p>
            <w:pPr>
              <w:spacing w:after="20"/>
            </w:pPr>
            <w:r/>
            <w:r>
              <w:rPr>
                <w:b w:val="0"/>
                <w:i w:val="0"/>
                <w:sz w:val="20"/>
              </w:rPr>
              <w:t>0.091 → 9 % damage</w:t>
            </w:r>
          </w:p>
        </w:tc>
      </w:tr>
    </w:tbl>
    <w:p>
      <w:pPr>
        <w:spacing w:after="40"/>
      </w:pPr>
    </w:p>
    <w:p>
      <w:pPr>
        <w:spacing w:after="120"/>
      </w:pPr>
      <w:r>
        <w:rPr>
          <w:b w:val="0"/>
          <w:i w:val="0"/>
        </w:rPr>
        <w:t xml:space="preserve">If you choose the </w:t>
      </w:r>
      <w:r>
        <w:rPr>
          <w:b/>
          <w:i w:val="0"/>
        </w:rPr>
        <w:t>JRC baseline</w:t>
      </w:r>
      <w:r>
        <w:rPr>
          <w:b w:val="0"/>
          <w:i w:val="0"/>
        </w:rPr>
        <w:t xml:space="preserve"> vulnerability in Model settings, there is no range — each building simply gets the adapted JRC curve's damage — so the simulation then only varies the flood size, and its curve matches the deterministic one apart from sampling noise.</w:t>
      </w:r>
    </w:p>
    <w:p>
      <w:pPr>
        <w:pStyle w:val="Heading2"/>
      </w:pPr>
      <w:r>
        <w:t>Step 4 — Shared luck between buildings (correlation)</w:t>
      </w:r>
    </w:p>
    <w:p>
      <w:pPr>
        <w:spacing w:after="120"/>
      </w:pPr>
      <w:r>
        <w:rPr>
          <w:b/>
          <w:i w:val="0"/>
        </w:rPr>
        <w:t>In plain words.</w:t>
      </w:r>
      <w:r>
        <w:rPr>
          <w:b w:val="0"/>
          <w:i w:val="0"/>
        </w:rPr>
        <w:t xml:space="preserve"> Each year the flood gets one “mood” roll that applies to everybody (fast and dirty, or slow and gentle), and each building also gets its own personal roll. The building's final dice is a mix of the two. With our setting of ρ = 0.3, about 30 % of each building's luck comes from the shared mood and 70 % is its own.</w:t>
      </w:r>
    </w:p>
    <w:p>
      <w:pPr>
        <w:spacing w:after="120"/>
      </w:pPr>
      <w:r>
        <w:rPr>
          <w:b/>
          <w:i w:val="0"/>
        </w:rPr>
        <w:t>Technically.</w:t>
      </w:r>
      <w:r>
        <w:rPr>
          <w:b w:val="0"/>
          <w:i w:val="0"/>
        </w:rPr>
        <w:t xml:space="preserve"> A one-factor Gaussian copula:</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Z  ~ N(0,1)   once per simulated year (shared by all buildings)</w:t>
            </w:r>
          </w:p>
          <w:p>
            <w:pPr>
              <w:spacing w:after="0"/>
            </w:pPr>
            <w:r>
              <w:rPr>
                <w:rFonts w:ascii="Consolas" w:hAnsi="Consolas"/>
                <w:b w:val="0"/>
                <w:i w:val="0"/>
                <w:sz w:val="19"/>
              </w:rPr>
              <w:t>εᵢ ~ N(0,1)   once per building per year</w:t>
            </w:r>
          </w:p>
          <w:p>
            <w:pPr>
              <w:spacing w:after="0"/>
            </w:pPr>
            <w:r>
              <w:rPr>
                <w:rFonts w:ascii="Consolas" w:hAnsi="Consolas"/>
                <w:b w:val="0"/>
                <w:i w:val="0"/>
                <w:sz w:val="19"/>
              </w:rPr>
              <w:t>uᵢ = Φ( √ρ · Z + √(1 − ρ) · εᵢ )      # Φ = standard normal CDF, gives a number in (0,1)</w:t>
            </w:r>
          </w:p>
          <w:p>
            <w:pPr>
              <w:spacing w:after="0"/>
            </w:pPr>
            <w:r>
              <w:rPr>
                <w:rFonts w:ascii="Consolas" w:hAnsi="Consolas"/>
                <w:b w:val="0"/>
                <w:i w:val="0"/>
                <w:sz w:val="19"/>
              </w:rPr>
              <w:t>damageᵢ = inverse-CDF_i(uᵢ) × mean_i / q̄_i</w:t>
            </w:r>
          </w:p>
        </w:tc>
      </w:tr>
    </w:tbl>
    <w:p>
      <w:pPr>
        <w:spacing w:after="40"/>
      </w:pPr>
    </w:p>
    <w:p>
      <w:pPr>
        <w:spacing w:after="120"/>
      </w:pPr>
      <w:r>
        <w:rPr>
          <w:b w:val="0"/>
          <w:i w:val="0"/>
        </w:rPr>
        <w:t>Each uᵢ is still uniformly distributed (so every building on its own has exactly the ML range), but buildings move together. ρ = 0 means fully independent luck; ρ = 0.9 means nearly identical luck. ρ = 0.3 is an assumption (A-FIN-4) and can be changed with the slider in Model settings.</w:t>
      </w:r>
    </w:p>
    <w:p>
      <w:pPr>
        <w:spacing w:after="120"/>
      </w:pPr>
      <w:r>
        <w:rPr>
          <w:b/>
          <w:i w:val="0"/>
        </w:rPr>
        <w:t>A real example from our simulated years.</w:t>
      </w:r>
      <w:r>
        <w:rPr>
          <w:b w:val="0"/>
          <w:i w:val="0"/>
        </w:rPr>
        <w:t xml:space="preserve"> Year 0 and year 7 both drew a 1-in-5.6-year flood — identical water depths everywhere — yet year 0 cost </w:t>
      </w:r>
      <w:r>
        <w:rPr>
          <w:b/>
          <w:i w:val="0"/>
        </w:rPr>
        <w:t>KES 18.0 M</w:t>
      </w:r>
      <w:r>
        <w:rPr>
          <w:b w:val="0"/>
          <w:i w:val="0"/>
        </w:rPr>
        <w:t xml:space="preserve"> and year 7 only </w:t>
      </w:r>
      <w:r>
        <w:rPr>
          <w:b/>
          <w:i w:val="0"/>
        </w:rPr>
        <w:t>KES 9.9 M</w:t>
      </w:r>
      <w:r>
        <w:rPr>
          <w:b w:val="0"/>
          <w:i w:val="0"/>
        </w:rPr>
        <w:t xml:space="preserve"> ground-up. The difference is pure damage luck, much of it shared across the buildings in that year.</w:t>
      </w:r>
    </w:p>
    <w:p>
      <w:pPr>
        <w:pStyle w:val="Heading2"/>
      </w:pPr>
      <w:r>
        <w:t>Step 5 — Turning damage into money</w:t>
      </w:r>
    </w:p>
    <w:p>
      <w:pPr>
        <w:spacing w:after="120"/>
      </w:pPr>
      <w:r>
        <w:rPr>
          <w:b/>
          <w:i w:val="0"/>
        </w:rPr>
        <w:t>In plain words.</w:t>
      </w:r>
      <w:r>
        <w:rPr>
          <w:b w:val="0"/>
          <w:i w:val="0"/>
        </w:rPr>
        <w:t xml:space="preserve"> Exactly the same money rules as everywhere else in the app: damage × building value = ground-up loss; the owner keeps the 2 % deductible; the policy pays up to the building's value; add up all buildings = the insurer's gross loss for the year; the Cat XL treaty pays anything between KES 20 M and 40 M; what is left is the insurer's net loss.</w:t>
      </w:r>
    </w:p>
    <w:p>
      <w:pPr>
        <w:spacing w:after="120"/>
      </w:pPr>
      <w:r>
        <w:rPr>
          <w:b/>
          <w:i w:val="0"/>
        </w:rPr>
        <w:t>Technically.</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groundUp_i = damage_i × TIV_i</w:t>
            </w:r>
          </w:p>
          <w:p>
            <w:pPr>
              <w:spacing w:after="0"/>
            </w:pPr>
            <w:r>
              <w:rPr>
                <w:rFonts w:ascii="Consolas" w:hAnsi="Consolas"/>
                <w:b w:val="0"/>
                <w:i w:val="0"/>
                <w:sz w:val="19"/>
              </w:rPr>
              <w:t>gross_i    = min(max(groundUp_i − 2%·TIV_i, 0), 100%·TIV_i)   # applyPolicy()</w:t>
            </w:r>
          </w:p>
          <w:p>
            <w:pPr>
              <w:spacing w:after="0"/>
            </w:pPr>
            <w:r>
              <w:rPr>
                <w:rFonts w:ascii="Consolas" w:hAnsi="Consolas"/>
                <w:b w:val="0"/>
                <w:i w:val="0"/>
                <w:sz w:val="19"/>
              </w:rPr>
              <w:t>yearGross  = Σ gross_i</w:t>
            </w:r>
          </w:p>
          <w:p>
            <w:pPr>
              <w:spacing w:after="0"/>
            </w:pPr>
            <w:r>
              <w:rPr>
                <w:rFonts w:ascii="Consolas" w:hAnsi="Consolas"/>
                <w:b w:val="0"/>
                <w:i w:val="0"/>
                <w:sz w:val="19"/>
              </w:rPr>
              <w:t>afterQS    = yearGross − qs%·yearGross</w:t>
            </w:r>
          </w:p>
          <w:p>
            <w:pPr>
              <w:spacing w:after="0"/>
            </w:pPr>
            <w:r>
              <w:rPr>
                <w:rFonts w:ascii="Consolas" w:hAnsi="Consolas"/>
                <w:b w:val="0"/>
                <w:i w:val="0"/>
                <w:sz w:val="19"/>
              </w:rPr>
              <w:t>xl         = clip(afterQS − 20M, 0, 20M)                        # applyReinsurance()</w:t>
            </w:r>
          </w:p>
          <w:p>
            <w:pPr>
              <w:spacing w:after="0"/>
            </w:pPr>
            <w:r>
              <w:rPr>
                <w:rFonts w:ascii="Consolas" w:hAnsi="Consolas"/>
                <w:b w:val="0"/>
                <w:i w:val="0"/>
                <w:sz w:val="19"/>
              </w:rPr>
              <w:t>yearNet    = afterQS − xl</w:t>
            </w:r>
          </w:p>
        </w:tc>
      </w:tr>
    </w:tbl>
    <w:p>
      <w:pPr>
        <w:spacing w:after="40"/>
      </w:pPr>
    </w:p>
    <w:p>
      <w:pPr>
        <w:spacing w:after="120"/>
      </w:pPr>
      <w:r>
        <w:rPr>
          <w:b w:val="0"/>
          <w:i w:val="0"/>
        </w:rPr>
        <w:t>(Reminder about names: in the code, `gross` means ground-up and `insured` means gross-after-deductible. The app screens use the brief's names: ground-up → gross → net.)</w:t>
      </w:r>
    </w:p>
    <w:p>
      <w:pPr>
        <w:pStyle w:val="Heading2"/>
      </w:pPr>
      <w:r>
        <w:t>Step 6 — Repeat, and write it all down</w:t>
      </w:r>
    </w:p>
    <w:p>
      <w:pPr>
        <w:spacing w:after="120"/>
      </w:pPr>
      <w:r>
        <w:rPr>
          <w:b w:val="0"/>
          <w:i w:val="0"/>
        </w:rPr>
        <w:t xml:space="preserve">Steps 1–5 are repeated for every simulated year. The result is a </w:t>
      </w:r>
      <w:r>
        <w:rPr>
          <w:b/>
          <w:i w:val="0"/>
        </w:rPr>
        <w:t>year-loss table</w:t>
      </w:r>
      <w:r>
        <w:rPr>
          <w:b w:val="0"/>
          <w:i w:val="0"/>
        </w:rPr>
        <w:t>: one row per year, with the flood size and the three losses. The notebook saves it as `outputs/year_loss_table.csv`. These are its first rows: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850"/>
            <w:shd w:val="clear" w:color="auto" w:fill="041D3B"/>
          </w:tcPr>
          <w:p>
            <w:r/>
            <w:r>
              <w:rPr>
                <w:b/>
                <w:i w:val="0"/>
                <w:color w:val="FFFFFF"/>
                <w:sz w:val="20"/>
              </w:rPr>
              <w:t>Year</w:t>
            </w:r>
          </w:p>
        </w:tc>
        <w:tc>
          <w:tcPr>
            <w:tcW w:type="dxa" w:w="1587"/>
            <w:shd w:val="clear" w:color="auto" w:fill="041D3B"/>
          </w:tcPr>
          <w:p>
            <w:r/>
            <w:r>
              <w:rPr>
                <w:b/>
                <w:i w:val="0"/>
                <w:color w:val="FFFFFF"/>
                <w:sz w:val="20"/>
              </w:rPr>
              <w:t>Flood (1-in-N)</w:t>
            </w:r>
          </w:p>
        </w:tc>
        <w:tc>
          <w:tcPr>
            <w:tcW w:type="dxa" w:w="2268"/>
            <w:shd w:val="clear" w:color="auto" w:fill="041D3B"/>
          </w:tcPr>
          <w:p>
            <w:r/>
            <w:r>
              <w:rPr>
                <w:b/>
                <w:i w:val="0"/>
                <w:color w:val="FFFFFF"/>
                <w:sz w:val="20"/>
              </w:rPr>
              <w:t>Ground-up (KES)</w:t>
            </w:r>
          </w:p>
        </w:tc>
        <w:tc>
          <w:tcPr>
            <w:tcW w:type="dxa" w:w="2268"/>
            <w:shd w:val="clear" w:color="auto" w:fill="041D3B"/>
          </w:tcPr>
          <w:p>
            <w:r/>
            <w:r>
              <w:rPr>
                <w:b/>
                <w:i w:val="0"/>
                <w:color w:val="FFFFFF"/>
                <w:sz w:val="20"/>
              </w:rPr>
              <w:t>Gross (KES)</w:t>
            </w:r>
          </w:p>
        </w:tc>
        <w:tc>
          <w:tcPr>
            <w:tcW w:type="dxa" w:w="2268"/>
            <w:shd w:val="clear" w:color="auto" w:fill="041D3B"/>
          </w:tcPr>
          <w:p>
            <w:r/>
            <w:r>
              <w:rPr>
                <w:b/>
                <w:i w:val="0"/>
                <w:color w:val="FFFFFF"/>
                <w:sz w:val="20"/>
              </w:rPr>
              <w:t>Net (KES)</w:t>
            </w:r>
          </w:p>
        </w:tc>
      </w:tr>
      <w:tr>
        <w:tc>
          <w:tcPr>
            <w:tcW w:type="dxa" w:w="850"/>
          </w:tcPr>
          <w:p>
            <w:pPr>
              <w:spacing w:after="20"/>
            </w:pPr>
            <w:r/>
            <w:r>
              <w:rPr>
                <w:b w:val="0"/>
                <w:i w:val="0"/>
                <w:sz w:val="20"/>
              </w:rPr>
              <w:t>0</w:t>
            </w:r>
          </w:p>
        </w:tc>
        <w:tc>
          <w:tcPr>
            <w:tcW w:type="dxa" w:w="1587"/>
          </w:tcPr>
          <w:p>
            <w:pPr>
              <w:spacing w:after="20"/>
            </w:pPr>
            <w:r/>
            <w:r>
              <w:rPr>
                <w:b w:val="0"/>
                <w:i w:val="0"/>
                <w:sz w:val="20"/>
              </w:rPr>
              <w:t>5.6</w:t>
            </w:r>
          </w:p>
        </w:tc>
        <w:tc>
          <w:tcPr>
            <w:tcW w:type="dxa" w:w="2268"/>
          </w:tcPr>
          <w:p>
            <w:pPr>
              <w:spacing w:after="20"/>
            </w:pPr>
            <w:r/>
            <w:r>
              <w:rPr>
                <w:b w:val="0"/>
                <w:i w:val="0"/>
                <w:sz w:val="20"/>
              </w:rPr>
              <w:t>18,006,544</w:t>
            </w:r>
          </w:p>
        </w:tc>
        <w:tc>
          <w:tcPr>
            <w:tcW w:type="dxa" w:w="2268"/>
          </w:tcPr>
          <w:p>
            <w:pPr>
              <w:spacing w:after="20"/>
            </w:pPr>
            <w:r/>
            <w:r>
              <w:rPr>
                <w:b w:val="0"/>
                <w:i w:val="0"/>
                <w:sz w:val="20"/>
              </w:rPr>
              <w:t>15,806,352</w:t>
            </w:r>
          </w:p>
        </w:tc>
        <w:tc>
          <w:tcPr>
            <w:tcW w:type="dxa" w:w="2268"/>
          </w:tcPr>
          <w:p>
            <w:pPr>
              <w:spacing w:after="20"/>
            </w:pPr>
            <w:r/>
            <w:r>
              <w:rPr>
                <w:b w:val="0"/>
                <w:i w:val="0"/>
                <w:sz w:val="20"/>
              </w:rPr>
              <w:t>15,806,352</w:t>
            </w:r>
          </w:p>
        </w:tc>
      </w:tr>
      <w:tr>
        <w:tc>
          <w:tcPr>
            <w:tcW w:type="dxa" w:w="850"/>
          </w:tcPr>
          <w:p>
            <w:pPr>
              <w:spacing w:after="20"/>
            </w:pPr>
            <w:r/>
            <w:r>
              <w:rPr>
                <w:b w:val="0"/>
                <w:i w:val="0"/>
                <w:sz w:val="20"/>
              </w:rPr>
              <w:t>1</w:t>
            </w:r>
          </w:p>
        </w:tc>
        <w:tc>
          <w:tcPr>
            <w:tcW w:type="dxa" w:w="1587"/>
          </w:tcPr>
          <w:p>
            <w:pPr>
              <w:spacing w:after="20"/>
            </w:pPr>
            <w:r/>
            <w:r>
              <w:rPr>
                <w:b w:val="0"/>
                <w:i w:val="0"/>
                <w:sz w:val="20"/>
              </w:rPr>
              <w:t>no flood</w:t>
            </w:r>
          </w:p>
        </w:tc>
        <w:tc>
          <w:tcPr>
            <w:tcW w:type="dxa" w:w="2268"/>
          </w:tcPr>
          <w:p>
            <w:pPr>
              <w:spacing w:after="20"/>
            </w:pPr>
            <w:r/>
            <w:r>
              <w:rPr>
                <w:b w:val="0"/>
                <w:i w:val="0"/>
                <w:sz w:val="20"/>
              </w:rPr>
              <w:t>0</w:t>
            </w:r>
          </w:p>
        </w:tc>
        <w:tc>
          <w:tcPr>
            <w:tcW w:type="dxa" w:w="2268"/>
          </w:tcPr>
          <w:p>
            <w:pPr>
              <w:spacing w:after="20"/>
            </w:pPr>
            <w:r/>
            <w:r>
              <w:rPr>
                <w:b w:val="0"/>
                <w:i w:val="0"/>
                <w:sz w:val="20"/>
              </w:rPr>
              <w:t>0</w:t>
            </w:r>
          </w:p>
        </w:tc>
        <w:tc>
          <w:tcPr>
            <w:tcW w:type="dxa" w:w="2268"/>
          </w:tcPr>
          <w:p>
            <w:pPr>
              <w:spacing w:after="20"/>
            </w:pPr>
            <w:r/>
            <w:r>
              <w:rPr>
                <w:b w:val="0"/>
                <w:i w:val="0"/>
                <w:sz w:val="20"/>
              </w:rPr>
              <w:t>0</w:t>
            </w:r>
          </w:p>
        </w:tc>
      </w:tr>
      <w:tr>
        <w:tc>
          <w:tcPr>
            <w:tcW w:type="dxa" w:w="850"/>
          </w:tcPr>
          <w:p>
            <w:pPr>
              <w:spacing w:after="20"/>
            </w:pPr>
            <w:r/>
            <w:r>
              <w:rPr>
                <w:b w:val="0"/>
                <w:i w:val="0"/>
                <w:sz w:val="20"/>
              </w:rPr>
              <w:t>2</w:t>
            </w:r>
          </w:p>
        </w:tc>
        <w:tc>
          <w:tcPr>
            <w:tcW w:type="dxa" w:w="1587"/>
          </w:tcPr>
          <w:p>
            <w:pPr>
              <w:spacing w:after="20"/>
            </w:pPr>
            <w:r/>
            <w:r>
              <w:rPr>
                <w:b w:val="0"/>
                <w:i w:val="0"/>
                <w:sz w:val="20"/>
              </w:rPr>
              <w:t>2.1</w:t>
            </w:r>
          </w:p>
        </w:tc>
        <w:tc>
          <w:tcPr>
            <w:tcW w:type="dxa" w:w="2268"/>
          </w:tcPr>
          <w:p>
            <w:pPr>
              <w:spacing w:after="20"/>
            </w:pPr>
            <w:r/>
            <w:r>
              <w:rPr>
                <w:b w:val="0"/>
                <w:i w:val="0"/>
                <w:sz w:val="20"/>
              </w:rPr>
              <w:t>234,837</w:t>
            </w:r>
          </w:p>
        </w:tc>
        <w:tc>
          <w:tcPr>
            <w:tcW w:type="dxa" w:w="2268"/>
          </w:tcPr>
          <w:p>
            <w:pPr>
              <w:spacing w:after="20"/>
            </w:pPr>
            <w:r/>
            <w:r>
              <w:rPr>
                <w:b w:val="0"/>
                <w:i w:val="0"/>
                <w:sz w:val="20"/>
              </w:rPr>
              <w:t>51,404</w:t>
            </w:r>
          </w:p>
        </w:tc>
        <w:tc>
          <w:tcPr>
            <w:tcW w:type="dxa" w:w="2268"/>
          </w:tcPr>
          <w:p>
            <w:pPr>
              <w:spacing w:after="20"/>
            </w:pPr>
            <w:r/>
            <w:r>
              <w:rPr>
                <w:b w:val="0"/>
                <w:i w:val="0"/>
                <w:sz w:val="20"/>
              </w:rPr>
              <w:t>51,404</w:t>
            </w:r>
          </w:p>
        </w:tc>
      </w:tr>
      <w:tr>
        <w:tc>
          <w:tcPr>
            <w:tcW w:type="dxa" w:w="850"/>
          </w:tcPr>
          <w:p>
            <w:pPr>
              <w:spacing w:after="20"/>
            </w:pPr>
            <w:r/>
            <w:r>
              <w:rPr>
                <w:b w:val="0"/>
                <w:i w:val="0"/>
                <w:sz w:val="20"/>
              </w:rPr>
              <w:t>3</w:t>
            </w:r>
          </w:p>
        </w:tc>
        <w:tc>
          <w:tcPr>
            <w:tcW w:type="dxa" w:w="1587"/>
          </w:tcPr>
          <w:p>
            <w:pPr>
              <w:spacing w:after="20"/>
            </w:pPr>
            <w:r/>
            <w:r>
              <w:rPr>
                <w:b w:val="0"/>
                <w:i w:val="0"/>
                <w:sz w:val="20"/>
              </w:rPr>
              <w:t>2.7</w:t>
            </w:r>
          </w:p>
        </w:tc>
        <w:tc>
          <w:tcPr>
            <w:tcW w:type="dxa" w:w="2268"/>
          </w:tcPr>
          <w:p>
            <w:pPr>
              <w:spacing w:after="20"/>
            </w:pPr>
            <w:r/>
            <w:r>
              <w:rPr>
                <w:b w:val="0"/>
                <w:i w:val="0"/>
                <w:sz w:val="20"/>
              </w:rPr>
              <w:t>1,167,112</w:t>
            </w:r>
          </w:p>
        </w:tc>
        <w:tc>
          <w:tcPr>
            <w:tcW w:type="dxa" w:w="2268"/>
          </w:tcPr>
          <w:p>
            <w:pPr>
              <w:spacing w:after="20"/>
            </w:pPr>
            <w:r/>
            <w:r>
              <w:rPr>
                <w:b w:val="0"/>
                <w:i w:val="0"/>
                <w:sz w:val="20"/>
              </w:rPr>
              <w:t>722,468</w:t>
            </w:r>
          </w:p>
        </w:tc>
        <w:tc>
          <w:tcPr>
            <w:tcW w:type="dxa" w:w="2268"/>
          </w:tcPr>
          <w:p>
            <w:pPr>
              <w:spacing w:after="20"/>
            </w:pPr>
            <w:r/>
            <w:r>
              <w:rPr>
                <w:b w:val="0"/>
                <w:i w:val="0"/>
                <w:sz w:val="20"/>
              </w:rPr>
              <w:t>722,468</w:t>
            </w:r>
          </w:p>
        </w:tc>
      </w:tr>
      <w:tr>
        <w:tc>
          <w:tcPr>
            <w:tcW w:type="dxa" w:w="850"/>
          </w:tcPr>
          <w:p>
            <w:pPr>
              <w:spacing w:after="20"/>
            </w:pPr>
            <w:r/>
            <w:r>
              <w:rPr>
                <w:b w:val="0"/>
                <w:i w:val="0"/>
                <w:sz w:val="20"/>
              </w:rPr>
              <w:t>4</w:t>
            </w:r>
          </w:p>
        </w:tc>
        <w:tc>
          <w:tcPr>
            <w:tcW w:type="dxa" w:w="1587"/>
          </w:tcPr>
          <w:p>
            <w:pPr>
              <w:spacing w:after="20"/>
            </w:pPr>
            <w:r/>
            <w:r>
              <w:rPr>
                <w:b w:val="0"/>
                <w:i w:val="0"/>
                <w:sz w:val="20"/>
              </w:rPr>
              <w:t>2.8</w:t>
            </w:r>
          </w:p>
        </w:tc>
        <w:tc>
          <w:tcPr>
            <w:tcW w:type="dxa" w:w="2268"/>
          </w:tcPr>
          <w:p>
            <w:pPr>
              <w:spacing w:after="20"/>
            </w:pPr>
            <w:r/>
            <w:r>
              <w:rPr>
                <w:b w:val="0"/>
                <w:i w:val="0"/>
                <w:sz w:val="20"/>
              </w:rPr>
              <w:t>5,506,138</w:t>
            </w:r>
          </w:p>
        </w:tc>
        <w:tc>
          <w:tcPr>
            <w:tcW w:type="dxa" w:w="2268"/>
          </w:tcPr>
          <w:p>
            <w:pPr>
              <w:spacing w:after="20"/>
            </w:pPr>
            <w:r/>
            <w:r>
              <w:rPr>
                <w:b w:val="0"/>
                <w:i w:val="0"/>
                <w:sz w:val="20"/>
              </w:rPr>
              <w:t>4,333,107</w:t>
            </w:r>
          </w:p>
        </w:tc>
        <w:tc>
          <w:tcPr>
            <w:tcW w:type="dxa" w:w="2268"/>
          </w:tcPr>
          <w:p>
            <w:pPr>
              <w:spacing w:after="20"/>
            </w:pPr>
            <w:r/>
            <w:r>
              <w:rPr>
                <w:b w:val="0"/>
                <w:i w:val="0"/>
                <w:sz w:val="20"/>
              </w:rPr>
              <w:t>4,333,107</w:t>
            </w:r>
          </w:p>
        </w:tc>
      </w:tr>
      <w:tr>
        <w:tc>
          <w:tcPr>
            <w:tcW w:type="dxa" w:w="850"/>
          </w:tcPr>
          <w:p>
            <w:pPr>
              <w:spacing w:after="20"/>
            </w:pPr>
            <w:r/>
            <w:r>
              <w:rPr>
                <w:b w:val="0"/>
                <w:i w:val="0"/>
                <w:sz w:val="20"/>
              </w:rPr>
              <w:t>5</w:t>
            </w:r>
          </w:p>
        </w:tc>
        <w:tc>
          <w:tcPr>
            <w:tcW w:type="dxa" w:w="1587"/>
          </w:tcPr>
          <w:p>
            <w:pPr>
              <w:spacing w:after="20"/>
            </w:pPr>
            <w:r/>
            <w:r>
              <w:rPr>
                <w:b w:val="0"/>
                <w:i w:val="0"/>
                <w:sz w:val="20"/>
              </w:rPr>
              <w:t>no flood</w:t>
            </w:r>
          </w:p>
        </w:tc>
        <w:tc>
          <w:tcPr>
            <w:tcW w:type="dxa" w:w="2268"/>
          </w:tcPr>
          <w:p>
            <w:pPr>
              <w:spacing w:after="20"/>
            </w:pPr>
            <w:r/>
            <w:r>
              <w:rPr>
                <w:b w:val="0"/>
                <w:i w:val="0"/>
                <w:sz w:val="20"/>
              </w:rPr>
              <w:t>0</w:t>
            </w:r>
          </w:p>
        </w:tc>
        <w:tc>
          <w:tcPr>
            <w:tcW w:type="dxa" w:w="2268"/>
          </w:tcPr>
          <w:p>
            <w:pPr>
              <w:spacing w:after="20"/>
            </w:pPr>
            <w:r/>
            <w:r>
              <w:rPr>
                <w:b w:val="0"/>
                <w:i w:val="0"/>
                <w:sz w:val="20"/>
              </w:rPr>
              <w:t>0</w:t>
            </w:r>
          </w:p>
        </w:tc>
        <w:tc>
          <w:tcPr>
            <w:tcW w:type="dxa" w:w="2268"/>
          </w:tcPr>
          <w:p>
            <w:pPr>
              <w:spacing w:after="20"/>
            </w:pPr>
            <w:r/>
            <w:r>
              <w:rPr>
                <w:b w:val="0"/>
                <w:i w:val="0"/>
                <w:sz w:val="20"/>
              </w:rPr>
              <w:t>0</w:t>
            </w:r>
          </w:p>
        </w:tc>
      </w:tr>
      <w:tr>
        <w:tc>
          <w:tcPr>
            <w:tcW w:type="dxa" w:w="850"/>
          </w:tcPr>
          <w:p>
            <w:pPr>
              <w:spacing w:after="20"/>
            </w:pPr>
            <w:r/>
            <w:r>
              <w:rPr>
                <w:b w:val="0"/>
                <w:i w:val="0"/>
                <w:sz w:val="20"/>
              </w:rPr>
              <w:t>6</w:t>
            </w:r>
          </w:p>
        </w:tc>
        <w:tc>
          <w:tcPr>
            <w:tcW w:type="dxa" w:w="1587"/>
          </w:tcPr>
          <w:p>
            <w:pPr>
              <w:spacing w:after="20"/>
            </w:pPr>
            <w:r/>
            <w:r>
              <w:rPr>
                <w:b w:val="0"/>
                <w:i w:val="0"/>
                <w:sz w:val="20"/>
              </w:rPr>
              <w:t>no flood</w:t>
            </w:r>
          </w:p>
        </w:tc>
        <w:tc>
          <w:tcPr>
            <w:tcW w:type="dxa" w:w="2268"/>
          </w:tcPr>
          <w:p>
            <w:pPr>
              <w:spacing w:after="20"/>
            </w:pPr>
            <w:r/>
            <w:r>
              <w:rPr>
                <w:b w:val="0"/>
                <w:i w:val="0"/>
                <w:sz w:val="20"/>
              </w:rPr>
              <w:t>0</w:t>
            </w:r>
          </w:p>
        </w:tc>
        <w:tc>
          <w:tcPr>
            <w:tcW w:type="dxa" w:w="2268"/>
          </w:tcPr>
          <w:p>
            <w:pPr>
              <w:spacing w:after="20"/>
            </w:pPr>
            <w:r/>
            <w:r>
              <w:rPr>
                <w:b w:val="0"/>
                <w:i w:val="0"/>
                <w:sz w:val="20"/>
              </w:rPr>
              <w:t>0</w:t>
            </w:r>
          </w:p>
        </w:tc>
        <w:tc>
          <w:tcPr>
            <w:tcW w:type="dxa" w:w="2268"/>
          </w:tcPr>
          <w:p>
            <w:pPr>
              <w:spacing w:after="20"/>
            </w:pPr>
            <w:r/>
            <w:r>
              <w:rPr>
                <w:b w:val="0"/>
                <w:i w:val="0"/>
                <w:sz w:val="20"/>
              </w:rPr>
              <w:t>0</w:t>
            </w:r>
          </w:p>
        </w:tc>
      </w:tr>
      <w:tr>
        <w:tc>
          <w:tcPr>
            <w:tcW w:type="dxa" w:w="850"/>
          </w:tcPr>
          <w:p>
            <w:pPr>
              <w:spacing w:after="20"/>
            </w:pPr>
            <w:r/>
            <w:r>
              <w:rPr>
                <w:b w:val="0"/>
                <w:i w:val="0"/>
                <w:sz w:val="20"/>
              </w:rPr>
              <w:t>7</w:t>
            </w:r>
          </w:p>
        </w:tc>
        <w:tc>
          <w:tcPr>
            <w:tcW w:type="dxa" w:w="1587"/>
          </w:tcPr>
          <w:p>
            <w:pPr>
              <w:spacing w:after="20"/>
            </w:pPr>
            <w:r/>
            <w:r>
              <w:rPr>
                <w:b w:val="0"/>
                <w:i w:val="0"/>
                <w:sz w:val="20"/>
              </w:rPr>
              <w:t>5.6</w:t>
            </w:r>
          </w:p>
        </w:tc>
        <w:tc>
          <w:tcPr>
            <w:tcW w:type="dxa" w:w="2268"/>
          </w:tcPr>
          <w:p>
            <w:pPr>
              <w:spacing w:after="20"/>
            </w:pPr>
            <w:r/>
            <w:r>
              <w:rPr>
                <w:b w:val="0"/>
                <w:i w:val="0"/>
                <w:sz w:val="20"/>
              </w:rPr>
              <w:t>9,887,979</w:t>
            </w:r>
          </w:p>
        </w:tc>
        <w:tc>
          <w:tcPr>
            <w:tcW w:type="dxa" w:w="2268"/>
          </w:tcPr>
          <w:p>
            <w:pPr>
              <w:spacing w:after="20"/>
            </w:pPr>
            <w:r/>
            <w:r>
              <w:rPr>
                <w:b w:val="0"/>
                <w:i w:val="0"/>
                <w:sz w:val="20"/>
              </w:rPr>
              <w:t>8,125,153</w:t>
            </w:r>
          </w:p>
        </w:tc>
        <w:tc>
          <w:tcPr>
            <w:tcW w:type="dxa" w:w="2268"/>
          </w:tcPr>
          <w:p>
            <w:pPr>
              <w:spacing w:after="20"/>
            </w:pPr>
            <w:r/>
            <w:r>
              <w:rPr>
                <w:b w:val="0"/>
                <w:i w:val="0"/>
                <w:sz w:val="20"/>
              </w:rPr>
              <w:t>8,125,153</w:t>
            </w:r>
          </w:p>
        </w:tc>
      </w:tr>
      <w:tr>
        <w:tc>
          <w:tcPr>
            <w:tcW w:type="dxa" w:w="850"/>
          </w:tcPr>
          <w:p>
            <w:pPr>
              <w:spacing w:after="20"/>
            </w:pPr>
            <w:r/>
            <w:r>
              <w:rPr>
                <w:b w:val="0"/>
                <w:i w:val="0"/>
                <w:sz w:val="20"/>
              </w:rPr>
              <w:t>8</w:t>
            </w:r>
          </w:p>
        </w:tc>
        <w:tc>
          <w:tcPr>
            <w:tcW w:type="dxa" w:w="1587"/>
          </w:tcPr>
          <w:p>
            <w:pPr>
              <w:spacing w:after="20"/>
            </w:pPr>
            <w:r/>
            <w:r>
              <w:rPr>
                <w:b w:val="0"/>
                <w:i w:val="0"/>
                <w:sz w:val="20"/>
              </w:rPr>
              <w:t>no flood</w:t>
            </w:r>
          </w:p>
        </w:tc>
        <w:tc>
          <w:tcPr>
            <w:tcW w:type="dxa" w:w="2268"/>
          </w:tcPr>
          <w:p>
            <w:pPr>
              <w:spacing w:after="20"/>
            </w:pPr>
            <w:r/>
            <w:r>
              <w:rPr>
                <w:b w:val="0"/>
                <w:i w:val="0"/>
                <w:sz w:val="20"/>
              </w:rPr>
              <w:t>0</w:t>
            </w:r>
          </w:p>
        </w:tc>
        <w:tc>
          <w:tcPr>
            <w:tcW w:type="dxa" w:w="2268"/>
          </w:tcPr>
          <w:p>
            <w:pPr>
              <w:spacing w:after="20"/>
            </w:pPr>
            <w:r/>
            <w:r>
              <w:rPr>
                <w:b w:val="0"/>
                <w:i w:val="0"/>
                <w:sz w:val="20"/>
              </w:rPr>
              <w:t>0</w:t>
            </w:r>
          </w:p>
        </w:tc>
        <w:tc>
          <w:tcPr>
            <w:tcW w:type="dxa" w:w="2268"/>
          </w:tcPr>
          <w:p>
            <w:pPr>
              <w:spacing w:after="20"/>
            </w:pPr>
            <w:r/>
            <w:r>
              <w:rPr>
                <w:b w:val="0"/>
                <w:i w:val="0"/>
                <w:sz w:val="20"/>
              </w:rPr>
              <w:t>0</w:t>
            </w:r>
          </w:p>
        </w:tc>
      </w:tr>
      <w:tr>
        <w:tc>
          <w:tcPr>
            <w:tcW w:type="dxa" w:w="850"/>
          </w:tcPr>
          <w:p>
            <w:pPr>
              <w:spacing w:after="20"/>
            </w:pPr>
            <w:r/>
            <w:r>
              <w:rPr>
                <w:b w:val="0"/>
                <w:i w:val="0"/>
                <w:sz w:val="20"/>
              </w:rPr>
              <w:t>9</w:t>
            </w:r>
          </w:p>
        </w:tc>
        <w:tc>
          <w:tcPr>
            <w:tcW w:type="dxa" w:w="1587"/>
          </w:tcPr>
          <w:p>
            <w:pPr>
              <w:spacing w:after="20"/>
            </w:pPr>
            <w:r/>
            <w:r>
              <w:rPr>
                <w:b w:val="0"/>
                <w:i w:val="0"/>
                <w:sz w:val="20"/>
              </w:rPr>
              <w:t>3.4</w:t>
            </w:r>
          </w:p>
        </w:tc>
        <w:tc>
          <w:tcPr>
            <w:tcW w:type="dxa" w:w="2268"/>
          </w:tcPr>
          <w:p>
            <w:pPr>
              <w:spacing w:after="20"/>
            </w:pPr>
            <w:r/>
            <w:r>
              <w:rPr>
                <w:b w:val="0"/>
                <w:i w:val="0"/>
                <w:sz w:val="20"/>
              </w:rPr>
              <w:t>2,829,070</w:t>
            </w:r>
          </w:p>
        </w:tc>
        <w:tc>
          <w:tcPr>
            <w:tcW w:type="dxa" w:w="2268"/>
          </w:tcPr>
          <w:p>
            <w:pPr>
              <w:spacing w:after="20"/>
            </w:pPr>
            <w:r/>
            <w:r>
              <w:rPr>
                <w:b w:val="0"/>
                <w:i w:val="0"/>
                <w:sz w:val="20"/>
              </w:rPr>
              <w:t>2,273,495</w:t>
            </w:r>
          </w:p>
        </w:tc>
        <w:tc>
          <w:tcPr>
            <w:tcW w:type="dxa" w:w="2268"/>
          </w:tcPr>
          <w:p>
            <w:pPr>
              <w:spacing w:after="20"/>
            </w:pPr>
            <w:r/>
            <w:r>
              <w:rPr>
                <w:b w:val="0"/>
                <w:i w:val="0"/>
                <w:sz w:val="20"/>
              </w:rPr>
              <w:t>2,273,495</w:t>
            </w:r>
          </w:p>
        </w:tc>
      </w:tr>
    </w:tbl>
    <w:p>
      <w:pPr>
        <w:spacing w:after="40"/>
      </w:pPr>
    </w:p>
    <w:p>
      <w:pPr>
        <w:spacing w:after="120"/>
      </w:pPr>
      <w:r>
        <w:rPr>
          <w:b w:val="0"/>
          <w:i w:val="0"/>
        </w:rPr>
        <w:t>Across all 50,000 years: 50.3 % had a damaging flood (expected: 50 %); the worst single year cost KES 64.4 M ground-up (a roughly 1-in-3,000-year flood with bad damage luck); and in 194 years (0.39 %) the gross loss exceeded KES 40 M, the top of the Cat XL, so the insurer's net went above KES 20 M.</w:t>
      </w:r>
    </w:p>
    <w:p>
      <w:pPr>
        <w:pStyle w:val="Heading1"/>
      </w:pPr>
      <w:r>
        <w:t>Part 4 — Reading the results</w:t>
      </w:r>
    </w:p>
    <w:p>
      <w:pPr>
        <w:pStyle w:val="Heading2"/>
      </w:pPr>
      <w:r>
        <w:t>4.1 The return-period losses (OEP)</w:t>
      </w:r>
    </w:p>
    <w:p>
      <w:pPr>
        <w:spacing w:after="120"/>
      </w:pPr>
      <w:r>
        <w:rPr>
          <w:b/>
          <w:i w:val="0"/>
        </w:rPr>
        <w:t>In plain words.</w:t>
      </w:r>
      <w:r>
        <w:rPr>
          <w:b w:val="0"/>
          <w:i w:val="0"/>
        </w:rPr>
        <w:t xml:space="preserve"> Line up all 50,000 years from the most expensive to the cheapest. The 1-in-100-year loss is the loss you reach after counting off the worst 1 % of years — the </w:t>
      </w:r>
      <w:r>
        <w:rPr>
          <w:b/>
          <w:i w:val="0"/>
        </w:rPr>
        <w:t>500th worst</w:t>
      </w:r>
      <w:r>
        <w:rPr>
          <w:b w:val="0"/>
          <w:i w:val="0"/>
        </w:rPr>
        <w:t xml:space="preserve"> year. The 1-in-200 is the 250th worst, the 1-in-10 is the 5,000th worst. This curve is called the </w:t>
      </w:r>
      <w:r>
        <w:rPr>
          <w:b/>
          <w:i w:val="0"/>
        </w:rPr>
        <w:t>OEP curve</w:t>
      </w:r>
      <w:r>
        <w:rPr>
          <w:b w:val="0"/>
          <w:i w:val="0"/>
        </w:rPr>
        <w:t xml:space="preserve"> (occurrence exceedance probability: the chance that the year's flood loss is at least this big).</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sorted losses L (worst first);  loss at return period r = L[ n / r ]   e.g. n = 50,000, r = 100 → the 500th worst year</w:t>
            </w:r>
          </w:p>
        </w:tc>
      </w:tr>
    </w:tbl>
    <w:p>
      <w:pPr>
        <w:spacing w:after="40"/>
      </w:pP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417"/>
            <w:shd w:val="clear" w:color="auto" w:fill="041D3B"/>
          </w:tcPr>
          <w:p>
            <w:r/>
            <w:r>
              <w:rPr>
                <w:b/>
                <w:i w:val="0"/>
                <w:color w:val="FFFFFF"/>
                <w:sz w:val="20"/>
              </w:rPr>
              <w:t>Return period</w:t>
            </w:r>
          </w:p>
        </w:tc>
        <w:tc>
          <w:tcPr>
            <w:tcW w:type="dxa" w:w="1814"/>
            <w:shd w:val="clear" w:color="auto" w:fill="041D3B"/>
          </w:tcPr>
          <w:p>
            <w:r/>
            <w:r>
              <w:rPr>
                <w:b/>
                <w:i w:val="0"/>
                <w:color w:val="FFFFFF"/>
                <w:sz w:val="20"/>
              </w:rPr>
              <w:t>Rank in 50,000 years</w:t>
            </w:r>
          </w:p>
        </w:tc>
        <w:tc>
          <w:tcPr>
            <w:tcW w:type="dxa" w:w="1984"/>
            <w:shd w:val="clear" w:color="auto" w:fill="041D3B"/>
          </w:tcPr>
          <w:p>
            <w:r/>
            <w:r>
              <w:rPr>
                <w:b/>
                <w:i w:val="0"/>
                <w:color w:val="FFFFFF"/>
                <w:sz w:val="20"/>
              </w:rPr>
              <w:t>Monte Carlo ground-up</w:t>
            </w:r>
          </w:p>
        </w:tc>
        <w:tc>
          <w:tcPr>
            <w:tcW w:type="dxa" w:w="2381"/>
            <w:shd w:val="clear" w:color="auto" w:fill="041D3B"/>
          </w:tcPr>
          <w:p>
            <w:r/>
            <w:r>
              <w:rPr>
                <w:b/>
                <w:i w:val="0"/>
                <w:color w:val="FFFFFF"/>
                <w:sz w:val="20"/>
              </w:rPr>
              <w:t>Average-damage (deterministic)</w:t>
            </w:r>
          </w:p>
        </w:tc>
        <w:tc>
          <w:tcPr>
            <w:tcW w:type="dxa" w:w="1474"/>
            <w:shd w:val="clear" w:color="auto" w:fill="041D3B"/>
          </w:tcPr>
          <w:p>
            <w:r/>
            <w:r>
              <w:rPr>
                <w:b/>
                <w:i w:val="0"/>
                <w:color w:val="FFFFFF"/>
                <w:sz w:val="20"/>
              </w:rPr>
              <w:t>Difference</w:t>
            </w:r>
          </w:p>
        </w:tc>
      </w:tr>
      <w:tr>
        <w:tc>
          <w:tcPr>
            <w:tcW w:type="dxa" w:w="1417"/>
          </w:tcPr>
          <w:p>
            <w:pPr>
              <w:spacing w:after="20"/>
            </w:pPr>
            <w:r/>
            <w:r>
              <w:rPr>
                <w:b w:val="0"/>
                <w:i w:val="0"/>
                <w:sz w:val="20"/>
              </w:rPr>
              <w:t>1-in-10</w:t>
            </w:r>
          </w:p>
        </w:tc>
        <w:tc>
          <w:tcPr>
            <w:tcW w:type="dxa" w:w="1814"/>
          </w:tcPr>
          <w:p>
            <w:pPr>
              <w:spacing w:after="20"/>
            </w:pPr>
            <w:r/>
            <w:r>
              <w:rPr>
                <w:b w:val="0"/>
                <w:i w:val="0"/>
                <w:sz w:val="20"/>
              </w:rPr>
              <w:t>5,000th worst</w:t>
            </w:r>
          </w:p>
        </w:tc>
        <w:tc>
          <w:tcPr>
            <w:tcW w:type="dxa" w:w="1984"/>
          </w:tcPr>
          <w:p>
            <w:pPr>
              <w:spacing w:after="20"/>
            </w:pPr>
            <w:r/>
            <w:r>
              <w:rPr>
                <w:b w:val="0"/>
                <w:i w:val="0"/>
                <w:sz w:val="20"/>
              </w:rPr>
              <w:t>KES 21.4 M</w:t>
            </w:r>
          </w:p>
        </w:tc>
        <w:tc>
          <w:tcPr>
            <w:tcW w:type="dxa" w:w="2381"/>
          </w:tcPr>
          <w:p>
            <w:pPr>
              <w:spacing w:after="20"/>
            </w:pPr>
            <w:r/>
            <w:r>
              <w:rPr>
                <w:b w:val="0"/>
                <w:i w:val="0"/>
                <w:sz w:val="20"/>
              </w:rPr>
              <w:t>KES 24.2 M</w:t>
            </w:r>
          </w:p>
        </w:tc>
        <w:tc>
          <w:tcPr>
            <w:tcW w:type="dxa" w:w="1474"/>
          </w:tcPr>
          <w:p>
            <w:pPr>
              <w:spacing w:after="20"/>
            </w:pPr>
            <w:r/>
            <w:r>
              <w:rPr>
                <w:b w:val="0"/>
                <w:i w:val="0"/>
                <w:sz w:val="20"/>
              </w:rPr>
              <w:t>−11 %</w:t>
            </w:r>
          </w:p>
        </w:tc>
      </w:tr>
      <w:tr>
        <w:tc>
          <w:tcPr>
            <w:tcW w:type="dxa" w:w="1417"/>
          </w:tcPr>
          <w:p>
            <w:pPr>
              <w:spacing w:after="20"/>
            </w:pPr>
            <w:r/>
            <w:r>
              <w:rPr>
                <w:b w:val="0"/>
                <w:i w:val="0"/>
                <w:sz w:val="20"/>
              </w:rPr>
              <w:t>1-in-20</w:t>
            </w:r>
          </w:p>
        </w:tc>
        <w:tc>
          <w:tcPr>
            <w:tcW w:type="dxa" w:w="1814"/>
          </w:tcPr>
          <w:p>
            <w:pPr>
              <w:spacing w:after="20"/>
            </w:pPr>
            <w:r/>
            <w:r>
              <w:rPr>
                <w:b w:val="0"/>
                <w:i w:val="0"/>
                <w:sz w:val="20"/>
              </w:rPr>
              <w:t>2,500th worst</w:t>
            </w:r>
          </w:p>
        </w:tc>
        <w:tc>
          <w:tcPr>
            <w:tcW w:type="dxa" w:w="1984"/>
          </w:tcPr>
          <w:p>
            <w:pPr>
              <w:spacing w:after="20"/>
            </w:pPr>
            <w:r/>
            <w:r>
              <w:rPr>
                <w:b w:val="0"/>
                <w:i w:val="0"/>
                <w:sz w:val="20"/>
              </w:rPr>
              <w:t>KES 28.3 M</w:t>
            </w:r>
          </w:p>
        </w:tc>
        <w:tc>
          <w:tcPr>
            <w:tcW w:type="dxa" w:w="2381"/>
          </w:tcPr>
          <w:p>
            <w:pPr>
              <w:spacing w:after="20"/>
            </w:pPr>
            <w:r/>
            <w:r>
              <w:rPr>
                <w:b w:val="0"/>
                <w:i w:val="0"/>
                <w:sz w:val="20"/>
              </w:rPr>
              <w:t>KES 26.7 M</w:t>
            </w:r>
          </w:p>
        </w:tc>
        <w:tc>
          <w:tcPr>
            <w:tcW w:type="dxa" w:w="1474"/>
          </w:tcPr>
          <w:p>
            <w:pPr>
              <w:spacing w:after="20"/>
            </w:pPr>
            <w:r/>
            <w:r>
              <w:rPr>
                <w:b w:val="0"/>
                <w:i w:val="0"/>
                <w:sz w:val="20"/>
              </w:rPr>
              <w:t>+6 %</w:t>
            </w:r>
          </w:p>
        </w:tc>
      </w:tr>
      <w:tr>
        <w:tc>
          <w:tcPr>
            <w:tcW w:type="dxa" w:w="1417"/>
          </w:tcPr>
          <w:p>
            <w:pPr>
              <w:spacing w:after="20"/>
            </w:pPr>
            <w:r/>
            <w:r>
              <w:rPr>
                <w:b w:val="0"/>
                <w:i w:val="0"/>
                <w:sz w:val="20"/>
              </w:rPr>
              <w:t>1-in-50</w:t>
            </w:r>
          </w:p>
        </w:tc>
        <w:tc>
          <w:tcPr>
            <w:tcW w:type="dxa" w:w="1814"/>
          </w:tcPr>
          <w:p>
            <w:pPr>
              <w:spacing w:after="20"/>
            </w:pPr>
            <w:r/>
            <w:r>
              <w:rPr>
                <w:b w:val="0"/>
                <w:i w:val="0"/>
                <w:sz w:val="20"/>
              </w:rPr>
              <w:t>1,000th worst</w:t>
            </w:r>
          </w:p>
        </w:tc>
        <w:tc>
          <w:tcPr>
            <w:tcW w:type="dxa" w:w="1984"/>
          </w:tcPr>
          <w:p>
            <w:pPr>
              <w:spacing w:after="20"/>
            </w:pPr>
            <w:r/>
            <w:r>
              <w:rPr>
                <w:b w:val="0"/>
                <w:i w:val="0"/>
                <w:sz w:val="20"/>
              </w:rPr>
              <w:t>KES 34.6 M</w:t>
            </w:r>
          </w:p>
        </w:tc>
        <w:tc>
          <w:tcPr>
            <w:tcW w:type="dxa" w:w="2381"/>
          </w:tcPr>
          <w:p>
            <w:pPr>
              <w:spacing w:after="20"/>
            </w:pPr>
            <w:r/>
            <w:r>
              <w:rPr>
                <w:b w:val="0"/>
                <w:i w:val="0"/>
                <w:sz w:val="20"/>
              </w:rPr>
              <w:t>KES 29.9 M</w:t>
            </w:r>
          </w:p>
        </w:tc>
        <w:tc>
          <w:tcPr>
            <w:tcW w:type="dxa" w:w="1474"/>
          </w:tcPr>
          <w:p>
            <w:pPr>
              <w:spacing w:after="20"/>
            </w:pPr>
            <w:r/>
            <w:r>
              <w:rPr>
                <w:b w:val="0"/>
                <w:i w:val="0"/>
                <w:sz w:val="20"/>
              </w:rPr>
              <w:t>+16 %</w:t>
            </w:r>
          </w:p>
        </w:tc>
      </w:tr>
      <w:tr>
        <w:tc>
          <w:tcPr>
            <w:tcW w:type="dxa" w:w="1417"/>
          </w:tcPr>
          <w:p>
            <w:pPr>
              <w:spacing w:after="20"/>
            </w:pPr>
            <w:r/>
            <w:r>
              <w:rPr>
                <w:b w:val="0"/>
                <w:i w:val="0"/>
                <w:sz w:val="20"/>
              </w:rPr>
              <w:t>1-in-100</w:t>
            </w:r>
          </w:p>
        </w:tc>
        <w:tc>
          <w:tcPr>
            <w:tcW w:type="dxa" w:w="1814"/>
          </w:tcPr>
          <w:p>
            <w:pPr>
              <w:spacing w:after="20"/>
            </w:pPr>
            <w:r/>
            <w:r>
              <w:rPr>
                <w:b w:val="0"/>
                <w:i w:val="0"/>
                <w:sz w:val="20"/>
              </w:rPr>
              <w:t>500th worst</w:t>
            </w:r>
          </w:p>
        </w:tc>
        <w:tc>
          <w:tcPr>
            <w:tcW w:type="dxa" w:w="1984"/>
          </w:tcPr>
          <w:p>
            <w:pPr>
              <w:spacing w:after="20"/>
            </w:pPr>
            <w:r/>
            <w:r>
              <w:rPr>
                <w:b w:val="0"/>
                <w:i w:val="0"/>
                <w:sz w:val="20"/>
              </w:rPr>
              <w:t>KES 38.7 M</w:t>
            </w:r>
          </w:p>
        </w:tc>
        <w:tc>
          <w:tcPr>
            <w:tcW w:type="dxa" w:w="2381"/>
          </w:tcPr>
          <w:p>
            <w:pPr>
              <w:spacing w:after="20"/>
            </w:pPr>
            <w:r/>
            <w:r>
              <w:rPr>
                <w:b w:val="0"/>
                <w:i w:val="0"/>
                <w:sz w:val="20"/>
              </w:rPr>
              <w:t>KES 32.2 M</w:t>
            </w:r>
          </w:p>
        </w:tc>
        <w:tc>
          <w:tcPr>
            <w:tcW w:type="dxa" w:w="1474"/>
          </w:tcPr>
          <w:p>
            <w:pPr>
              <w:spacing w:after="20"/>
            </w:pPr>
            <w:r/>
            <w:r>
              <w:rPr>
                <w:b w:val="0"/>
                <w:i w:val="0"/>
                <w:sz w:val="20"/>
              </w:rPr>
              <w:t>+20 %</w:t>
            </w:r>
          </w:p>
        </w:tc>
      </w:tr>
      <w:tr>
        <w:tc>
          <w:tcPr>
            <w:tcW w:type="dxa" w:w="1417"/>
          </w:tcPr>
          <w:p>
            <w:pPr>
              <w:spacing w:after="20"/>
            </w:pPr>
            <w:r/>
            <w:r>
              <w:rPr>
                <w:b w:val="0"/>
                <w:i w:val="0"/>
                <w:sz w:val="20"/>
              </w:rPr>
              <w:t>1-in-200</w:t>
            </w:r>
          </w:p>
        </w:tc>
        <w:tc>
          <w:tcPr>
            <w:tcW w:type="dxa" w:w="1814"/>
          </w:tcPr>
          <w:p>
            <w:pPr>
              <w:spacing w:after="20"/>
            </w:pPr>
            <w:r/>
            <w:r>
              <w:rPr>
                <w:b w:val="0"/>
                <w:i w:val="0"/>
                <w:sz w:val="20"/>
              </w:rPr>
              <w:t>250th worst</w:t>
            </w:r>
          </w:p>
        </w:tc>
        <w:tc>
          <w:tcPr>
            <w:tcW w:type="dxa" w:w="1984"/>
          </w:tcPr>
          <w:p>
            <w:pPr>
              <w:spacing w:after="20"/>
            </w:pPr>
            <w:r/>
            <w:r>
              <w:rPr>
                <w:b w:val="0"/>
                <w:i w:val="0"/>
                <w:sz w:val="20"/>
              </w:rPr>
              <w:t>KES 42.5 M</w:t>
            </w:r>
          </w:p>
        </w:tc>
        <w:tc>
          <w:tcPr>
            <w:tcW w:type="dxa" w:w="2381"/>
          </w:tcPr>
          <w:p>
            <w:pPr>
              <w:spacing w:after="20"/>
            </w:pPr>
            <w:r/>
            <w:r>
              <w:rPr>
                <w:b w:val="0"/>
                <w:i w:val="0"/>
                <w:sz w:val="20"/>
              </w:rPr>
              <w:t>KES 34.3 M</w:t>
            </w:r>
          </w:p>
        </w:tc>
        <w:tc>
          <w:tcPr>
            <w:tcW w:type="dxa" w:w="1474"/>
          </w:tcPr>
          <w:p>
            <w:pPr>
              <w:spacing w:after="20"/>
            </w:pPr>
            <w:r/>
            <w:r>
              <w:rPr>
                <w:b w:val="0"/>
                <w:i w:val="0"/>
                <w:sz w:val="20"/>
              </w:rPr>
              <w:t>+24 %</w:t>
            </w:r>
          </w:p>
        </w:tc>
      </w:tr>
      <w:tr>
        <w:tc>
          <w:tcPr>
            <w:tcW w:type="dxa" w:w="1417"/>
          </w:tcPr>
          <w:p>
            <w:pPr>
              <w:spacing w:after="20"/>
            </w:pPr>
            <w:r/>
            <w:r>
              <w:rPr>
                <w:b w:val="0"/>
                <w:i w:val="0"/>
                <w:sz w:val="20"/>
              </w:rPr>
              <w:t>1-in-250</w:t>
            </w:r>
          </w:p>
        </w:tc>
        <w:tc>
          <w:tcPr>
            <w:tcW w:type="dxa" w:w="1814"/>
          </w:tcPr>
          <w:p>
            <w:pPr>
              <w:spacing w:after="20"/>
            </w:pPr>
            <w:r/>
            <w:r>
              <w:rPr>
                <w:b w:val="0"/>
                <w:i w:val="0"/>
                <w:sz w:val="20"/>
              </w:rPr>
              <w:t>200th worst</w:t>
            </w:r>
          </w:p>
        </w:tc>
        <w:tc>
          <w:tcPr>
            <w:tcW w:type="dxa" w:w="1984"/>
          </w:tcPr>
          <w:p>
            <w:pPr>
              <w:spacing w:after="20"/>
            </w:pPr>
            <w:r/>
            <w:r>
              <w:rPr>
                <w:b w:val="0"/>
                <w:i w:val="0"/>
                <w:sz w:val="20"/>
              </w:rPr>
              <w:t>KES 43.2 M</w:t>
            </w:r>
          </w:p>
        </w:tc>
        <w:tc>
          <w:tcPr>
            <w:tcW w:type="dxa" w:w="2381"/>
          </w:tcPr>
          <w:p>
            <w:pPr>
              <w:spacing w:after="20"/>
            </w:pPr>
            <w:r/>
            <w:r>
              <w:rPr>
                <w:b w:val="0"/>
                <w:i w:val="0"/>
                <w:sz w:val="20"/>
              </w:rPr>
              <w:t>KES 35.0 M</w:t>
            </w:r>
          </w:p>
        </w:tc>
        <w:tc>
          <w:tcPr>
            <w:tcW w:type="dxa" w:w="1474"/>
          </w:tcPr>
          <w:p>
            <w:pPr>
              <w:spacing w:after="20"/>
            </w:pPr>
            <w:r/>
            <w:r>
              <w:rPr>
                <w:b w:val="0"/>
                <w:i w:val="0"/>
                <w:sz w:val="20"/>
              </w:rPr>
              <w:t>+24 %</w:t>
            </w:r>
          </w:p>
        </w:tc>
      </w:tr>
      <w:tr>
        <w:tc>
          <w:tcPr>
            <w:tcW w:type="dxa" w:w="1417"/>
          </w:tcPr>
          <w:p>
            <w:pPr>
              <w:spacing w:after="20"/>
            </w:pPr>
            <w:r/>
            <w:r>
              <w:rPr>
                <w:b w:val="0"/>
                <w:i w:val="0"/>
                <w:sz w:val="20"/>
              </w:rPr>
              <w:t>1-in-500</w:t>
            </w:r>
          </w:p>
        </w:tc>
        <w:tc>
          <w:tcPr>
            <w:tcW w:type="dxa" w:w="1814"/>
          </w:tcPr>
          <w:p>
            <w:pPr>
              <w:spacing w:after="20"/>
            </w:pPr>
            <w:r/>
            <w:r>
              <w:rPr>
                <w:b w:val="0"/>
                <w:i w:val="0"/>
                <w:sz w:val="20"/>
              </w:rPr>
              <w:t>100th worst</w:t>
            </w:r>
          </w:p>
        </w:tc>
        <w:tc>
          <w:tcPr>
            <w:tcW w:type="dxa" w:w="1984"/>
          </w:tcPr>
          <w:p>
            <w:pPr>
              <w:spacing w:after="20"/>
            </w:pPr>
            <w:r/>
            <w:r>
              <w:rPr>
                <w:b w:val="0"/>
                <w:i w:val="0"/>
                <w:sz w:val="20"/>
              </w:rPr>
              <w:t>KES 46.1 M</w:t>
            </w:r>
          </w:p>
        </w:tc>
        <w:tc>
          <w:tcPr>
            <w:tcW w:type="dxa" w:w="2381"/>
          </w:tcPr>
          <w:p>
            <w:pPr>
              <w:spacing w:after="20"/>
            </w:pPr>
            <w:r/>
            <w:r>
              <w:rPr>
                <w:b w:val="0"/>
                <w:i w:val="0"/>
                <w:sz w:val="20"/>
              </w:rPr>
              <w:t>KES 37.0 M</w:t>
            </w:r>
          </w:p>
        </w:tc>
        <w:tc>
          <w:tcPr>
            <w:tcW w:type="dxa" w:w="1474"/>
          </w:tcPr>
          <w:p>
            <w:pPr>
              <w:spacing w:after="20"/>
            </w:pPr>
            <w:r/>
            <w:r>
              <w:rPr>
                <w:b w:val="0"/>
                <w:i w:val="0"/>
                <w:sz w:val="20"/>
              </w:rPr>
              <w:t>+25 %</w:t>
            </w:r>
          </w:p>
        </w:tc>
      </w:tr>
      <w:tr>
        <w:tc>
          <w:tcPr>
            <w:tcW w:type="dxa" w:w="1417"/>
          </w:tcPr>
          <w:p>
            <w:pPr>
              <w:spacing w:after="20"/>
            </w:pPr>
            <w:r/>
            <w:r>
              <w:rPr>
                <w:b w:val="0"/>
                <w:i w:val="0"/>
                <w:sz w:val="20"/>
              </w:rPr>
              <w:t>1-in-1000</w:t>
            </w:r>
          </w:p>
        </w:tc>
        <w:tc>
          <w:tcPr>
            <w:tcW w:type="dxa" w:w="1814"/>
          </w:tcPr>
          <w:p>
            <w:pPr>
              <w:spacing w:after="20"/>
            </w:pPr>
            <w:r/>
            <w:r>
              <w:rPr>
                <w:b w:val="0"/>
                <w:i w:val="0"/>
                <w:sz w:val="20"/>
              </w:rPr>
              <w:t>50th worst</w:t>
            </w:r>
          </w:p>
        </w:tc>
        <w:tc>
          <w:tcPr>
            <w:tcW w:type="dxa" w:w="1984"/>
          </w:tcPr>
          <w:p>
            <w:pPr>
              <w:spacing w:after="20"/>
            </w:pPr>
            <w:r/>
            <w:r>
              <w:rPr>
                <w:b w:val="0"/>
                <w:i w:val="0"/>
                <w:sz w:val="20"/>
              </w:rPr>
              <w:t>KES 47.9 M</w:t>
            </w:r>
          </w:p>
        </w:tc>
        <w:tc>
          <w:tcPr>
            <w:tcW w:type="dxa" w:w="2381"/>
          </w:tcPr>
          <w:p>
            <w:pPr>
              <w:spacing w:after="20"/>
            </w:pPr>
            <w:r/>
            <w:r>
              <w:rPr>
                <w:b w:val="0"/>
                <w:i w:val="0"/>
                <w:sz w:val="20"/>
              </w:rPr>
              <w:t>KES 39.1 M</w:t>
            </w:r>
          </w:p>
        </w:tc>
        <w:tc>
          <w:tcPr>
            <w:tcW w:type="dxa" w:w="1474"/>
          </w:tcPr>
          <w:p>
            <w:pPr>
              <w:spacing w:after="20"/>
            </w:pPr>
            <w:r/>
            <w:r>
              <w:rPr>
                <w:b w:val="0"/>
                <w:i w:val="0"/>
                <w:sz w:val="20"/>
              </w:rPr>
              <w:t>+23 %</w:t>
            </w:r>
          </w:p>
        </w:tc>
      </w:tr>
    </w:tbl>
    <w:p>
      <w:pPr>
        <w:spacing w:after="40"/>
      </w:pPr>
    </w:p>
    <w:p>
      <w:pPr>
        <w:spacing w:after="120"/>
      </w:pPr>
      <w:r>
        <w:rPr>
          <w:b/>
          <w:i w:val="0"/>
        </w:rPr>
        <w:t>Why lower at the frequent end and higher in the tail?</w:t>
      </w:r>
      <w:r>
        <w:rPr>
          <w:b w:val="0"/>
          <w:i w:val="0"/>
        </w:rPr>
        <w:t xml:space="preserve"> Damage is skewed: most outcomes are a bit below average, and a few are far above it (damage can't go below zero but can go up to the class ceiling). So a “typical” 1-in-10 year lands slightly below the average-damage figure, while the rare years collect the combinations of a big flood </w:t>
      </w:r>
      <w:r>
        <w:rPr>
          <w:b/>
          <w:i w:val="0"/>
        </w:rPr>
        <w:t>and</w:t>
      </w:r>
      <w:r>
        <w:rPr>
          <w:b w:val="0"/>
          <w:i w:val="0"/>
        </w:rPr>
        <w:t xml:space="preserve"> bad shared luck, and land well above it. The average over all years stays the same (next section) — the simulation only redistributes the loss towards the tail.</w:t>
      </w:r>
    </w:p>
    <w:p>
      <w:pPr>
        <w:pStyle w:val="Heading2"/>
      </w:pPr>
      <w:r>
        <w:t>4.2 Average annual loss (AAL)</w:t>
      </w:r>
    </w:p>
    <w:p>
      <w:pPr>
        <w:spacing w:after="120"/>
      </w:pPr>
      <w:r>
        <w:rPr>
          <w:b/>
          <w:i w:val="0"/>
        </w:rPr>
        <w:t>In plain words.</w:t>
      </w:r>
      <w:r>
        <w:rPr>
          <w:b w:val="0"/>
          <w:i w:val="0"/>
        </w:rPr>
        <w:t xml:space="preserve"> Add up the losses of all simulated years and divide by the number of years — including the half with no flood. This is the long-run cost per year, the starting point for a flood premium.</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color="auto" w:fill="041D3B"/>
          </w:tcPr>
          <w:p>
            <w:r/>
            <w:r>
              <w:rPr>
                <w:b/>
                <w:i w:val="0"/>
                <w:color w:val="FFFFFF"/>
                <w:sz w:val="20"/>
              </w:rPr>
              <w:t>Measure</w:t>
            </w:r>
          </w:p>
        </w:tc>
        <w:tc>
          <w:tcPr>
            <w:tcW w:type="dxa" w:w="2835"/>
            <w:shd w:val="clear" w:color="auto" w:fill="041D3B"/>
          </w:tcPr>
          <w:p>
            <w:r/>
            <w:r>
              <w:rPr>
                <w:b/>
                <w:i w:val="0"/>
                <w:color w:val="FFFFFF"/>
                <w:sz w:val="20"/>
              </w:rPr>
              <w:t>Monte Carlo (50,000 years)</w:t>
            </w:r>
          </w:p>
        </w:tc>
        <w:tc>
          <w:tcPr>
            <w:tcW w:type="dxa" w:w="3118"/>
            <w:shd w:val="clear" w:color="auto" w:fill="041D3B"/>
          </w:tcPr>
          <w:p>
            <w:r/>
            <w:r>
              <w:rPr>
                <w:b/>
                <w:i w:val="0"/>
                <w:color w:val="FFFFFF"/>
                <w:sz w:val="20"/>
              </w:rPr>
              <w:t>Deterministic curve</w:t>
            </w:r>
          </w:p>
        </w:tc>
      </w:tr>
      <w:tr>
        <w:tc>
          <w:tcPr>
            <w:tcW w:type="dxa" w:w="3402"/>
          </w:tcPr>
          <w:p>
            <w:pPr>
              <w:spacing w:after="20"/>
            </w:pPr>
            <w:r/>
            <w:r>
              <w:rPr>
                <w:b w:val="0"/>
                <w:i w:val="0"/>
                <w:sz w:val="20"/>
              </w:rPr>
              <w:t>AAL ground-up</w:t>
            </w:r>
          </w:p>
        </w:tc>
        <w:tc>
          <w:tcPr>
            <w:tcW w:type="dxa" w:w="2835"/>
          </w:tcPr>
          <w:p>
            <w:pPr>
              <w:spacing w:after="20"/>
            </w:pPr>
            <w:r/>
            <w:r>
              <w:rPr>
                <w:b w:val="0"/>
                <w:i w:val="0"/>
                <w:sz w:val="20"/>
              </w:rPr>
              <w:t>KES 5.85 M</w:t>
            </w:r>
          </w:p>
        </w:tc>
        <w:tc>
          <w:tcPr>
            <w:tcW w:type="dxa" w:w="3118"/>
          </w:tcPr>
          <w:p>
            <w:pPr>
              <w:spacing w:after="20"/>
            </w:pPr>
            <w:r/>
            <w:r>
              <w:rPr>
                <w:b w:val="0"/>
                <w:i w:val="0"/>
                <w:sz w:val="20"/>
              </w:rPr>
              <w:t>KES 5.81 M</w:t>
            </w:r>
          </w:p>
        </w:tc>
      </w:tr>
      <w:tr>
        <w:tc>
          <w:tcPr>
            <w:tcW w:type="dxa" w:w="3402"/>
          </w:tcPr>
          <w:p>
            <w:pPr>
              <w:spacing w:after="20"/>
            </w:pPr>
            <w:r/>
            <w:r>
              <w:rPr>
                <w:b w:val="0"/>
                <w:i w:val="0"/>
                <w:sz w:val="20"/>
              </w:rPr>
              <w:t>AAL gross (after deductible)</w:t>
            </w:r>
          </w:p>
        </w:tc>
        <w:tc>
          <w:tcPr>
            <w:tcW w:type="dxa" w:w="2835"/>
          </w:tcPr>
          <w:p>
            <w:pPr>
              <w:spacing w:after="20"/>
            </w:pPr>
            <w:r/>
            <w:r>
              <w:rPr>
                <w:b w:val="0"/>
                <w:i w:val="0"/>
                <w:sz w:val="20"/>
              </w:rPr>
              <w:t>KES 5.06 M</w:t>
            </w:r>
          </w:p>
        </w:tc>
        <w:tc>
          <w:tcPr>
            <w:tcW w:type="dxa" w:w="3118"/>
          </w:tcPr>
          <w:p>
            <w:pPr>
              <w:spacing w:after="20"/>
            </w:pPr>
            <w:r/>
            <w:r>
              <w:rPr>
                <w:b w:val="0"/>
                <w:i w:val="0"/>
                <w:sz w:val="20"/>
              </w:rPr>
              <w:t>KES 4.90 M</w:t>
            </w:r>
          </w:p>
        </w:tc>
      </w:tr>
      <w:tr>
        <w:tc>
          <w:tcPr>
            <w:tcW w:type="dxa" w:w="3402"/>
          </w:tcPr>
          <w:p>
            <w:pPr>
              <w:spacing w:after="20"/>
            </w:pPr>
            <w:r/>
            <w:r>
              <w:rPr>
                <w:b w:val="0"/>
                <w:i w:val="0"/>
                <w:sz w:val="20"/>
              </w:rPr>
              <w:t>AAL net (after Cat XL)</w:t>
            </w:r>
          </w:p>
        </w:tc>
        <w:tc>
          <w:tcPr>
            <w:tcW w:type="dxa" w:w="2835"/>
          </w:tcPr>
          <w:p>
            <w:pPr>
              <w:spacing w:after="20"/>
            </w:pPr>
            <w:r/>
            <w:r>
              <w:rPr>
                <w:b w:val="0"/>
                <w:i w:val="0"/>
                <w:sz w:val="20"/>
              </w:rPr>
              <w:t>KES 4.41 M</w:t>
            </w:r>
          </w:p>
        </w:tc>
        <w:tc>
          <w:tcPr>
            <w:tcW w:type="dxa" w:w="3118"/>
          </w:tcPr>
          <w:p>
            <w:pPr>
              <w:spacing w:after="20"/>
            </w:pPr>
            <w:r/>
            <w:r>
              <w:rPr>
                <w:b w:val="0"/>
                <w:i w:val="0"/>
                <w:sz w:val="20"/>
              </w:rPr>
              <w:t>KES 4.45 M</w:t>
            </w:r>
          </w:p>
        </w:tc>
      </w:tr>
    </w:tbl>
    <w:p>
      <w:pPr>
        <w:spacing w:after="40"/>
      </w:pPr>
    </w:p>
    <w:p>
      <w:pPr>
        <w:spacing w:after="120"/>
      </w:pPr>
      <w:r>
        <w:rPr>
          <w:b w:val="0"/>
          <w:i w:val="0"/>
        </w:rPr>
        <w:t>The ground-up AALs agree within 0.6 % — that is the mean-preserving design working, and the small gap is sampling noise. The gross and net AALs differ a little more for a real reason: the deductible and the XL are thresholds, and spreading damage around a threshold changes how much falls on each side.</w:t>
      </w:r>
    </w:p>
    <w:p>
      <w:pPr>
        <w:pStyle w:val="Heading2"/>
      </w:pPr>
      <w:r>
        <w:t>4.3 Standard deviation</w:t>
      </w:r>
    </w:p>
    <w:p>
      <w:pPr>
        <w:spacing w:after="120"/>
      </w:pPr>
      <w:r>
        <w:rPr>
          <w:b w:val="0"/>
          <w:i w:val="0"/>
        </w:rPr>
        <w:t xml:space="preserve">How much the yearly loss typically swings around the average: </w:t>
      </w:r>
      <w:r>
        <w:rPr>
          <w:b/>
          <w:i w:val="0"/>
        </w:rPr>
        <w:t>KES 9.69 M</w:t>
      </w:r>
      <w:r>
        <w:rPr>
          <w:b w:val="0"/>
          <w:i w:val="0"/>
        </w:rPr>
        <w:t xml:space="preserve"> ground-up — larger than the average itself, because half the years are zero and a few are very large. This is the volatility a capital model would use.</w:t>
      </w:r>
    </w:p>
    <w:p>
      <w:pPr>
        <w:pStyle w:val="Heading2"/>
      </w:pPr>
      <w:r>
        <w:t>4.4 TVaR 1 % (tail value at risk)</w:t>
      </w:r>
    </w:p>
    <w:p>
      <w:pPr>
        <w:spacing w:after="120"/>
      </w:pPr>
      <w:r>
        <w:rPr>
          <w:b/>
          <w:i w:val="0"/>
        </w:rPr>
        <w:t>In plain words.</w:t>
      </w:r>
      <w:r>
        <w:rPr>
          <w:b w:val="0"/>
          <w:i w:val="0"/>
        </w:rPr>
        <w:t xml:space="preserve"> “If we have one of the worst 1 % of years, how much do we lose on average?” Take the 500 worst years and average them: </w:t>
      </w:r>
      <w:r>
        <w:rPr>
          <w:b/>
          <w:i w:val="0"/>
        </w:rPr>
        <w:t>KES 43.3 M</w:t>
      </w:r>
      <w:r>
        <w:rPr>
          <w:b w:val="0"/>
          <w:i w:val="0"/>
        </w:rPr>
        <w:t xml:space="preserve"> ground-up. It is always at least as large as the 1-in-100 loss (38.7 M), because it looks at everything beyond that point, not just the edge.</w:t>
      </w:r>
    </w:p>
    <w:p>
      <w:pPr>
        <w:pStyle w:val="Heading2"/>
      </w:pPr>
      <w:r>
        <w:t>4.5 Gross and net versions</w:t>
      </w:r>
    </w:p>
    <w:p>
      <w:pPr>
        <w:spacing w:after="120"/>
      </w:pPr>
      <w:r>
        <w:rPr>
          <w:b w:val="0"/>
          <w:i w:val="0"/>
        </w:rPr>
        <w:t xml:space="preserve">Every statistic is also computed after policy terms (gross) and after reinsurance (net). The net curve is flat at KES 20 M from about 1-in-20 to 1-in-250 — the Cat XL absorbs everything between 20 and 40 M — and then rises to </w:t>
      </w:r>
      <w:r>
        <w:rPr>
          <w:b/>
          <w:i w:val="0"/>
        </w:rPr>
        <w:t>KES 22.8 M at 1-in-500</w:t>
      </w:r>
      <w:r>
        <w:rPr>
          <w:b w:val="0"/>
          <w:i w:val="0"/>
        </w:rPr>
        <w:t xml:space="preserve"> and </w:t>
      </w:r>
      <w:r>
        <w:rPr>
          <w:b/>
          <w:i w:val="0"/>
        </w:rPr>
        <w:t>KES 24.6 M at 1-in-1000</w:t>
      </w:r>
      <w:r>
        <w:rPr>
          <w:b w:val="0"/>
          <w:i w:val="0"/>
        </w:rPr>
        <w:t>, the years where the gross loss blows through the 40 M top of the treaty. The deterministic curve never shows this (its gross tops out at 35.7 M); only the simulation reveals that the treaty limit can be exhausted. That is a direct, practical insight for treaty buying.</w:t>
      </w:r>
    </w:p>
    <w:p>
      <w:pPr>
        <w:pStyle w:val="Heading2"/>
      </w:pPr>
      <w:r>
        <w:t>4.6 How sensitive is all this to the correlation setting?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551"/>
            <w:shd w:val="clear" w:color="auto" w:fill="041D3B"/>
          </w:tcPr>
          <w:p>
            <w:r/>
            <w:r>
              <w:rPr>
                <w:b/>
                <w:i w:val="0"/>
                <w:color w:val="FFFFFF"/>
                <w:sz w:val="20"/>
              </w:rPr>
              <w:t>Correlation ρ</w:t>
            </w:r>
          </w:p>
        </w:tc>
        <w:tc>
          <w:tcPr>
            <w:tcW w:type="dxa" w:w="1701"/>
            <w:shd w:val="clear" w:color="auto" w:fill="041D3B"/>
          </w:tcPr>
          <w:p>
            <w:r/>
            <w:r>
              <w:rPr>
                <w:b/>
                <w:i w:val="0"/>
                <w:color w:val="FFFFFF"/>
                <w:sz w:val="20"/>
              </w:rPr>
              <w:t>1-in-100</w:t>
            </w:r>
          </w:p>
        </w:tc>
        <w:tc>
          <w:tcPr>
            <w:tcW w:type="dxa" w:w="1701"/>
            <w:shd w:val="clear" w:color="auto" w:fill="041D3B"/>
          </w:tcPr>
          <w:p>
            <w:r/>
            <w:r>
              <w:rPr>
                <w:b/>
                <w:i w:val="0"/>
                <w:color w:val="FFFFFF"/>
                <w:sz w:val="20"/>
              </w:rPr>
              <w:t>1-in-200</w:t>
            </w:r>
          </w:p>
        </w:tc>
        <w:tc>
          <w:tcPr>
            <w:tcW w:type="dxa" w:w="1701"/>
            <w:shd w:val="clear" w:color="auto" w:fill="041D3B"/>
          </w:tcPr>
          <w:p>
            <w:r/>
            <w:r>
              <w:rPr>
                <w:b/>
                <w:i w:val="0"/>
                <w:color w:val="FFFFFF"/>
                <w:sz w:val="20"/>
              </w:rPr>
              <w:t>TVaR 1 %</w:t>
            </w:r>
          </w:p>
        </w:tc>
        <w:tc>
          <w:tcPr>
            <w:tcW w:type="dxa" w:w="1701"/>
            <w:shd w:val="clear" w:color="auto" w:fill="041D3B"/>
          </w:tcPr>
          <w:p>
            <w:r/>
            <w:r>
              <w:rPr>
                <w:b/>
                <w:i w:val="0"/>
                <w:color w:val="FFFFFF"/>
                <w:sz w:val="20"/>
              </w:rPr>
              <w:t>AAL</w:t>
            </w:r>
          </w:p>
        </w:tc>
      </w:tr>
      <w:tr>
        <w:tc>
          <w:tcPr>
            <w:tcW w:type="dxa" w:w="2551"/>
          </w:tcPr>
          <w:p>
            <w:pPr>
              <w:spacing w:after="20"/>
            </w:pPr>
            <w:r/>
            <w:r>
              <w:rPr>
                <w:b w:val="0"/>
                <w:i w:val="0"/>
                <w:sz w:val="20"/>
              </w:rPr>
              <w:t>0 (independent luck)</w:t>
            </w:r>
          </w:p>
        </w:tc>
        <w:tc>
          <w:tcPr>
            <w:tcW w:type="dxa" w:w="1701"/>
          </w:tcPr>
          <w:p>
            <w:pPr>
              <w:spacing w:after="20"/>
            </w:pPr>
            <w:r/>
            <w:r>
              <w:rPr>
                <w:b w:val="0"/>
                <w:i w:val="0"/>
                <w:sz w:val="20"/>
              </w:rPr>
              <w:t>KES 34.7 M</w:t>
            </w:r>
          </w:p>
        </w:tc>
        <w:tc>
          <w:tcPr>
            <w:tcW w:type="dxa" w:w="1701"/>
          </w:tcPr>
          <w:p>
            <w:pPr>
              <w:spacing w:after="20"/>
            </w:pPr>
            <w:r/>
            <w:r>
              <w:rPr>
                <w:b w:val="0"/>
                <w:i w:val="0"/>
                <w:sz w:val="20"/>
              </w:rPr>
              <w:t>KES 37.1 M</w:t>
            </w:r>
          </w:p>
        </w:tc>
        <w:tc>
          <w:tcPr>
            <w:tcW w:type="dxa" w:w="1701"/>
          </w:tcPr>
          <w:p>
            <w:pPr>
              <w:spacing w:after="20"/>
            </w:pPr>
            <w:r/>
            <w:r>
              <w:rPr>
                <w:b w:val="0"/>
                <w:i w:val="0"/>
                <w:sz w:val="20"/>
              </w:rPr>
              <w:t>KES 38.2 M</w:t>
            </w:r>
          </w:p>
        </w:tc>
        <w:tc>
          <w:tcPr>
            <w:tcW w:type="dxa" w:w="1701"/>
          </w:tcPr>
          <w:p>
            <w:pPr>
              <w:spacing w:after="20"/>
            </w:pPr>
            <w:r/>
            <w:r>
              <w:rPr>
                <w:b w:val="0"/>
                <w:i w:val="0"/>
                <w:sz w:val="20"/>
              </w:rPr>
              <w:t>KES 5.85 M</w:t>
            </w:r>
          </w:p>
        </w:tc>
      </w:tr>
      <w:tr>
        <w:tc>
          <w:tcPr>
            <w:tcW w:type="dxa" w:w="2551"/>
          </w:tcPr>
          <w:p>
            <w:pPr>
              <w:spacing w:after="20"/>
            </w:pPr>
            <w:r/>
            <w:r>
              <w:rPr>
                <w:b w:val="0"/>
                <w:i w:val="0"/>
                <w:sz w:val="20"/>
              </w:rPr>
              <w:t>0.3 (our base)</w:t>
            </w:r>
          </w:p>
        </w:tc>
        <w:tc>
          <w:tcPr>
            <w:tcW w:type="dxa" w:w="1701"/>
          </w:tcPr>
          <w:p>
            <w:pPr>
              <w:spacing w:after="20"/>
            </w:pPr>
            <w:r/>
            <w:r>
              <w:rPr>
                <w:b w:val="0"/>
                <w:i w:val="0"/>
                <w:sz w:val="20"/>
              </w:rPr>
              <w:t>KES 38.7 M</w:t>
            </w:r>
          </w:p>
        </w:tc>
        <w:tc>
          <w:tcPr>
            <w:tcW w:type="dxa" w:w="1701"/>
          </w:tcPr>
          <w:p>
            <w:pPr>
              <w:spacing w:after="20"/>
            </w:pPr>
            <w:r/>
            <w:r>
              <w:rPr>
                <w:b w:val="0"/>
                <w:i w:val="0"/>
                <w:sz w:val="20"/>
              </w:rPr>
              <w:t>KES 42.5 M</w:t>
            </w:r>
          </w:p>
        </w:tc>
        <w:tc>
          <w:tcPr>
            <w:tcW w:type="dxa" w:w="1701"/>
          </w:tcPr>
          <w:p>
            <w:pPr>
              <w:spacing w:after="20"/>
            </w:pPr>
            <w:r/>
            <w:r>
              <w:rPr>
                <w:b w:val="0"/>
                <w:i w:val="0"/>
                <w:sz w:val="20"/>
              </w:rPr>
              <w:t>KES 43.3 M</w:t>
            </w:r>
          </w:p>
        </w:tc>
        <w:tc>
          <w:tcPr>
            <w:tcW w:type="dxa" w:w="1701"/>
          </w:tcPr>
          <w:p>
            <w:pPr>
              <w:spacing w:after="20"/>
            </w:pPr>
            <w:r/>
            <w:r>
              <w:rPr>
                <w:b w:val="0"/>
                <w:i w:val="0"/>
                <w:sz w:val="20"/>
              </w:rPr>
              <w:t>KES 5.85 M</w:t>
            </w:r>
          </w:p>
        </w:tc>
      </w:tr>
      <w:tr>
        <w:tc>
          <w:tcPr>
            <w:tcW w:type="dxa" w:w="2551"/>
          </w:tcPr>
          <w:p>
            <w:pPr>
              <w:spacing w:after="20"/>
            </w:pPr>
            <w:r/>
            <w:r>
              <w:rPr>
                <w:b w:val="0"/>
                <w:i w:val="0"/>
                <w:sz w:val="20"/>
              </w:rPr>
              <w:t>0.6 (strongly shared luck)</w:t>
            </w:r>
          </w:p>
        </w:tc>
        <w:tc>
          <w:tcPr>
            <w:tcW w:type="dxa" w:w="1701"/>
          </w:tcPr>
          <w:p>
            <w:pPr>
              <w:spacing w:after="20"/>
            </w:pPr>
            <w:r/>
            <w:r>
              <w:rPr>
                <w:b w:val="0"/>
                <w:i w:val="0"/>
                <w:sz w:val="20"/>
              </w:rPr>
              <w:t>KES 41.7 M</w:t>
            </w:r>
          </w:p>
        </w:tc>
        <w:tc>
          <w:tcPr>
            <w:tcW w:type="dxa" w:w="1701"/>
          </w:tcPr>
          <w:p>
            <w:pPr>
              <w:spacing w:after="20"/>
            </w:pPr>
            <w:r/>
            <w:r>
              <w:rPr>
                <w:b w:val="0"/>
                <w:i w:val="0"/>
                <w:sz w:val="20"/>
              </w:rPr>
              <w:t>KES 46.1 M</w:t>
            </w:r>
          </w:p>
        </w:tc>
        <w:tc>
          <w:tcPr>
            <w:tcW w:type="dxa" w:w="1701"/>
          </w:tcPr>
          <w:p>
            <w:pPr>
              <w:spacing w:after="20"/>
            </w:pPr>
            <w:r/>
            <w:r>
              <w:rPr>
                <w:b w:val="0"/>
                <w:i w:val="0"/>
                <w:sz w:val="20"/>
              </w:rPr>
              <w:t>KES 47.0 M</w:t>
            </w:r>
          </w:p>
        </w:tc>
        <w:tc>
          <w:tcPr>
            <w:tcW w:type="dxa" w:w="1701"/>
          </w:tcPr>
          <w:p>
            <w:pPr>
              <w:spacing w:after="20"/>
            </w:pPr>
            <w:r/>
            <w:r>
              <w:rPr>
                <w:b w:val="0"/>
                <w:i w:val="0"/>
                <w:sz w:val="20"/>
              </w:rPr>
              <w:t>KES 5.85 M</w:t>
            </w:r>
          </w:p>
        </w:tc>
      </w:tr>
    </w:tbl>
    <w:p>
      <w:pPr>
        <w:spacing w:after="40"/>
      </w:pPr>
    </w:p>
    <w:p>
      <w:pPr>
        <w:spacing w:after="120"/>
      </w:pPr>
      <w:r>
        <w:rPr>
          <w:b w:val="0"/>
          <w:i w:val="0"/>
        </w:rPr>
        <w:t>The average never moves; only the tail does. Note that even with ρ = 0 the 1-in-100 (34.7 M) is above the average-damage figure (32.2 M): with only ~48 wet buildings and a few very valuable ones (one RCC building alone loses KES 6.3 M at 1-in-100), individual luck does not fully cancel out.</w:t>
      </w:r>
    </w:p>
    <w:p>
      <w:pPr>
        <w:pStyle w:val="Heading1"/>
      </w:pPr>
      <w:r>
        <w:t>Part 5 — Where the results are used in our system</w:t>
      </w:r>
    </w:p>
    <w:p>
      <w:pPr>
        <w:pStyle w:val="Heading2"/>
      </w:pPr>
      <w:r>
        <w:t>5.1 In the notebook (the model's source of truth)</w:t>
      </w:r>
    </w:p>
    <w:tbl>
      <w:tblPr>
        <w:tblStyle w:val="TableGrid"/>
        <w:tblW w:type="auto" w:w="0"/>
        <w:jc w:val="center"/>
        <w:tblLook w:firstColumn="1" w:firstRow="1" w:lastColumn="0" w:lastRow="0" w:noHBand="0" w:noVBand="1" w:val="04A0"/>
      </w:tblPr>
      <w:tblGrid>
        <w:gridCol w:w="4873"/>
        <w:gridCol w:w="4873"/>
      </w:tblGrid>
      <w:tr>
        <w:tc>
          <w:tcPr>
            <w:tcW w:type="dxa" w:w="3685"/>
            <w:shd w:val="clear" w:color="auto" w:fill="041D3B"/>
          </w:tcPr>
          <w:p>
            <w:r/>
            <w:r>
              <w:rPr>
                <w:b/>
                <w:i w:val="0"/>
                <w:color w:val="FFFFFF"/>
                <w:sz w:val="20"/>
              </w:rPr>
              <w:t>Where</w:t>
            </w:r>
          </w:p>
        </w:tc>
        <w:tc>
          <w:tcPr>
            <w:tcW w:type="dxa" w:w="5669"/>
            <w:shd w:val="clear" w:color="auto" w:fill="041D3B"/>
          </w:tcPr>
          <w:p>
            <w:r/>
            <w:r>
              <w:rPr>
                <w:b/>
                <w:i w:val="0"/>
                <w:color w:val="FFFFFF"/>
                <w:sz w:val="20"/>
              </w:rPr>
              <w:t>What it does with the simulation</w:t>
            </w:r>
          </w:p>
        </w:tc>
      </w:tr>
      <w:tr>
        <w:tc>
          <w:tcPr>
            <w:tcW w:type="dxa" w:w="3685"/>
          </w:tcPr>
          <w:p>
            <w:pPr>
              <w:spacing w:after="20"/>
            </w:pPr>
            <w:r/>
            <w:r>
              <w:rPr>
                <w:b w:val="0"/>
                <w:i w:val="0"/>
                <w:sz w:val="20"/>
              </w:rPr>
              <w:t>`notebooks/_build_notebook.py` §4.5 → `simulate()`</w:t>
            </w:r>
          </w:p>
        </w:tc>
        <w:tc>
          <w:tcPr>
            <w:tcW w:type="dxa" w:w="5669"/>
          </w:tcPr>
          <w:p>
            <w:pPr>
              <w:spacing w:after="20"/>
            </w:pPr>
            <w:r/>
            <w:r>
              <w:rPr>
                <w:b w:val="0"/>
                <w:i w:val="0"/>
                <w:sz w:val="20"/>
              </w:rPr>
              <w:t>Runs 50,000 years on the starter portfolio with default settings</w:t>
            </w:r>
          </w:p>
        </w:tc>
      </w:tr>
      <w:tr>
        <w:tc>
          <w:tcPr>
            <w:tcW w:type="dxa" w:w="3685"/>
          </w:tcPr>
          <w:p>
            <w:pPr>
              <w:spacing w:after="20"/>
            </w:pPr>
            <w:r/>
            <w:r>
              <w:rPr>
                <w:b w:val="0"/>
                <w:i w:val="0"/>
                <w:sz w:val="20"/>
              </w:rPr>
              <w:t>`outputs/year_loss_table.csv`</w:t>
            </w:r>
          </w:p>
        </w:tc>
        <w:tc>
          <w:tcPr>
            <w:tcW w:type="dxa" w:w="5669"/>
          </w:tcPr>
          <w:p>
            <w:pPr>
              <w:spacing w:after="20"/>
            </w:pPr>
            <w:r/>
            <w:r>
              <w:rPr>
                <w:b w:val="0"/>
                <w:i w:val="0"/>
                <w:sz w:val="20"/>
              </w:rPr>
              <w:t>The full year-loss table (year, flood size, ground-up, gross, net)</w:t>
            </w:r>
          </w:p>
        </w:tc>
      </w:tr>
      <w:tr>
        <w:tc>
          <w:tcPr>
            <w:tcW w:type="dxa" w:w="3685"/>
          </w:tcPr>
          <w:p>
            <w:pPr>
              <w:spacing w:after="20"/>
            </w:pPr>
            <w:r/>
            <w:r>
              <w:rPr>
                <w:b w:val="0"/>
                <w:i w:val="0"/>
                <w:sz w:val="20"/>
              </w:rPr>
              <w:t>Figure “Monte Carlo OEP vs deterministic”</w:t>
            </w:r>
          </w:p>
        </w:tc>
        <w:tc>
          <w:tcPr>
            <w:tcW w:type="dxa" w:w="5669"/>
          </w:tcPr>
          <w:p>
            <w:pPr>
              <w:spacing w:after="20"/>
            </w:pPr>
            <w:r/>
            <w:r>
              <w:rPr>
                <w:b w:val="0"/>
                <w:i w:val="0"/>
                <w:sz w:val="20"/>
              </w:rPr>
              <w:t>Plots both curves so the tail uplift is visible</w:t>
            </w:r>
          </w:p>
        </w:tc>
      </w:tr>
      <w:tr>
        <w:tc>
          <w:tcPr>
            <w:tcW w:type="dxa" w:w="3685"/>
          </w:tcPr>
          <w:p>
            <w:pPr>
              <w:spacing w:after="20"/>
            </w:pPr>
            <w:r/>
            <w:r>
              <w:rPr>
                <w:b w:val="0"/>
                <w:i w:val="0"/>
                <w:sz w:val="20"/>
              </w:rPr>
              <w:t>`web/public/data/results.json` → `monteCarlo`</w:t>
            </w:r>
          </w:p>
        </w:tc>
        <w:tc>
          <w:tcPr>
            <w:tcW w:type="dxa" w:w="5669"/>
          </w:tcPr>
          <w:p>
            <w:pPr>
              <w:spacing w:after="20"/>
            </w:pPr>
            <w:r/>
            <w:r>
              <w:rPr>
                <w:b w:val="0"/>
                <w:i w:val="0"/>
                <w:sz w:val="20"/>
              </w:rPr>
              <w:t>The reference statistics (1-in-10 … 1-in-1000, AAL, StdDev, TVaR) for ground-up, gross and net</w:t>
            </w:r>
          </w:p>
        </w:tc>
      </w:tr>
      <w:tr>
        <w:tc>
          <w:tcPr>
            <w:tcW w:type="dxa" w:w="3685"/>
          </w:tcPr>
          <w:p>
            <w:pPr>
              <w:spacing w:after="20"/>
            </w:pPr>
            <w:r/>
            <w:r>
              <w:rPr>
                <w:b w:val="0"/>
                <w:i w:val="0"/>
                <w:sz w:val="20"/>
              </w:rPr>
              <w:t>`results.json` → `sensitivityMc`</w:t>
            </w:r>
          </w:p>
        </w:tc>
        <w:tc>
          <w:tcPr>
            <w:tcW w:type="dxa" w:w="5669"/>
          </w:tcPr>
          <w:p>
            <w:pPr>
              <w:spacing w:after="20"/>
            </w:pPr>
            <w:r/>
            <w:r>
              <w:rPr>
                <w:b w:val="0"/>
                <w:i w:val="0"/>
                <w:sz w:val="20"/>
              </w:rPr>
              <w:t>The ρ = 0 / 0.3 / 0.6 table above</w:t>
            </w:r>
          </w:p>
        </w:tc>
      </w:tr>
    </w:tbl>
    <w:p>
      <w:pPr>
        <w:spacing w:after="40"/>
      </w:pPr>
    </w:p>
    <w:p>
      <w:pPr>
        <w:pStyle w:val="Heading2"/>
      </w:pPr>
      <w:r>
        <w:t>5.2 In the web app</w:t>
      </w:r>
    </w:p>
    <w:p>
      <w:pPr>
        <w:spacing w:after="120"/>
      </w:pPr>
      <w:r>
        <w:rPr>
          <w:b w:val="0"/>
          <w:i w:val="0"/>
        </w:rPr>
        <w:t xml:space="preserve">The app runs its </w:t>
      </w:r>
      <w:r>
        <w:rPr>
          <w:b/>
          <w:i w:val="0"/>
        </w:rPr>
        <w:t>own</w:t>
      </w:r>
      <w:r>
        <w:rPr>
          <w:b w:val="0"/>
          <w:i w:val="0"/>
        </w:rPr>
        <w:t xml:space="preserve"> simulation in your browser, live, on the current book (the 500 starter buildings plus any accepted offers) and the current Model settings.</w:t>
      </w:r>
    </w:p>
    <w:tbl>
      <w:tblPr>
        <w:tblStyle w:val="TableGrid"/>
        <w:tblW w:type="auto" w:w="0"/>
        <w:jc w:val="center"/>
        <w:tblLook w:firstColumn="1" w:firstRow="1" w:lastColumn="0" w:lastRow="0" w:noHBand="0" w:noVBand="1" w:val="04A0"/>
      </w:tblPr>
      <w:tblGrid>
        <w:gridCol w:w="3249"/>
        <w:gridCol w:w="3249"/>
        <w:gridCol w:w="3249"/>
      </w:tblGrid>
      <w:tr>
        <w:tc>
          <w:tcPr>
            <w:tcW w:type="dxa" w:w="2438"/>
            <w:shd w:val="clear" w:color="auto" w:fill="041D3B"/>
          </w:tcPr>
          <w:p>
            <w:r/>
            <w:r>
              <w:rPr>
                <w:b/>
                <w:i w:val="0"/>
                <w:color w:val="FFFFFF"/>
                <w:sz w:val="20"/>
              </w:rPr>
              <w:t>Where you see it</w:t>
            </w:r>
          </w:p>
        </w:tc>
        <w:tc>
          <w:tcPr>
            <w:tcW w:type="dxa" w:w="4535"/>
            <w:shd w:val="clear" w:color="auto" w:fill="041D3B"/>
          </w:tcPr>
          <w:p>
            <w:r/>
            <w:r>
              <w:rPr>
                <w:b/>
                <w:i w:val="0"/>
                <w:color w:val="FFFFFF"/>
                <w:sz w:val="20"/>
              </w:rPr>
              <w:t>What is shown / used</w:t>
            </w:r>
          </w:p>
        </w:tc>
        <w:tc>
          <w:tcPr>
            <w:tcW w:type="dxa" w:w="2381"/>
            <w:shd w:val="clear" w:color="auto" w:fill="041D3B"/>
          </w:tcPr>
          <w:p>
            <w:r/>
            <w:r>
              <w:rPr>
                <w:b/>
                <w:i w:val="0"/>
                <w:color w:val="FFFFFF"/>
                <w:sz w:val="20"/>
              </w:rPr>
              <w:t>Code</w:t>
            </w:r>
          </w:p>
        </w:tc>
      </w:tr>
      <w:tr>
        <w:tc>
          <w:tcPr>
            <w:tcW w:type="dxa" w:w="2438"/>
          </w:tcPr>
          <w:p>
            <w:pPr>
              <w:spacing w:after="20"/>
            </w:pPr>
            <w:r/>
            <w:r>
              <w:rPr>
                <w:b w:val="0"/>
                <w:i w:val="0"/>
                <w:sz w:val="20"/>
              </w:rPr>
              <w:t>Header: “simulating” spinner</w:t>
            </w:r>
          </w:p>
        </w:tc>
        <w:tc>
          <w:tcPr>
            <w:tcW w:type="dxa" w:w="4535"/>
          </w:tcPr>
          <w:p>
            <w:pPr>
              <w:spacing w:after="20"/>
            </w:pPr>
            <w:r/>
            <w:r>
              <w:rPr>
                <w:b w:val="0"/>
                <w:i w:val="0"/>
                <w:sz w:val="20"/>
              </w:rPr>
              <w:t>Appears while a new simulation is running (about 0.3 s after any change to settings or the book, then a moment to compute)</w:t>
            </w:r>
          </w:p>
        </w:tc>
        <w:tc>
          <w:tcPr>
            <w:tcW w:type="dxa" w:w="2381"/>
          </w:tcPr>
          <w:p>
            <w:pPr>
              <w:spacing w:after="20"/>
            </w:pPr>
            <w:r/>
            <w:r>
              <w:rPr>
                <w:b w:val="0"/>
                <w:i w:val="0"/>
                <w:sz w:val="20"/>
              </w:rPr>
              <w:t>`ModelProvider.tsx` → `mcRunning`</w:t>
            </w:r>
          </w:p>
        </w:tc>
      </w:tr>
      <w:tr>
        <w:tc>
          <w:tcPr>
            <w:tcW w:type="dxa" w:w="2438"/>
          </w:tcPr>
          <w:p>
            <w:pPr>
              <w:spacing w:after="20"/>
            </w:pPr>
            <w:r/>
            <w:r>
              <w:rPr>
                <w:b w:val="0"/>
                <w:i w:val="0"/>
                <w:sz w:val="20"/>
              </w:rPr>
              <w:t>Portfolio tab → Exceedance probability (EP) curve</w:t>
            </w:r>
          </w:p>
        </w:tc>
        <w:tc>
          <w:tcPr>
            <w:tcW w:type="dxa" w:w="4535"/>
          </w:tcPr>
          <w:p>
            <w:pPr>
              <w:spacing w:after="20"/>
            </w:pPr>
            <w:r/>
            <w:r>
              <w:rPr>
                <w:b w:val="0"/>
                <w:i w:val="0"/>
                <w:sz w:val="20"/>
              </w:rPr>
              <w:t xml:space="preserve">The dashed line </w:t>
            </w:r>
            <w:r>
              <w:rPr>
                <w:b/>
                <w:i w:val="0"/>
                <w:sz w:val="20"/>
              </w:rPr>
              <w:t>“Ground-up, Monte Carlo”</w:t>
            </w:r>
            <w:r>
              <w:rPr>
                <w:b w:val="0"/>
                <w:i w:val="0"/>
                <w:sz w:val="20"/>
              </w:rPr>
              <w:t xml:space="preserve"> is the simulated OEP curve, drawn next to the deterministic ground-up, gross, net and JRC-baseline curves</w:t>
            </w:r>
          </w:p>
        </w:tc>
        <w:tc>
          <w:tcPr>
            <w:tcW w:type="dxa" w:w="2381"/>
          </w:tcPr>
          <w:p>
            <w:pPr>
              <w:spacing w:after="20"/>
            </w:pPr>
            <w:r/>
            <w:r>
              <w:rPr>
                <w:b w:val="0"/>
                <w:i w:val="0"/>
                <w:sz w:val="20"/>
              </w:rPr>
              <w:t>`portfolio/page.tsx` → `oepCurve(mc.gross)`</w:t>
            </w:r>
          </w:p>
        </w:tc>
      </w:tr>
      <w:tr>
        <w:tc>
          <w:tcPr>
            <w:tcW w:type="dxa" w:w="2438"/>
          </w:tcPr>
          <w:p>
            <w:pPr>
              <w:spacing w:after="20"/>
            </w:pPr>
            <w:r/>
            <w:r>
              <w:rPr>
                <w:b w:val="0"/>
                <w:i w:val="0"/>
                <w:sz w:val="20"/>
              </w:rPr>
              <w:t>Underwriter briefing (desk Step 5)</w:t>
            </w:r>
          </w:p>
        </w:tc>
        <w:tc>
          <w:tcPr>
            <w:tcW w:type="dxa" w:w="4535"/>
          </w:tcPr>
          <w:p>
            <w:pPr>
              <w:spacing w:after="20"/>
            </w:pPr>
            <w:r/>
            <w:r>
              <w:rPr>
                <w:b w:val="0"/>
                <w:i w:val="0"/>
                <w:sz w:val="20"/>
              </w:rPr>
              <w:t>The AI/template briefing receives the simulated 1-in-100, 1-in-200 and TVaR 1 % and writes e.g. “With damage uncertainty (Monte Carlo, 20,000 years): 1-in-100 KES …, 1-in-200 KES …”</w:t>
            </w:r>
          </w:p>
        </w:tc>
        <w:tc>
          <w:tcPr>
            <w:tcW w:type="dxa" w:w="2381"/>
          </w:tcPr>
          <w:p>
            <w:pPr>
              <w:spacing w:after="20"/>
            </w:pPr>
            <w:r/>
            <w:r>
              <w:rPr>
                <w:b w:val="0"/>
                <w:i w:val="0"/>
                <w:sz w:val="20"/>
              </w:rPr>
              <w:t>`payload.ts` → `monteCarlo`; `briefing.ts`</w:t>
            </w:r>
          </w:p>
        </w:tc>
      </w:tr>
      <w:tr>
        <w:tc>
          <w:tcPr>
            <w:tcW w:type="dxa" w:w="2438"/>
          </w:tcPr>
          <w:p>
            <w:pPr>
              <w:spacing w:after="20"/>
            </w:pPr>
            <w:r/>
            <w:r>
              <w:rPr>
                <w:b w:val="0"/>
                <w:i w:val="0"/>
                <w:sz w:val="20"/>
              </w:rPr>
              <w:t>Model &amp; assumptions page → sensitivity</w:t>
            </w:r>
          </w:p>
        </w:tc>
        <w:tc>
          <w:tcPr>
            <w:tcW w:type="dxa" w:w="4535"/>
          </w:tcPr>
          <w:p>
            <w:pPr>
              <w:spacing w:after="20"/>
            </w:pPr>
            <w:r/>
            <w:r>
              <w:rPr>
                <w:b w:val="0"/>
                <w:i w:val="0"/>
                <w:sz w:val="20"/>
              </w:rPr>
              <w:t>Quotes how ρ moves the 1-in-200 (from the notebook's `sensitivityMc`)</w:t>
            </w:r>
          </w:p>
        </w:tc>
        <w:tc>
          <w:tcPr>
            <w:tcW w:type="dxa" w:w="2381"/>
          </w:tcPr>
          <w:p>
            <w:pPr>
              <w:spacing w:after="20"/>
            </w:pPr>
            <w:r/>
            <w:r>
              <w:rPr>
                <w:b w:val="0"/>
                <w:i w:val="0"/>
                <w:sz w:val="20"/>
              </w:rPr>
              <w:t>`methodology/page.tsx`</w:t>
            </w:r>
          </w:p>
        </w:tc>
      </w:tr>
      <w:tr>
        <w:tc>
          <w:tcPr>
            <w:tcW w:type="dxa" w:w="2438"/>
          </w:tcPr>
          <w:p>
            <w:pPr>
              <w:spacing w:after="20"/>
            </w:pPr>
            <w:r/>
            <w:r>
              <w:rPr>
                <w:b w:val="0"/>
                <w:i w:val="0"/>
                <w:sz w:val="20"/>
              </w:rPr>
              <w:t>Model settings drawer</w:t>
            </w:r>
          </w:p>
        </w:tc>
        <w:tc>
          <w:tcPr>
            <w:tcW w:type="dxa" w:w="4535"/>
          </w:tcPr>
          <w:p>
            <w:pPr>
              <w:spacing w:after="20"/>
            </w:pPr>
            <w:r/>
            <w:r>
              <w:rPr>
                <w:b/>
                <w:i w:val="0"/>
                <w:sz w:val="20"/>
              </w:rPr>
              <w:t>Damage correlation ρ</w:t>
            </w:r>
            <w:r>
              <w:rPr>
                <w:b w:val="0"/>
                <w:i w:val="0"/>
                <w:sz w:val="20"/>
              </w:rPr>
              <w:t xml:space="preserve"> slider (0–0.9) and </w:t>
            </w:r>
            <w:r>
              <w:rPr>
                <w:b/>
                <w:i w:val="0"/>
                <w:sz w:val="20"/>
              </w:rPr>
              <w:t>Simulated years</w:t>
            </w:r>
            <w:r>
              <w:rPr>
                <w:b w:val="0"/>
                <w:i w:val="0"/>
                <w:sz w:val="20"/>
              </w:rPr>
              <w:t xml:space="preserve"> (10k / 20k / 50k) control the simulation; vulnerability model, sampling, duration and terms also feed it</w:t>
            </w:r>
          </w:p>
        </w:tc>
        <w:tc>
          <w:tcPr>
            <w:tcW w:type="dxa" w:w="2381"/>
          </w:tcPr>
          <w:p>
            <w:pPr>
              <w:spacing w:after="20"/>
            </w:pPr>
            <w:r/>
            <w:r>
              <w:rPr>
                <w:b w:val="0"/>
                <w:i w:val="0"/>
                <w:sz w:val="20"/>
              </w:rPr>
              <w:t>`SettingsPanel.tsx`</w:t>
            </w:r>
          </w:p>
        </w:tc>
      </w:tr>
      <w:tr>
        <w:tc>
          <w:tcPr>
            <w:tcW w:type="dxa" w:w="2438"/>
          </w:tcPr>
          <w:p>
            <w:pPr>
              <w:spacing w:after="20"/>
            </w:pPr>
            <w:r/>
            <w:r>
              <w:rPr>
                <w:b w:val="0"/>
                <w:i w:val="0"/>
                <w:sz w:val="20"/>
              </w:rPr>
              <w:t>`npm run validate`</w:t>
            </w:r>
          </w:p>
        </w:tc>
        <w:tc>
          <w:tcPr>
            <w:tcW w:type="dxa" w:w="4535"/>
          </w:tcPr>
          <w:p>
            <w:pPr>
              <w:spacing w:after="20"/>
            </w:pPr>
            <w:r/>
            <w:r>
              <w:rPr>
                <w:b w:val="0"/>
                <w:i w:val="0"/>
                <w:sz w:val="20"/>
              </w:rPr>
              <w:t>Re-runs a 50,000-year browser simulation and checks it against the notebook: AAL within 3 %, 1-in-10/50/100/200 within 4 %</w:t>
            </w:r>
          </w:p>
        </w:tc>
        <w:tc>
          <w:tcPr>
            <w:tcW w:type="dxa" w:w="2381"/>
          </w:tcPr>
          <w:p>
            <w:pPr>
              <w:spacing w:after="20"/>
            </w:pPr>
            <w:r/>
            <w:r>
              <w:rPr>
                <w:b w:val="0"/>
                <w:i w:val="0"/>
                <w:sz w:val="20"/>
              </w:rPr>
              <w:t>`scripts/validate-engine.ts`</w:t>
            </w:r>
          </w:p>
        </w:tc>
      </w:tr>
    </w:tbl>
    <w:p>
      <w:pPr>
        <w:spacing w:after="40"/>
      </w:pPr>
    </w:p>
    <w:tbl>
      <w:tblPr>
        <w:tblW w:type="auto" w:w="0"/>
        <w:jc w:val="center"/>
        <w:tblLook w:firstColumn="1" w:firstRow="1" w:lastColumn="0" w:lastRow="0" w:noHBand="0" w:noVBand="1" w:val="04A0"/>
      </w:tblPr>
      <w:tblGrid>
        <w:gridCol w:w="9746"/>
      </w:tblGrid>
      <w:tr>
        <w:tc>
          <w:tcPr>
            <w:tcW w:type="dxa" w:w="9354"/>
            <w:shd w:val="clear" w:color="auto" w:fill="E6E8E8"/>
          </w:tcPr>
          <w:p>
            <w:r>
              <w:rPr>
                <w:b/>
                <w:i w:val="0"/>
                <w:color w:val="041D3B"/>
                <w:sz w:val="22"/>
              </w:rPr>
              <w:t>Important: what is NOT from the simulation</w:t>
            </w:r>
          </w:p>
          <w:p>
            <w:pPr>
              <w:spacing w:after="40"/>
            </w:pPr>
            <w:r>
              <w:rPr>
                <w:b w:val="0"/>
                <w:i w:val="0"/>
                <w:sz w:val="21"/>
              </w:rPr>
              <w:t xml:space="preserve">The KPI cards on the Portfolio tab, the “Who pays for a 1-in-N flood?” bars, the losses-by-return-period tables, the class and area breakdowns, the AAL card and everything in desk Steps 3–5 (including “what accepting this offer does to the book”) use the </w:t>
            </w:r>
            <w:r>
              <w:rPr>
                <w:b/>
                <w:i w:val="0"/>
                <w:sz w:val="21"/>
              </w:rPr>
              <w:t>deterministic average-damage</w:t>
            </w:r>
            <w:r>
              <w:rPr>
                <w:b w:val="0"/>
                <w:i w:val="0"/>
                <w:sz w:val="21"/>
              </w:rPr>
              <w:t xml:space="preserve"> engine. That is deliberate: those numbers must be exactly reproducible and easy to explain line by line.</w:t>
            </w:r>
          </w:p>
          <w:p>
            <w:pPr>
              <w:spacing w:after="40"/>
            </w:pPr>
            <w:r>
              <w:rPr>
                <w:b w:val="0"/>
                <w:i w:val="0"/>
                <w:sz w:val="21"/>
              </w:rPr>
              <w:t xml:space="preserve">The simulation is the </w:t>
            </w:r>
            <w:r>
              <w:rPr>
                <w:b/>
                <w:i w:val="0"/>
                <w:sz w:val="21"/>
              </w:rPr>
              <w:t>second opinion on the tail</w:t>
            </w:r>
            <w:r>
              <w:rPr>
                <w:b w:val="0"/>
                <w:i w:val="0"/>
                <w:sz w:val="21"/>
              </w:rPr>
              <w:t>: use it to judge how bad bad years can get (reinsurance buying, capital), and the deterministic figures to explain and price individual risks.</w:t>
            </w:r>
          </w:p>
        </w:tc>
      </w:tr>
    </w:tbl>
    <w:p>
      <w:pPr>
        <w:spacing w:after="40"/>
      </w:pPr>
    </w:p>
    <w:p>
      <w:pPr>
        <w:pStyle w:val="Heading2"/>
      </w:pPr>
      <w:r>
        <w:t>5.3 The flow, end to end</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Settings or book change</w:t>
            </w:r>
          </w:p>
          <w:p>
            <w:pPr>
              <w:spacing w:after="0"/>
            </w:pPr>
            <w:r>
              <w:rPr>
                <w:rFonts w:ascii="Consolas" w:hAnsi="Consolas"/>
                <w:b w:val="0"/>
                <w:i w:val="0"/>
                <w:sz w:val="19"/>
              </w:rPr>
              <w:t xml:space="preserve">   └─► (300 ms pause, so dragging a slider doesn't trigger 50 runs)</w:t>
            </w:r>
          </w:p>
          <w:p>
            <w:pPr>
              <w:spacing w:after="0"/>
            </w:pPr>
            <w:r>
              <w:rPr>
                <w:rFonts w:ascii="Consolas" w:hAnsi="Consolas"/>
                <w:b w:val="0"/>
                <w:i w:val="0"/>
                <w:sz w:val="19"/>
              </w:rPr>
              <w:t xml:space="preserve">        └─► simulate(portfolio, vulnerability table, settings)      [browser, engine.ts]</w:t>
            </w:r>
          </w:p>
          <w:p>
            <w:pPr>
              <w:spacing w:after="0"/>
            </w:pPr>
            <w:r>
              <w:rPr>
                <w:rFonts w:ascii="Consolas" w:hAnsi="Consolas"/>
                <w:b w:val="0"/>
                <w:i w:val="0"/>
                <w:sz w:val="19"/>
              </w:rPr>
              <w:t xml:space="preserve">              for each year: flood? → depths → damage draws (shared + own luck) → money</w:t>
            </w:r>
          </w:p>
          <w:p>
            <w:pPr>
              <w:spacing w:after="0"/>
            </w:pPr>
            <w:r>
              <w:rPr>
                <w:rFonts w:ascii="Consolas" w:hAnsi="Consolas"/>
                <w:b w:val="0"/>
                <w:i w:val="0"/>
                <w:sz w:val="19"/>
              </w:rPr>
              <w:t xml:space="preserve">        └─► year-loss arrays: ground-up, gross, net</w:t>
            </w:r>
          </w:p>
          <w:p>
            <w:pPr>
              <w:spacing w:after="0"/>
            </w:pPr>
            <w:r>
              <w:rPr>
                <w:rFonts w:ascii="Consolas" w:hAnsi="Consolas"/>
                <w:b w:val="0"/>
                <w:i w:val="0"/>
                <w:sz w:val="19"/>
              </w:rPr>
              <w:t xml:space="preserve">        └─► oepStats(): 1-in-10…1-in-1000, AAL, StdDev, TVaR 1 %</w:t>
            </w:r>
          </w:p>
          <w:p>
            <w:pPr>
              <w:spacing w:after="0"/>
            </w:pPr>
            <w:r>
              <w:rPr>
                <w:rFonts w:ascii="Consolas" w:hAnsi="Consolas"/>
                <w:b w:val="0"/>
                <w:i w:val="0"/>
                <w:sz w:val="19"/>
              </w:rPr>
              <w:t xml:space="preserve">              ├─► Portfolio EP chart (dashed Monte Carlo line)</w:t>
            </w:r>
          </w:p>
          <w:p>
            <w:pPr>
              <w:spacing w:after="0"/>
            </w:pPr>
            <w:r>
              <w:rPr>
                <w:rFonts w:ascii="Consolas" w:hAnsi="Consolas"/>
                <w:b w:val="0"/>
                <w:i w:val="0"/>
                <w:sz w:val="19"/>
              </w:rPr>
              <w:t xml:space="preserve">              └─► Briefing payload (1-in-100, 1-in-200, TVaR 1 %)</w:t>
            </w:r>
          </w:p>
        </w:tc>
      </w:tr>
    </w:tbl>
    <w:p>
      <w:pPr>
        <w:spacing w:after="40"/>
      </w:pPr>
    </w:p>
    <w:p>
      <w:pPr>
        <w:pStyle w:val="Heading1"/>
      </w:pPr>
      <w:r>
        <w:t>Part 6 — Technical notes</w:t>
      </w:r>
    </w:p>
    <w:p>
      <w:pPr>
        <w:pStyle w:val="Heading2"/>
      </w:pPr>
      <w:r>
        <w:t>6.1 How accurate is a simulation?</w:t>
      </w:r>
    </w:p>
    <w:p>
      <w:pPr>
        <w:spacing w:after="120"/>
      </w:pPr>
      <w:r>
        <w:rPr>
          <w:b w:val="0"/>
          <w:i w:val="0"/>
        </w:rPr>
        <w:t xml:space="preserve">Monte Carlo answers carry </w:t>
      </w:r>
      <w:r>
        <w:rPr>
          <w:b/>
          <w:i w:val="0"/>
        </w:rPr>
        <w:t>sampling error</w:t>
      </w:r>
      <w:r>
        <w:rPr>
          <w:b w:val="0"/>
          <w:i w:val="0"/>
        </w:rPr>
        <w:t xml:space="preserve"> that shrinks with the square root of the number of years. For the average: standard error ≈ standard deviation ÷ √(years).</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041D3B"/>
          </w:tcPr>
          <w:p>
            <w:r/>
            <w:r>
              <w:rPr>
                <w:b/>
                <w:i w:val="0"/>
                <w:color w:val="FFFFFF"/>
                <w:sz w:val="20"/>
              </w:rPr>
              <w:t>Simulated years</w:t>
            </w:r>
          </w:p>
        </w:tc>
        <w:tc>
          <w:tcPr>
            <w:tcW w:type="dxa" w:w="3402"/>
            <w:shd w:val="clear" w:color="auto" w:fill="041D3B"/>
          </w:tcPr>
          <w:p>
            <w:r/>
            <w:r>
              <w:rPr>
                <w:b/>
                <w:i w:val="0"/>
                <w:color w:val="FFFFFF"/>
                <w:sz w:val="20"/>
              </w:rPr>
              <w:t>Standard error of the AAL</w:t>
            </w:r>
          </w:p>
        </w:tc>
        <w:tc>
          <w:tcPr>
            <w:tcW w:type="dxa" w:w="3402"/>
            <w:shd w:val="clear" w:color="auto" w:fill="041D3B"/>
          </w:tcPr>
          <w:p>
            <w:r/>
            <w:r>
              <w:rPr>
                <w:b/>
                <w:i w:val="0"/>
                <w:color w:val="FFFFFF"/>
                <w:sz w:val="20"/>
              </w:rPr>
              <w:t>Worst years behind the 1-in-200</w:t>
            </w:r>
          </w:p>
        </w:tc>
      </w:tr>
      <w:tr>
        <w:tc>
          <w:tcPr>
            <w:tcW w:type="dxa" w:w="2551"/>
          </w:tcPr>
          <w:p>
            <w:pPr>
              <w:spacing w:after="20"/>
            </w:pPr>
            <w:r/>
            <w:r>
              <w:rPr>
                <w:b w:val="0"/>
                <w:i w:val="0"/>
                <w:sz w:val="20"/>
              </w:rPr>
              <w:t>10,000</w:t>
            </w:r>
          </w:p>
        </w:tc>
        <w:tc>
          <w:tcPr>
            <w:tcW w:type="dxa" w:w="3402"/>
          </w:tcPr>
          <w:p>
            <w:pPr>
              <w:spacing w:after="20"/>
            </w:pPr>
            <w:r/>
            <w:r>
              <w:rPr>
                <w:b w:val="0"/>
                <w:i w:val="0"/>
                <w:sz w:val="20"/>
              </w:rPr>
              <w:t>≈ KES 0.10 M (±1.7 %)</w:t>
            </w:r>
          </w:p>
        </w:tc>
        <w:tc>
          <w:tcPr>
            <w:tcW w:type="dxa" w:w="3402"/>
          </w:tcPr>
          <w:p>
            <w:pPr>
              <w:spacing w:after="20"/>
            </w:pPr>
            <w:r/>
            <w:r>
              <w:rPr>
                <w:b w:val="0"/>
                <w:i w:val="0"/>
                <w:sz w:val="20"/>
              </w:rPr>
              <w:t>50</w:t>
            </w:r>
          </w:p>
        </w:tc>
      </w:tr>
      <w:tr>
        <w:tc>
          <w:tcPr>
            <w:tcW w:type="dxa" w:w="2551"/>
          </w:tcPr>
          <w:p>
            <w:pPr>
              <w:spacing w:after="20"/>
            </w:pPr>
            <w:r/>
            <w:r>
              <w:rPr>
                <w:b w:val="0"/>
                <w:i w:val="0"/>
                <w:sz w:val="20"/>
              </w:rPr>
              <w:t>20,000 (app default)</w:t>
            </w:r>
          </w:p>
        </w:tc>
        <w:tc>
          <w:tcPr>
            <w:tcW w:type="dxa" w:w="3402"/>
          </w:tcPr>
          <w:p>
            <w:pPr>
              <w:spacing w:after="20"/>
            </w:pPr>
            <w:r/>
            <w:r>
              <w:rPr>
                <w:b w:val="0"/>
                <w:i w:val="0"/>
                <w:sz w:val="20"/>
              </w:rPr>
              <w:t>≈ KES 0.07 M (±1.2 %)</w:t>
            </w:r>
          </w:p>
        </w:tc>
        <w:tc>
          <w:tcPr>
            <w:tcW w:type="dxa" w:w="3402"/>
          </w:tcPr>
          <w:p>
            <w:pPr>
              <w:spacing w:after="20"/>
            </w:pPr>
            <w:r/>
            <w:r>
              <w:rPr>
                <w:b w:val="0"/>
                <w:i w:val="0"/>
                <w:sz w:val="20"/>
              </w:rPr>
              <w:t>100</w:t>
            </w:r>
          </w:p>
        </w:tc>
      </w:tr>
      <w:tr>
        <w:tc>
          <w:tcPr>
            <w:tcW w:type="dxa" w:w="2551"/>
          </w:tcPr>
          <w:p>
            <w:pPr>
              <w:spacing w:after="20"/>
            </w:pPr>
            <w:r/>
            <w:r>
              <w:rPr>
                <w:b w:val="0"/>
                <w:i w:val="0"/>
                <w:sz w:val="20"/>
              </w:rPr>
              <w:t>50,000 (notebook)</w:t>
            </w:r>
          </w:p>
        </w:tc>
        <w:tc>
          <w:tcPr>
            <w:tcW w:type="dxa" w:w="3402"/>
          </w:tcPr>
          <w:p>
            <w:pPr>
              <w:spacing w:after="20"/>
            </w:pPr>
            <w:r/>
            <w:r>
              <w:rPr>
                <w:b w:val="0"/>
                <w:i w:val="0"/>
                <w:sz w:val="20"/>
              </w:rPr>
              <w:t>≈ KES 0.04 M (±0.7 %)</w:t>
            </w:r>
          </w:p>
        </w:tc>
        <w:tc>
          <w:tcPr>
            <w:tcW w:type="dxa" w:w="3402"/>
          </w:tcPr>
          <w:p>
            <w:pPr>
              <w:spacing w:after="20"/>
            </w:pPr>
            <w:r/>
            <w:r>
              <w:rPr>
                <w:b w:val="0"/>
                <w:i w:val="0"/>
                <w:sz w:val="20"/>
              </w:rPr>
              <w:t>250</w:t>
            </w:r>
          </w:p>
        </w:tc>
      </w:tr>
    </w:tbl>
    <w:p>
      <w:pPr>
        <w:spacing w:after="40"/>
      </w:pPr>
    </w:p>
    <w:p>
      <w:pPr>
        <w:spacing w:after="120"/>
      </w:pPr>
      <w:r>
        <w:rPr>
          <w:b w:val="0"/>
          <w:i w:val="0"/>
        </w:rPr>
        <w:t>Tail figures are noisier than the average because they rest on fewer years. That is why the app offers 50k years when precision matters, and why the validation tolerances are 3 % (AAL) and 4 % (1-in-N losses).</w:t>
      </w:r>
    </w:p>
    <w:p>
      <w:pPr>
        <w:pStyle w:val="Heading2"/>
      </w:pPr>
      <w:r>
        <w:t>6.2 Random numbers and reproducibility</w:t>
      </w:r>
    </w:p>
    <w:p>
      <w:pPr>
        <w:pStyle w:val="ListBullet"/>
        <w:spacing w:after="60"/>
      </w:pPr>
      <w:r>
        <w:rPr>
          <w:b w:val="0"/>
          <w:i w:val="0"/>
        </w:rPr>
        <w:t xml:space="preserve">Both engines use a </w:t>
      </w:r>
      <w:r>
        <w:rPr>
          <w:b/>
          <w:i w:val="0"/>
        </w:rPr>
        <w:t>fixed seed (2026)</w:t>
      </w:r>
      <w:r>
        <w:rPr>
          <w:b w:val="0"/>
          <w:i w:val="0"/>
        </w:rPr>
        <w:t>, so the same inputs always give exactly the same results — the numbers don't jump around between page loads.</w:t>
      </w:r>
    </w:p>
    <w:p>
      <w:pPr>
        <w:pStyle w:val="ListBullet"/>
        <w:spacing w:after="60"/>
      </w:pPr>
      <w:r>
        <w:rPr>
          <w:b w:val="0"/>
          <w:i w:val="0"/>
        </w:rPr>
        <w:t>Notebook: NumPy's default generator. Browser: the `mulberry32` generator, with normal numbers from the Box–Muller transform and Φ from the Abramowitz &amp; Stegun 7.1.26 approximation (error &lt; 1.5 × 10⁻⁷).</w:t>
      </w:r>
    </w:p>
    <w:p>
      <w:pPr>
        <w:pStyle w:val="ListBullet"/>
        <w:spacing w:after="60"/>
      </w:pPr>
      <w:r>
        <w:rPr>
          <w:b w:val="0"/>
          <w:i w:val="0"/>
        </w:rPr>
        <w:t xml:space="preserve">Because the two generators differ, the browser and the notebook agree </w:t>
      </w:r>
      <w:r>
        <w:rPr>
          <w:b/>
          <w:i w:val="0"/>
        </w:rPr>
        <w:t>within sampling tolerance</w:t>
      </w:r>
      <w:r>
        <w:rPr>
          <w:b w:val="0"/>
          <w:i w:val="0"/>
        </w:rPr>
        <w:t>, not to the last shilling.</w:t>
      </w:r>
    </w:p>
    <w:p>
      <w:pPr>
        <w:pStyle w:val="Heading2"/>
      </w:pPr>
      <w:r>
        <w:t>6.3 Speed</w:t>
      </w:r>
    </w:p>
    <w:p>
      <w:pPr>
        <w:spacing w:after="120"/>
      </w:pPr>
      <w:r>
        <w:rPr>
          <w:b w:val="0"/>
          <w:i w:val="0"/>
        </w:rPr>
        <w:t>Only at-risk buildings are looped over, and each needs six table lookups per wet year (mean and five quantiles). 20,000 years on the starter book runs in well under a second on a laptop; 50,000 years takes a little longer. The simulation runs on the browser's main thread after a 300 ms pause.</w:t>
      </w:r>
    </w:p>
    <w:p>
      <w:pPr>
        <w:pStyle w:val="Heading2"/>
      </w:pPr>
      <w:r>
        <w:t>6.4 Assumptions built into the simulation</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color="auto" w:fill="041D3B"/>
          </w:tcPr>
          <w:p>
            <w:r/>
            <w:r>
              <w:rPr>
                <w:b/>
                <w:i w:val="0"/>
                <w:color w:val="FFFFFF"/>
                <w:sz w:val="20"/>
              </w:rPr>
              <w:t>ID</w:t>
            </w:r>
          </w:p>
        </w:tc>
        <w:tc>
          <w:tcPr>
            <w:tcW w:type="dxa" w:w="4139"/>
            <w:shd w:val="clear" w:color="auto" w:fill="041D3B"/>
          </w:tcPr>
          <w:p>
            <w:r/>
            <w:r>
              <w:rPr>
                <w:b/>
                <w:i w:val="0"/>
                <w:color w:val="FFFFFF"/>
                <w:sz w:val="20"/>
              </w:rPr>
              <w:t>Assumption</w:t>
            </w:r>
          </w:p>
        </w:tc>
        <w:tc>
          <w:tcPr>
            <w:tcW w:type="dxa" w:w="4195"/>
            <w:shd w:val="clear" w:color="auto" w:fill="041D3B"/>
          </w:tcPr>
          <w:p>
            <w:r/>
            <w:r>
              <w:rPr>
                <w:b/>
                <w:i w:val="0"/>
                <w:color w:val="FFFFFF"/>
                <w:sz w:val="20"/>
              </w:rPr>
              <w:t>Effect if wrong</w:t>
            </w:r>
          </w:p>
        </w:tc>
      </w:tr>
      <w:tr>
        <w:tc>
          <w:tcPr>
            <w:tcW w:type="dxa" w:w="1020"/>
          </w:tcPr>
          <w:p>
            <w:pPr>
              <w:spacing w:after="20"/>
            </w:pPr>
            <w:r/>
            <w:r>
              <w:rPr>
                <w:b w:val="0"/>
                <w:i w:val="0"/>
                <w:sz w:val="20"/>
              </w:rPr>
              <w:t>A-FIN-3</w:t>
            </w:r>
          </w:p>
        </w:tc>
        <w:tc>
          <w:tcPr>
            <w:tcW w:type="dxa" w:w="4139"/>
          </w:tcPr>
          <w:p>
            <w:pPr>
              <w:spacing w:after="20"/>
            </w:pPr>
            <w:r/>
            <w:r>
              <w:rPr>
                <w:b w:val="0"/>
                <w:i w:val="0"/>
                <w:sz w:val="20"/>
              </w:rPr>
              <w:t>One dominant flood per year (annual maximum)</w:t>
            </w:r>
          </w:p>
        </w:tc>
        <w:tc>
          <w:tcPr>
            <w:tcW w:type="dxa" w:w="4195"/>
          </w:tcPr>
          <w:p>
            <w:pPr>
              <w:spacing w:after="20"/>
            </w:pPr>
            <w:r/>
            <w:r>
              <w:rPr>
                <w:b w:val="0"/>
                <w:i w:val="0"/>
                <w:sz w:val="20"/>
              </w:rPr>
              <w:t>Years with two damaging floods would add loss; aggregate covers would be understated</w:t>
            </w:r>
          </w:p>
        </w:tc>
      </w:tr>
      <w:tr>
        <w:tc>
          <w:tcPr>
            <w:tcW w:type="dxa" w:w="1020"/>
          </w:tcPr>
          <w:p>
            <w:pPr>
              <w:spacing w:after="20"/>
            </w:pPr>
            <w:r/>
            <w:r>
              <w:rPr>
                <w:b w:val="0"/>
                <w:i w:val="0"/>
                <w:sz w:val="20"/>
              </w:rPr>
              <w:t>A-FIN-1</w:t>
            </w:r>
          </w:p>
        </w:tc>
        <w:tc>
          <w:tcPr>
            <w:tcW w:type="dxa" w:w="4139"/>
          </w:tcPr>
          <w:p>
            <w:pPr>
              <w:spacing w:after="20"/>
            </w:pPr>
            <w:r/>
            <w:r>
              <w:rPr>
                <w:b w:val="0"/>
                <w:i w:val="0"/>
                <w:sz w:val="20"/>
              </w:rPr>
              <w:t>Each flood hits the whole basin at once (one map = one event)</w:t>
            </w:r>
          </w:p>
        </w:tc>
        <w:tc>
          <w:tcPr>
            <w:tcW w:type="dxa" w:w="4195"/>
          </w:tcPr>
          <w:p>
            <w:pPr>
              <w:spacing w:after="20"/>
            </w:pPr>
            <w:r/>
            <w:r>
              <w:rPr>
                <w:b w:val="0"/>
                <w:i w:val="0"/>
                <w:sz w:val="20"/>
              </w:rPr>
              <w:t>Partial-basin floods would make losses less concentrated</w:t>
            </w:r>
          </w:p>
        </w:tc>
      </w:tr>
      <w:tr>
        <w:tc>
          <w:tcPr>
            <w:tcW w:type="dxa" w:w="1020"/>
          </w:tcPr>
          <w:p>
            <w:pPr>
              <w:spacing w:after="20"/>
            </w:pPr>
            <w:r/>
            <w:r>
              <w:rPr>
                <w:b w:val="0"/>
                <w:i w:val="0"/>
                <w:sz w:val="20"/>
              </w:rPr>
              <w:t>A-FIN-4</w:t>
            </w:r>
          </w:p>
        </w:tc>
        <w:tc>
          <w:tcPr>
            <w:tcW w:type="dxa" w:w="4139"/>
          </w:tcPr>
          <w:p>
            <w:pPr>
              <w:spacing w:after="20"/>
            </w:pPr>
            <w:r/>
            <w:r>
              <w:rPr>
                <w:b w:val="0"/>
                <w:i w:val="0"/>
                <w:sz w:val="20"/>
              </w:rPr>
              <w:t>Damage luck correlated with ρ = 0.3 (Gaussian copula)</w:t>
            </w:r>
          </w:p>
        </w:tc>
        <w:tc>
          <w:tcPr>
            <w:tcW w:type="dxa" w:w="4195"/>
          </w:tcPr>
          <w:p>
            <w:pPr>
              <w:spacing w:after="20"/>
            </w:pPr>
            <w:r/>
            <w:r>
              <w:rPr>
                <w:b w:val="0"/>
                <w:i w:val="0"/>
                <w:sz w:val="20"/>
              </w:rPr>
              <w:t>Moves the 1-in-200 by about ±10 % (see 4.6); the average is unaffected</w:t>
            </w:r>
          </w:p>
        </w:tc>
      </w:tr>
      <w:tr>
        <w:tc>
          <w:tcPr>
            <w:tcW w:type="dxa" w:w="1020"/>
          </w:tcPr>
          <w:p>
            <w:pPr>
              <w:spacing w:after="20"/>
            </w:pPr>
            <w:r/>
            <w:r>
              <w:rPr>
                <w:b w:val="0"/>
                <w:i w:val="0"/>
                <w:sz w:val="20"/>
              </w:rPr>
              <w:t>A-HAZ-2/3</w:t>
            </w:r>
          </w:p>
        </w:tc>
        <w:tc>
          <w:tcPr>
            <w:tcW w:type="dxa" w:w="4139"/>
          </w:tcPr>
          <w:p>
            <w:pPr>
              <w:spacing w:after="20"/>
            </w:pPr>
            <w:r/>
            <w:r>
              <w:rPr>
                <w:b w:val="0"/>
                <w:i w:val="0"/>
                <w:sz w:val="20"/>
              </w:rPr>
              <w:t>No flood at 1-in-2 or more frequent; depth interpolated in ln(RP); extrapolated beyond 1-in-500 to a 1-in-10,000 cap</w:t>
            </w:r>
          </w:p>
        </w:tc>
        <w:tc>
          <w:tcPr>
            <w:tcW w:type="dxa" w:w="4195"/>
          </w:tcPr>
          <w:p>
            <w:pPr>
              <w:spacing w:after="20"/>
            </w:pPr>
            <w:r/>
            <w:r>
              <w:rPr>
                <w:b w:val="0"/>
                <w:i w:val="0"/>
                <w:sz w:val="20"/>
              </w:rPr>
              <w:t>Shapes the frequent end and extreme tail</w:t>
            </w:r>
          </w:p>
        </w:tc>
      </w:tr>
      <w:tr>
        <w:tc>
          <w:tcPr>
            <w:tcW w:type="dxa" w:w="1020"/>
          </w:tcPr>
          <w:p>
            <w:pPr>
              <w:spacing w:after="20"/>
            </w:pPr>
            <w:r/>
            <w:r>
              <w:rPr>
                <w:b w:val="0"/>
                <w:i w:val="0"/>
                <w:sz w:val="20"/>
              </w:rPr>
              <w:t>A-VUL-3</w:t>
            </w:r>
          </w:p>
        </w:tc>
        <w:tc>
          <w:tcPr>
            <w:tcW w:type="dxa" w:w="4139"/>
          </w:tcPr>
          <w:p>
            <w:pPr>
              <w:spacing w:after="20"/>
            </w:pPr>
            <w:r/>
            <w:r>
              <w:rPr>
                <w:b w:val="0"/>
                <w:i w:val="0"/>
                <w:sz w:val="20"/>
              </w:rPr>
              <w:t>Damage range comes from the ML quantiles trained on synthetic pseudo-claims; tails beyond the 5 %/95 % points extended by 25 %</w:t>
            </w:r>
          </w:p>
        </w:tc>
        <w:tc>
          <w:tcPr>
            <w:tcW w:type="dxa" w:w="4195"/>
          </w:tcPr>
          <w:p>
            <w:pPr>
              <w:spacing w:after="20"/>
            </w:pPr>
            <w:r/>
            <w:r>
              <w:rPr>
                <w:b w:val="0"/>
                <w:i w:val="0"/>
                <w:sz w:val="20"/>
              </w:rPr>
              <w:t>The spread reflects our assumptions and two published curves, not observed Kenyan claims</w:t>
            </w:r>
          </w:p>
        </w:tc>
      </w:tr>
      <w:tr>
        <w:tc>
          <w:tcPr>
            <w:tcW w:type="dxa" w:w="1020"/>
          </w:tcPr>
          <w:p>
            <w:pPr>
              <w:spacing w:after="20"/>
            </w:pPr>
            <w:r/>
            <w:r>
              <w:rPr>
                <w:b w:val="0"/>
                <w:i w:val="0"/>
                <w:sz w:val="20"/>
              </w:rPr>
              <w:t>—</w:t>
            </w:r>
          </w:p>
        </w:tc>
        <w:tc>
          <w:tcPr>
            <w:tcW w:type="dxa" w:w="4139"/>
          </w:tcPr>
          <w:p>
            <w:pPr>
              <w:spacing w:after="20"/>
            </w:pPr>
            <w:r/>
            <w:r>
              <w:rPr>
                <w:b w:val="0"/>
                <w:i w:val="0"/>
                <w:sz w:val="20"/>
              </w:rPr>
              <w:t>Only damage is random; the hazard depth for a given flood size is fixed</w:t>
            </w:r>
          </w:p>
        </w:tc>
        <w:tc>
          <w:tcPr>
            <w:tcW w:type="dxa" w:w="4195"/>
          </w:tcPr>
          <w:p>
            <w:pPr>
              <w:spacing w:after="20"/>
            </w:pPr>
            <w:r/>
            <w:r>
              <w:rPr>
                <w:b w:val="0"/>
                <w:i w:val="0"/>
                <w:sz w:val="20"/>
              </w:rPr>
              <w:t>Depth uncertainty within a 925 m cell is handled separately as a sensitivity (bilinear sampling, +10 % at 1-in-100)</w:t>
            </w:r>
          </w:p>
        </w:tc>
      </w:tr>
    </w:tbl>
    <w:p>
      <w:pPr>
        <w:spacing w:after="40"/>
      </w:pPr>
    </w:p>
    <w:p>
      <w:pPr>
        <w:pStyle w:val="Heading2"/>
      </w:pPr>
      <w:r>
        <w:t>6.5 Key formulas</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Flood:        p ~ U(0,1);  no flood if p ≥ 0.5;  RP = 1/p</w:t>
            </w:r>
          </w:p>
          <w:p>
            <w:pPr>
              <w:spacing w:after="0"/>
            </w:pPr>
            <w:r>
              <w:rPr>
                <w:rFonts w:ascii="Consolas" w:hAnsi="Consolas"/>
                <w:b w:val="0"/>
                <w:i w:val="0"/>
                <w:sz w:val="19"/>
              </w:rPr>
              <w:t>Depth:        d_i = depthAtRp(D_i, RP)</w:t>
            </w:r>
          </w:p>
          <w:p>
            <w:pPr>
              <w:spacing w:after="0"/>
            </w:pPr>
            <w:r>
              <w:rPr>
                <w:rFonts w:ascii="Consolas" w:hAnsi="Consolas"/>
                <w:b w:val="0"/>
                <w:i w:val="0"/>
                <w:sz w:val="19"/>
              </w:rPr>
              <w:t>Shared luck:  u_i = Φ(√ρ·Z + √(1−ρ)·ε_i),   Z, ε_i ~ N(0,1)</w:t>
            </w:r>
          </w:p>
          <w:p>
            <w:pPr>
              <w:spacing w:after="0"/>
            </w:pPr>
            <w:r>
              <w:rPr>
                <w:rFonts w:ascii="Consolas" w:hAnsi="Consolas"/>
                <w:b w:val="0"/>
                <w:i w:val="0"/>
                <w:sz w:val="19"/>
              </w:rPr>
              <w:t>Damage:       DR_i = invCDF_i(u_i) · mean_i / q̄_i   (clipped to 0–1)</w:t>
            </w:r>
          </w:p>
          <w:p>
            <w:pPr>
              <w:spacing w:after="0"/>
            </w:pPr>
            <w:r>
              <w:rPr>
                <w:rFonts w:ascii="Consolas" w:hAnsi="Consolas"/>
                <w:b w:val="0"/>
                <w:i w:val="0"/>
                <w:sz w:val="19"/>
              </w:rPr>
              <w:t>Money:        GU = Σ DR_i·TIV_i;  gross = Σ min(max(DR_i·TIV_i − ded·TIV_i, 0), lim·TIV_i);  net = gross − QS − XL</w:t>
            </w:r>
          </w:p>
          <w:p>
            <w:pPr>
              <w:spacing w:after="0"/>
            </w:pPr>
            <w:r>
              <w:rPr>
                <w:rFonts w:ascii="Consolas" w:hAnsi="Consolas"/>
                <w:b w:val="0"/>
                <w:i w:val="0"/>
                <w:sz w:val="19"/>
              </w:rPr>
              <w:t>OEP(r):       L_sorted_desc[ floor(n/r) − 1 ]</w:t>
            </w:r>
          </w:p>
          <w:p>
            <w:pPr>
              <w:spacing w:after="0"/>
            </w:pPr>
            <w:r>
              <w:rPr>
                <w:rFonts w:ascii="Consolas" w:hAnsi="Consolas"/>
                <w:b w:val="0"/>
                <w:i w:val="0"/>
                <w:sz w:val="19"/>
              </w:rPr>
              <w:t>AAL:          mean(L);   StdDev: sd(L);   TVaR1%: mean of the worst floor(0.01·n) years</w:t>
            </w:r>
          </w:p>
        </w:tc>
      </w:tr>
    </w:tbl>
    <w:p>
      <w:pPr>
        <w:spacing w:after="40"/>
      </w:pPr>
    </w:p>
    <w:p>
      <w:pPr>
        <w:pStyle w:val="Heading1"/>
      </w:pPr>
      <w:r>
        <w:t>Part 7 — Frequently asked questions</w:t>
      </w:r>
    </w:p>
    <w:p>
      <w:pPr>
        <w:spacing w:after="20"/>
      </w:pPr>
      <w:r>
        <w:rPr>
          <w:b/>
          <w:i w:val="0"/>
          <w:color w:val="041D3B"/>
        </w:rPr>
        <w:t>Why do the numbers move slightly when I change “Simulated years”?</w:t>
      </w:r>
    </w:p>
    <w:p>
      <w:pPr>
        <w:spacing w:after="160"/>
      </w:pPr>
      <w:r>
        <w:rPr>
          <w:b w:val="0"/>
          <w:i w:val="0"/>
        </w:rPr>
        <w:t>Different numbers of years mean different random samples, so tail figures shift by a percent or two. That is sampling noise, not a model change. Use 50k years when you need the most stable tail.</w:t>
      </w:r>
    </w:p>
    <w:p>
      <w:pPr>
        <w:spacing w:after="20"/>
      </w:pPr>
      <w:r>
        <w:rPr>
          <w:b/>
          <w:i w:val="0"/>
          <w:color w:val="041D3B"/>
        </w:rPr>
        <w:t>Why isn't the Monte Carlo AAL exactly equal to the deterministic AAL?</w:t>
      </w:r>
    </w:p>
    <w:p>
      <w:pPr>
        <w:spacing w:after="160"/>
      </w:pPr>
      <w:r>
        <w:rPr>
          <w:b w:val="0"/>
          <w:i w:val="0"/>
        </w:rPr>
        <w:t>Because it is an estimate from a finite sample (±0.7 % at 50,000 years). The sampler is built so that, on average, they are equal.</w:t>
      </w:r>
    </w:p>
    <w:p>
      <w:pPr>
        <w:spacing w:after="20"/>
      </w:pPr>
      <w:r>
        <w:rPr>
          <w:b/>
          <w:i w:val="0"/>
          <w:color w:val="041D3B"/>
        </w:rPr>
        <w:t>If the average is the same, why bother?</w:t>
      </w:r>
    </w:p>
    <w:p>
      <w:pPr>
        <w:spacing w:after="160"/>
      </w:pPr>
      <w:r>
        <w:rPr>
          <w:b w:val="0"/>
          <w:i w:val="0"/>
        </w:rPr>
        <w:t>Because insurance and reinsurance decisions are driven by bad years, not averages. The simulation shows the realistic 1-in-100 is ~20 % higher, and that the Cat XL can be exhausted in rare years — neither is visible on the average-damage curve.</w:t>
      </w:r>
    </w:p>
    <w:p>
      <w:pPr>
        <w:spacing w:after="20"/>
      </w:pPr>
      <w:r>
        <w:rPr>
          <w:b/>
          <w:i w:val="0"/>
          <w:color w:val="041D3B"/>
        </w:rPr>
        <w:t>Why does the simulated 1-in-10 come out lower than the deterministic one?</w:t>
      </w:r>
    </w:p>
    <w:p>
      <w:pPr>
        <w:spacing w:after="160"/>
      </w:pPr>
      <w:r>
        <w:rPr>
          <w:b w:val="0"/>
          <w:i w:val="0"/>
        </w:rPr>
        <w:t>Damage is skewed — most outcomes sit a little below average, a few far above. A typical frequent year therefore lands below the average-damage figure, while rare years land well above it.</w:t>
      </w:r>
    </w:p>
    <w:p>
      <w:pPr>
        <w:spacing w:after="20"/>
      </w:pPr>
      <w:r>
        <w:rPr>
          <w:b/>
          <w:i w:val="0"/>
          <w:color w:val="041D3B"/>
        </w:rPr>
        <w:t>Does the simulation use the AI?</w:t>
      </w:r>
    </w:p>
    <w:p>
      <w:pPr>
        <w:spacing w:after="160"/>
      </w:pPr>
      <w:r>
        <w:rPr>
          <w:b w:val="0"/>
          <w:i w:val="0"/>
        </w:rPr>
        <w:t>No. It uses only the hazard maps, the trained ML damage table and the policy terms. The AI only reads documents and writes the briefing; the briefing quotes the simulation's numbers.</w:t>
      </w:r>
    </w:p>
    <w:p>
      <w:pPr>
        <w:spacing w:after="20"/>
      </w:pPr>
      <w:r>
        <w:rPr>
          <w:b/>
          <w:i w:val="0"/>
          <w:color w:val="041D3B"/>
        </w:rPr>
        <w:t>Does accepting an offer change the simulation?</w:t>
      </w:r>
    </w:p>
    <w:p>
      <w:pPr>
        <w:spacing w:after="160"/>
      </w:pPr>
      <w:r>
        <w:rPr>
          <w:b w:val="0"/>
          <w:i w:val="0"/>
        </w:rPr>
        <w:t>Yes. The simulation re-runs on the updated book, so the dashed Monte Carlo line on the Portfolio tab and the next briefing reflect the new buildings. (The desk's “before vs after” comparison uses the deterministic engine.)</w:t>
      </w:r>
    </w:p>
    <w:p>
      <w:pPr>
        <w:spacing w:after="20"/>
      </w:pPr>
      <w:r>
        <w:rPr>
          <w:b/>
          <w:i w:val="0"/>
          <w:color w:val="041D3B"/>
        </w:rPr>
        <w:t>What does changing ρ do?</w:t>
      </w:r>
    </w:p>
    <w:p>
      <w:pPr>
        <w:spacing w:after="160"/>
      </w:pPr>
      <w:r>
        <w:rPr>
          <w:b w:val="0"/>
          <w:i w:val="0"/>
        </w:rPr>
        <w:t>It controls how much buildings share their damage luck in a flood. Higher ρ → fatter tail (higher 1-in-100 and 1-in-200, higher TVaR); the average stays the same.</w:t>
      </w:r>
    </w:p>
    <w:p>
      <w:pPr>
        <w:spacing w:after="20"/>
      </w:pPr>
      <w:r>
        <w:rPr>
          <w:b/>
          <w:i w:val="0"/>
          <w:color w:val="041D3B"/>
        </w:rPr>
        <w:t>Why do half the simulated years have zero loss?</w:t>
      </w:r>
    </w:p>
    <w:p>
      <w:pPr>
        <w:spacing w:after="160"/>
      </w:pPr>
      <w:r>
        <w:rPr>
          <w:b w:val="0"/>
          <w:i w:val="0"/>
        </w:rPr>
        <w:t>Floods more frequent than 1-in-2 are assumed to stay within the river banks. So any year whose random number is 0.5 or above has no damaging flood.</w:t>
      </w:r>
    </w:p>
    <w:p>
      <w:pPr>
        <w:pStyle w:val="Heading1"/>
      </w:pPr>
      <w:r>
        <w:t>Part 8 — Glossary</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041D3B"/>
          </w:tcPr>
          <w:p>
            <w:r/>
            <w:r>
              <w:rPr>
                <w:b/>
                <w:i w:val="0"/>
                <w:color w:val="FFFFFF"/>
                <w:sz w:val="20"/>
              </w:rPr>
              <w:t>Term</w:t>
            </w:r>
          </w:p>
        </w:tc>
        <w:tc>
          <w:tcPr>
            <w:tcW w:type="dxa" w:w="6803"/>
            <w:shd w:val="clear" w:color="auto" w:fill="041D3B"/>
          </w:tcPr>
          <w:p>
            <w:r/>
            <w:r>
              <w:rPr>
                <w:b/>
                <w:i w:val="0"/>
                <w:color w:val="FFFFFF"/>
                <w:sz w:val="20"/>
              </w:rPr>
              <w:t>Meaning</w:t>
            </w:r>
          </w:p>
        </w:tc>
      </w:tr>
      <w:tr>
        <w:tc>
          <w:tcPr>
            <w:tcW w:type="dxa" w:w="2551"/>
          </w:tcPr>
          <w:p>
            <w:pPr>
              <w:spacing w:after="20"/>
            </w:pPr>
            <w:r/>
            <w:r>
              <w:rPr>
                <w:b w:val="0"/>
                <w:i w:val="0"/>
                <w:sz w:val="20"/>
              </w:rPr>
              <w:t>Monte Carlo simulation</w:t>
            </w:r>
          </w:p>
        </w:tc>
        <w:tc>
          <w:tcPr>
            <w:tcW w:type="dxa" w:w="6803"/>
          </w:tcPr>
          <w:p>
            <w:pPr>
              <w:spacing w:after="20"/>
            </w:pPr>
            <w:r/>
            <w:r>
              <w:rPr>
                <w:b w:val="0"/>
                <w:i w:val="0"/>
                <w:sz w:val="20"/>
              </w:rPr>
              <w:t>Answering a question by simulating many random outcomes and counting them</w:t>
            </w:r>
          </w:p>
        </w:tc>
      </w:tr>
      <w:tr>
        <w:tc>
          <w:tcPr>
            <w:tcW w:type="dxa" w:w="2551"/>
          </w:tcPr>
          <w:p>
            <w:pPr>
              <w:spacing w:after="20"/>
            </w:pPr>
            <w:r/>
            <w:r>
              <w:rPr>
                <w:b w:val="0"/>
                <w:i w:val="0"/>
                <w:sz w:val="20"/>
              </w:rPr>
              <w:t>Simulated year</w:t>
            </w:r>
          </w:p>
        </w:tc>
        <w:tc>
          <w:tcPr>
            <w:tcW w:type="dxa" w:w="6803"/>
          </w:tcPr>
          <w:p>
            <w:pPr>
              <w:spacing w:after="20"/>
            </w:pPr>
            <w:r/>
            <w:r>
              <w:rPr>
                <w:b w:val="0"/>
                <w:i w:val="0"/>
                <w:sz w:val="20"/>
              </w:rPr>
              <w:t>One imaginary year: maybe a flood, then damage, then money</w:t>
            </w:r>
          </w:p>
        </w:tc>
      </w:tr>
      <w:tr>
        <w:tc>
          <w:tcPr>
            <w:tcW w:type="dxa" w:w="2551"/>
          </w:tcPr>
          <w:p>
            <w:pPr>
              <w:spacing w:after="20"/>
            </w:pPr>
            <w:r/>
            <w:r>
              <w:rPr>
                <w:b w:val="0"/>
                <w:i w:val="0"/>
                <w:sz w:val="20"/>
              </w:rPr>
              <w:t>Year-loss table (YLT)</w:t>
            </w:r>
          </w:p>
        </w:tc>
        <w:tc>
          <w:tcPr>
            <w:tcW w:type="dxa" w:w="6803"/>
          </w:tcPr>
          <w:p>
            <w:pPr>
              <w:spacing w:after="20"/>
            </w:pPr>
            <w:r/>
            <w:r>
              <w:rPr>
                <w:b w:val="0"/>
                <w:i w:val="0"/>
                <w:sz w:val="20"/>
              </w:rPr>
              <w:t>The list of all simulated years and their losses</w:t>
            </w:r>
          </w:p>
        </w:tc>
      </w:tr>
      <w:tr>
        <w:tc>
          <w:tcPr>
            <w:tcW w:type="dxa" w:w="2551"/>
          </w:tcPr>
          <w:p>
            <w:pPr>
              <w:spacing w:after="20"/>
            </w:pPr>
            <w:r/>
            <w:r>
              <w:rPr>
                <w:b w:val="0"/>
                <w:i w:val="0"/>
                <w:sz w:val="20"/>
              </w:rPr>
              <w:t>Return period (1-in-N)</w:t>
            </w:r>
          </w:p>
        </w:tc>
        <w:tc>
          <w:tcPr>
            <w:tcW w:type="dxa" w:w="6803"/>
          </w:tcPr>
          <w:p>
            <w:pPr>
              <w:spacing w:after="20"/>
            </w:pPr>
            <w:r/>
            <w:r>
              <w:rPr>
                <w:b w:val="0"/>
                <w:i w:val="0"/>
                <w:sz w:val="20"/>
              </w:rPr>
              <w:t>A flood or loss reached or exceeded with a 1/N chance in any year</w:t>
            </w:r>
          </w:p>
        </w:tc>
      </w:tr>
      <w:tr>
        <w:tc>
          <w:tcPr>
            <w:tcW w:type="dxa" w:w="2551"/>
          </w:tcPr>
          <w:p>
            <w:pPr>
              <w:spacing w:after="20"/>
            </w:pPr>
            <w:r/>
            <w:r>
              <w:rPr>
                <w:b w:val="0"/>
                <w:i w:val="0"/>
                <w:sz w:val="20"/>
              </w:rPr>
              <w:t>Deterministic</w:t>
            </w:r>
          </w:p>
        </w:tc>
        <w:tc>
          <w:tcPr>
            <w:tcW w:type="dxa" w:w="6803"/>
          </w:tcPr>
          <w:p>
            <w:pPr>
              <w:spacing w:after="20"/>
            </w:pPr>
            <w:r/>
            <w:r>
              <w:rPr>
                <w:b w:val="0"/>
                <w:i w:val="0"/>
                <w:sz w:val="20"/>
              </w:rPr>
              <w:t>No randomness: average damage used; same input → same single answer</w:t>
            </w:r>
          </w:p>
        </w:tc>
      </w:tr>
      <w:tr>
        <w:tc>
          <w:tcPr>
            <w:tcW w:type="dxa" w:w="2551"/>
          </w:tcPr>
          <w:p>
            <w:pPr>
              <w:spacing w:after="20"/>
            </w:pPr>
            <w:r/>
            <w:r>
              <w:rPr>
                <w:b w:val="0"/>
                <w:i w:val="0"/>
                <w:sz w:val="20"/>
              </w:rPr>
              <w:t>Stochastic</w:t>
            </w:r>
          </w:p>
        </w:tc>
        <w:tc>
          <w:tcPr>
            <w:tcW w:type="dxa" w:w="6803"/>
          </w:tcPr>
          <w:p>
            <w:pPr>
              <w:spacing w:after="20"/>
            </w:pPr>
            <w:r/>
            <w:r>
              <w:rPr>
                <w:b w:val="0"/>
                <w:i w:val="0"/>
                <w:sz w:val="20"/>
              </w:rPr>
              <w:t>Involving randomness, as in the simulation</w:t>
            </w:r>
          </w:p>
        </w:tc>
      </w:tr>
      <w:tr>
        <w:tc>
          <w:tcPr>
            <w:tcW w:type="dxa" w:w="2551"/>
          </w:tcPr>
          <w:p>
            <w:pPr>
              <w:spacing w:after="20"/>
            </w:pPr>
            <w:r/>
            <w:r>
              <w:rPr>
                <w:b w:val="0"/>
                <w:i w:val="0"/>
                <w:sz w:val="20"/>
              </w:rPr>
              <w:t>Primary uncertainty</w:t>
            </w:r>
          </w:p>
        </w:tc>
        <w:tc>
          <w:tcPr>
            <w:tcW w:type="dxa" w:w="6803"/>
          </w:tcPr>
          <w:p>
            <w:pPr>
              <w:spacing w:after="20"/>
            </w:pPr>
            <w:r/>
            <w:r>
              <w:rPr>
                <w:b w:val="0"/>
                <w:i w:val="0"/>
                <w:sz w:val="20"/>
              </w:rPr>
              <w:t>Which flood happens (size) — Step 1</w:t>
            </w:r>
          </w:p>
        </w:tc>
      </w:tr>
      <w:tr>
        <w:tc>
          <w:tcPr>
            <w:tcW w:type="dxa" w:w="2551"/>
          </w:tcPr>
          <w:p>
            <w:pPr>
              <w:spacing w:after="20"/>
            </w:pPr>
            <w:r/>
            <w:r>
              <w:rPr>
                <w:b w:val="0"/>
                <w:i w:val="0"/>
                <w:sz w:val="20"/>
              </w:rPr>
              <w:t>Secondary uncertainty</w:t>
            </w:r>
          </w:p>
        </w:tc>
        <w:tc>
          <w:tcPr>
            <w:tcW w:type="dxa" w:w="6803"/>
          </w:tcPr>
          <w:p>
            <w:pPr>
              <w:spacing w:after="20"/>
            </w:pPr>
            <w:r/>
            <w:r>
              <w:rPr>
                <w:b w:val="0"/>
                <w:i w:val="0"/>
                <w:sz w:val="20"/>
              </w:rPr>
              <w:t>How much damage, given the flood — Step 3</w:t>
            </w:r>
          </w:p>
        </w:tc>
      </w:tr>
      <w:tr>
        <w:tc>
          <w:tcPr>
            <w:tcW w:type="dxa" w:w="2551"/>
          </w:tcPr>
          <w:p>
            <w:pPr>
              <w:spacing w:after="20"/>
            </w:pPr>
            <w:r/>
            <w:r>
              <w:rPr>
                <w:b w:val="0"/>
                <w:i w:val="0"/>
                <w:sz w:val="20"/>
              </w:rPr>
              <w:t>Quantile / percentile</w:t>
            </w:r>
          </w:p>
        </w:tc>
        <w:tc>
          <w:tcPr>
            <w:tcW w:type="dxa" w:w="6803"/>
          </w:tcPr>
          <w:p>
            <w:pPr>
              <w:spacing w:after="20"/>
            </w:pPr>
            <w:r/>
            <w:r>
              <w:rPr>
                <w:b w:val="0"/>
                <w:i w:val="0"/>
                <w:sz w:val="20"/>
              </w:rPr>
              <w:t>q95 = the damage exceeded only 5 % of the time</w:t>
            </w:r>
          </w:p>
        </w:tc>
      </w:tr>
      <w:tr>
        <w:tc>
          <w:tcPr>
            <w:tcW w:type="dxa" w:w="2551"/>
          </w:tcPr>
          <w:p>
            <w:pPr>
              <w:spacing w:after="20"/>
            </w:pPr>
            <w:r/>
            <w:r>
              <w:rPr>
                <w:b w:val="0"/>
                <w:i w:val="0"/>
                <w:sz w:val="20"/>
              </w:rPr>
              <w:t>Inverse CDF</w:t>
            </w:r>
          </w:p>
        </w:tc>
        <w:tc>
          <w:tcPr>
            <w:tcW w:type="dxa" w:w="6803"/>
          </w:tcPr>
          <w:p>
            <w:pPr>
              <w:spacing w:after="20"/>
            </w:pPr>
            <w:r/>
            <w:r>
              <w:rPr>
                <w:b w:val="0"/>
                <w:i w:val="0"/>
                <w:sz w:val="20"/>
              </w:rPr>
              <w:t>A rule that turns a random number between 0 and 1 into a damage value with the right distribution</w:t>
            </w:r>
          </w:p>
        </w:tc>
      </w:tr>
      <w:tr>
        <w:tc>
          <w:tcPr>
            <w:tcW w:type="dxa" w:w="2551"/>
          </w:tcPr>
          <w:p>
            <w:pPr>
              <w:spacing w:after="20"/>
            </w:pPr>
            <w:r/>
            <w:r>
              <w:rPr>
                <w:b w:val="0"/>
                <w:i w:val="0"/>
                <w:sz w:val="20"/>
              </w:rPr>
              <w:t>Mean-preserving</w:t>
            </w:r>
          </w:p>
        </w:tc>
        <w:tc>
          <w:tcPr>
            <w:tcW w:type="dxa" w:w="6803"/>
          </w:tcPr>
          <w:p>
            <w:pPr>
              <w:spacing w:after="20"/>
            </w:pPr>
            <w:r/>
            <w:r>
              <w:rPr>
                <w:b w:val="0"/>
                <w:i w:val="0"/>
                <w:sz w:val="20"/>
              </w:rPr>
              <w:t>Adjusted so the long-run average equals the model's average</w:t>
            </w:r>
          </w:p>
        </w:tc>
      </w:tr>
      <w:tr>
        <w:tc>
          <w:tcPr>
            <w:tcW w:type="dxa" w:w="2551"/>
          </w:tcPr>
          <w:p>
            <w:pPr>
              <w:spacing w:after="20"/>
            </w:pPr>
            <w:r/>
            <w:r>
              <w:rPr>
                <w:b w:val="0"/>
                <w:i w:val="0"/>
                <w:sz w:val="20"/>
              </w:rPr>
              <w:t>Correlation ρ</w:t>
            </w:r>
          </w:p>
        </w:tc>
        <w:tc>
          <w:tcPr>
            <w:tcW w:type="dxa" w:w="6803"/>
          </w:tcPr>
          <w:p>
            <w:pPr>
              <w:spacing w:after="20"/>
            </w:pPr>
            <w:r/>
            <w:r>
              <w:rPr>
                <w:b w:val="0"/>
                <w:i w:val="0"/>
                <w:sz w:val="20"/>
              </w:rPr>
              <w:t>How much buildings share their damage luck in the same flood (0 = none, 1 = identical)</w:t>
            </w:r>
          </w:p>
        </w:tc>
      </w:tr>
      <w:tr>
        <w:tc>
          <w:tcPr>
            <w:tcW w:type="dxa" w:w="2551"/>
          </w:tcPr>
          <w:p>
            <w:pPr>
              <w:spacing w:after="20"/>
            </w:pPr>
            <w:r/>
            <w:r>
              <w:rPr>
                <w:b w:val="0"/>
                <w:i w:val="0"/>
                <w:sz w:val="20"/>
              </w:rPr>
              <w:t>Gaussian copula</w:t>
            </w:r>
          </w:p>
        </w:tc>
        <w:tc>
          <w:tcPr>
            <w:tcW w:type="dxa" w:w="6803"/>
          </w:tcPr>
          <w:p>
            <w:pPr>
              <w:spacing w:after="20"/>
            </w:pPr>
            <w:r/>
            <w:r>
              <w:rPr>
                <w:b w:val="0"/>
                <w:i w:val="0"/>
                <w:sz w:val="20"/>
              </w:rPr>
              <w:t>The mathematical device used to give the buildings shared luck</w:t>
            </w:r>
          </w:p>
        </w:tc>
      </w:tr>
      <w:tr>
        <w:tc>
          <w:tcPr>
            <w:tcW w:type="dxa" w:w="2551"/>
          </w:tcPr>
          <w:p>
            <w:pPr>
              <w:spacing w:after="20"/>
            </w:pPr>
            <w:r/>
            <w:r>
              <w:rPr>
                <w:b w:val="0"/>
                <w:i w:val="0"/>
                <w:sz w:val="20"/>
              </w:rPr>
              <w:t>OEP</w:t>
            </w:r>
          </w:p>
        </w:tc>
        <w:tc>
          <w:tcPr>
            <w:tcW w:type="dxa" w:w="6803"/>
          </w:tcPr>
          <w:p>
            <w:pPr>
              <w:spacing w:after="20"/>
            </w:pPr>
            <w:r/>
            <w:r>
              <w:rPr>
                <w:b w:val="0"/>
                <w:i w:val="0"/>
                <w:sz w:val="20"/>
              </w:rPr>
              <w:t>Occurrence exceedance probability curve: loss of the year's flood vs return period</w:t>
            </w:r>
          </w:p>
        </w:tc>
      </w:tr>
      <w:tr>
        <w:tc>
          <w:tcPr>
            <w:tcW w:type="dxa" w:w="2551"/>
          </w:tcPr>
          <w:p>
            <w:pPr>
              <w:spacing w:after="20"/>
            </w:pPr>
            <w:r/>
            <w:r>
              <w:rPr>
                <w:b w:val="0"/>
                <w:i w:val="0"/>
                <w:sz w:val="20"/>
              </w:rPr>
              <w:t>AAL</w:t>
            </w:r>
          </w:p>
        </w:tc>
        <w:tc>
          <w:tcPr>
            <w:tcW w:type="dxa" w:w="6803"/>
          </w:tcPr>
          <w:p>
            <w:pPr>
              <w:spacing w:after="20"/>
            </w:pPr>
            <w:r/>
            <w:r>
              <w:rPr>
                <w:b w:val="0"/>
                <w:i w:val="0"/>
                <w:sz w:val="20"/>
              </w:rPr>
              <w:t>Average annual loss: mean loss over all simulated years</w:t>
            </w:r>
          </w:p>
        </w:tc>
      </w:tr>
      <w:tr>
        <w:tc>
          <w:tcPr>
            <w:tcW w:type="dxa" w:w="2551"/>
          </w:tcPr>
          <w:p>
            <w:pPr>
              <w:spacing w:after="20"/>
            </w:pPr>
            <w:r/>
            <w:r>
              <w:rPr>
                <w:b w:val="0"/>
                <w:i w:val="0"/>
                <w:sz w:val="20"/>
              </w:rPr>
              <w:t>Standard deviation</w:t>
            </w:r>
          </w:p>
        </w:tc>
        <w:tc>
          <w:tcPr>
            <w:tcW w:type="dxa" w:w="6803"/>
          </w:tcPr>
          <w:p>
            <w:pPr>
              <w:spacing w:after="20"/>
            </w:pPr>
            <w:r/>
            <w:r>
              <w:rPr>
                <w:b w:val="0"/>
                <w:i w:val="0"/>
                <w:sz w:val="20"/>
              </w:rPr>
              <w:t>Typical size of the swing around the average</w:t>
            </w:r>
          </w:p>
        </w:tc>
      </w:tr>
      <w:tr>
        <w:tc>
          <w:tcPr>
            <w:tcW w:type="dxa" w:w="2551"/>
          </w:tcPr>
          <w:p>
            <w:pPr>
              <w:spacing w:after="20"/>
            </w:pPr>
            <w:r/>
            <w:r>
              <w:rPr>
                <w:b w:val="0"/>
                <w:i w:val="0"/>
                <w:sz w:val="20"/>
              </w:rPr>
              <w:t>TVaR 1 %</w:t>
            </w:r>
          </w:p>
        </w:tc>
        <w:tc>
          <w:tcPr>
            <w:tcW w:type="dxa" w:w="6803"/>
          </w:tcPr>
          <w:p>
            <w:pPr>
              <w:spacing w:after="20"/>
            </w:pPr>
            <w:r/>
            <w:r>
              <w:rPr>
                <w:b w:val="0"/>
                <w:i w:val="0"/>
                <w:sz w:val="20"/>
              </w:rPr>
              <w:t>Average loss of the worst 1 % of years</w:t>
            </w:r>
          </w:p>
        </w:tc>
      </w:tr>
      <w:tr>
        <w:tc>
          <w:tcPr>
            <w:tcW w:type="dxa" w:w="2551"/>
          </w:tcPr>
          <w:p>
            <w:pPr>
              <w:spacing w:after="20"/>
            </w:pPr>
            <w:r/>
            <w:r>
              <w:rPr>
                <w:b w:val="0"/>
                <w:i w:val="0"/>
                <w:sz w:val="20"/>
              </w:rPr>
              <w:t>Sampling error</w:t>
            </w:r>
          </w:p>
        </w:tc>
        <w:tc>
          <w:tcPr>
            <w:tcW w:type="dxa" w:w="6803"/>
          </w:tcPr>
          <w:p>
            <w:pPr>
              <w:spacing w:after="20"/>
            </w:pPr>
            <w:r/>
            <w:r>
              <w:rPr>
                <w:b w:val="0"/>
                <w:i w:val="0"/>
                <w:sz w:val="20"/>
              </w:rPr>
              <w:t>Noise in a simulated answer from using a finite number of years</w:t>
            </w:r>
          </w:p>
        </w:tc>
      </w:tr>
      <w:tr>
        <w:tc>
          <w:tcPr>
            <w:tcW w:type="dxa" w:w="2551"/>
          </w:tcPr>
          <w:p>
            <w:pPr>
              <w:spacing w:after="20"/>
            </w:pPr>
            <w:r/>
            <w:r>
              <w:rPr>
                <w:b w:val="0"/>
                <w:i w:val="0"/>
                <w:sz w:val="20"/>
              </w:rPr>
              <w:t>Seed</w:t>
            </w:r>
          </w:p>
        </w:tc>
        <w:tc>
          <w:tcPr>
            <w:tcW w:type="dxa" w:w="6803"/>
          </w:tcPr>
          <w:p>
            <w:pPr>
              <w:spacing w:after="20"/>
            </w:pPr>
            <w:r/>
            <w:r>
              <w:rPr>
                <w:b w:val="0"/>
                <w:i w:val="0"/>
                <w:sz w:val="20"/>
              </w:rPr>
              <w:t>Starting value of the random number generator; fixing it makes results repeatable</w:t>
            </w:r>
          </w:p>
        </w:tc>
      </w:tr>
    </w:tbl>
    <w:p>
      <w:pPr>
        <w:spacing w:after="40"/>
      </w:pPr>
    </w:p>
    <w:p>
      <w:pPr>
        <w:spacing w:after="120"/>
      </w:pPr>
      <w:r>
        <w:rPr>
          <w:b w:val="0"/>
          <w:i/>
          <w:color w:val="696F6F"/>
          <w:sz w:val="20"/>
        </w:rPr>
        <w:t>Related documents: `SYSTEM_MANUAL.md` (full system manual, section 9.4 covers the simulation in brief) and the notebook `notebooks/nzoia_flood_cat_model.ipynb` §4.5.</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41D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41D3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41D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