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i w:val="0"/>
          <w:color w:val="696F6F"/>
          <w:sz w:val="20"/>
        </w:rPr>
        <w:t>Nzoia Flood CAT Model · Kenya Re Hackathon · Team B</w:t>
      </w:r>
    </w:p>
    <w:p>
      <w:pPr>
        <w:spacing w:after="0"/>
        <w:jc w:val="center"/>
      </w:pPr>
      <w:r>
        <w:rPr>
          <w:b/>
          <w:i w:val="0"/>
          <w:color w:val="041D3B"/>
          <w:sz w:val="48"/>
        </w:rPr>
        <w:t>Workflow Diagram &amp; Tools Guide</w:t>
      </w:r>
    </w:p>
    <w:p>
      <w:pPr>
        <w:spacing w:after="280"/>
        <w:jc w:val="center"/>
      </w:pPr>
      <w:r>
        <w:rPr>
          <w:b w:val="0"/>
          <w:i w:val="0"/>
          <w:color w:val="D11242"/>
          <w:sz w:val="24"/>
        </w:rPr>
        <w:t>Companion to Solution_Presentation.pptx (Part A: Team · Workflow · Tools)</w:t>
      </w:r>
    </w:p>
    <w:p>
      <w:pPr>
        <w:spacing w:after="120"/>
      </w:pPr>
      <w:r>
        <w:rPr>
          <w:b w:val="0"/>
          <w:i w:val="0"/>
        </w:rPr>
        <w:t>This guide explains what the workflow slide shows, box by box, and what each tool on the tools slide is and why we used it, so any team member can present either slide confidently. Everyday building blocks (HTML, CSS, SQL, Git) are deliberately left out.</w:t>
      </w:r>
    </w:p>
    <w:p>
      <w:pPr>
        <w:pStyle w:val="Heading1"/>
      </w:pPr>
      <w:r>
        <w:t>1. The workflow diagram</w:t>
      </w:r>
    </w:p>
    <w:p>
      <w:pPr>
        <w:pStyle w:val="Heading2"/>
      </w:pPr>
      <w:r>
        <w:t>1.1 What the slide looks like</w:t>
      </w:r>
    </w:p>
    <w:p>
      <w:pPr>
        <w:spacing w:after="120"/>
      </w:pPr>
      <w:r>
        <w:rPr>
          <w:b w:val="0"/>
          <w:i w:val="0"/>
        </w:rPr>
        <w:t>The diagram has three layers, read top to bottom:</w:t>
      </w:r>
    </w:p>
    <w:p>
      <w:pPr>
        <w:pStyle w:val="ListBullet"/>
        <w:spacing w:after="60"/>
      </w:pPr>
      <w:r>
        <w:rPr>
          <w:b/>
          <w:i w:val="0"/>
        </w:rPr>
        <w:t>Top row — the underwriting desk (6 boxes, left to right with arrows):</w:t>
      </w:r>
      <w:r>
        <w:rPr>
          <w:b w:val="0"/>
          <w:i w:val="0"/>
        </w:rPr>
        <w:t xml:space="preserve"> Broker offer → AI extraction → Validate &amp; locate → Loss engine → Explain → Decide. This is what happens live when an underwriter submits an offer.</w:t>
      </w:r>
    </w:p>
    <w:p>
      <w:pPr>
        <w:pStyle w:val="ListBullet"/>
        <w:spacing w:after="60"/>
      </w:pPr>
      <w:r>
        <w:rPr>
          <w:b/>
          <w:i w:val="0"/>
        </w:rPr>
        <w:t>Middle row — the model layer (4 boxes):</w:t>
      </w:r>
      <w:r>
        <w:rPr>
          <w:b w:val="0"/>
          <w:i w:val="0"/>
        </w:rPr>
        <w:t xml:space="preserve"> JRC flood maps, ML damage model, Policy &amp; Cat XL terms, Monte Carlo. A navy arrow points up from this row into the </w:t>
      </w:r>
      <w:r>
        <w:rPr>
          <w:b/>
          <w:i w:val="0"/>
        </w:rPr>
        <w:t>Loss engine</w:t>
      </w:r>
      <w:r>
        <w:rPr>
          <w:b w:val="0"/>
          <w:i w:val="0"/>
        </w:rPr>
        <w:t>, because these are the ingredients the engine uses.</w:t>
      </w:r>
    </w:p>
    <w:p>
      <w:pPr>
        <w:pStyle w:val="ListBullet"/>
        <w:spacing w:after="60"/>
      </w:pPr>
      <w:r>
        <w:rPr>
          <w:b/>
          <w:i w:val="0"/>
        </w:rPr>
        <w:t>Bottom right — Portfolio &amp; audit trail:</w:t>
      </w:r>
      <w:r>
        <w:rPr>
          <w:b w:val="0"/>
          <w:i w:val="0"/>
        </w:rPr>
        <w:t xml:space="preserve"> a red arrow runs down from </w:t>
      </w:r>
      <w:r>
        <w:rPr>
          <w:b/>
          <w:i w:val="0"/>
        </w:rPr>
        <w:t>Decide</w:t>
      </w:r>
      <w:r>
        <w:rPr>
          <w:b w:val="0"/>
          <w:i w:val="0"/>
        </w:rPr>
        <w:t>. Accepted offers are saved and appear on the Portfolio tab, and every action is logged.</w:t>
      </w:r>
    </w:p>
    <w:p>
      <w:pPr>
        <w:spacing w:after="120"/>
      </w:pPr>
      <w:r>
        <w:rPr>
          <w:b w:val="0"/>
          <w:i w:val="0"/>
        </w:rPr>
        <w:t xml:space="preserve">Colour code: </w:t>
      </w:r>
      <w:r>
        <w:rPr>
          <w:b/>
          <w:i w:val="0"/>
        </w:rPr>
        <w:t>red boxes are AI steps</w:t>
      </w:r>
      <w:r>
        <w:rPr>
          <w:b w:val="0"/>
          <w:i w:val="0"/>
        </w:rPr>
        <w:t xml:space="preserve"> (Gemini or explainable-AI), </w:t>
      </w:r>
      <w:r>
        <w:rPr>
          <w:b/>
          <w:i w:val="0"/>
        </w:rPr>
        <w:t>navy boxes are model or rule-based steps</w:t>
      </w:r>
      <w:r>
        <w:rPr>
          <w:b w:val="0"/>
          <w:i w:val="0"/>
        </w:rPr>
        <w:t>. The legend's key message: the AI reads and writes, but every loss figure comes from the model.</w:t>
      </w:r>
    </w:p>
    <w:p>
      <w:pPr>
        <w:pStyle w:val="Heading2"/>
      </w:pPr>
      <w:r>
        <w:t>1.2 Each box explained</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041D3B"/>
          </w:tcPr>
          <w:p>
            <w:r/>
            <w:r>
              <w:rPr>
                <w:b/>
                <w:color w:val="FFFFFF"/>
                <w:sz w:val="20"/>
              </w:rPr>
              <w:t>Box</w:t>
            </w:r>
          </w:p>
        </w:tc>
        <w:tc>
          <w:tcPr>
            <w:tcW w:type="dxa" w:w="2721"/>
            <w:shd w:val="clear" w:color="auto" w:fill="041D3B"/>
          </w:tcPr>
          <w:p>
            <w:r/>
            <w:r>
              <w:rPr>
                <w:b/>
                <w:color w:val="FFFFFF"/>
                <w:sz w:val="20"/>
              </w:rPr>
              <w:t>In plain words</w:t>
            </w:r>
          </w:p>
        </w:tc>
        <w:tc>
          <w:tcPr>
            <w:tcW w:type="dxa" w:w="4819"/>
            <w:shd w:val="clear" w:color="auto" w:fill="041D3B"/>
          </w:tcPr>
          <w:p>
            <w:r/>
            <w:r>
              <w:rPr>
                <w:b/>
                <w:color w:val="FFFFFF"/>
                <w:sz w:val="20"/>
              </w:rPr>
              <w:t>What actually happens</w:t>
            </w:r>
          </w:p>
        </w:tc>
      </w:tr>
      <w:tr>
        <w:tc>
          <w:tcPr>
            <w:tcW w:type="dxa" w:w="1814"/>
          </w:tcPr>
          <w:p>
            <w:r/>
            <w:r>
              <w:rPr>
                <w:b w:val="0"/>
                <w:i w:val="0"/>
                <w:sz w:val="20"/>
              </w:rPr>
              <w:t>1 · Broker offer</w:t>
            </w:r>
          </w:p>
        </w:tc>
        <w:tc>
          <w:tcPr>
            <w:tcW w:type="dxa" w:w="2721"/>
          </w:tcPr>
          <w:p>
            <w:r/>
            <w:r>
              <w:rPr>
                <w:b w:val="0"/>
                <w:i w:val="0"/>
                <w:sz w:val="20"/>
              </w:rPr>
              <w:t>The underwriter pastes or uploads the broker's submission, optionally with site photos.</w:t>
            </w:r>
          </w:p>
        </w:tc>
        <w:tc>
          <w:tcPr>
            <w:tcW w:type="dxa" w:w="4819"/>
          </w:tcPr>
          <w:p>
            <w:r/>
            <w:r>
              <w:rPr>
                <w:b w:val="0"/>
                <w:i w:val="0"/>
                <w:sz w:val="20"/>
              </w:rPr>
              <w:t>A .docx is read inside the browser (no upload until extraction). Photos are resized to ≤ 1024 px and stripped of GPS/EXIF before sending.</w:t>
            </w:r>
          </w:p>
        </w:tc>
      </w:tr>
      <w:tr>
        <w:tc>
          <w:tcPr>
            <w:tcW w:type="dxa" w:w="1814"/>
          </w:tcPr>
          <w:p>
            <w:r/>
            <w:r>
              <w:rPr>
                <w:b w:val="0"/>
                <w:i w:val="0"/>
                <w:sz w:val="20"/>
              </w:rPr>
              <w:t>2 · AI extraction</w:t>
            </w:r>
          </w:p>
        </w:tc>
        <w:tc>
          <w:tcPr>
            <w:tcW w:type="dxa" w:w="2721"/>
          </w:tcPr>
          <w:p>
            <w:r/>
            <w:r>
              <w:rPr>
                <w:b w:val="0"/>
                <w:i w:val="0"/>
                <w:sz w:val="20"/>
              </w:rPr>
              <w:t>Gemini reads the document and lists the insurable buildings.</w:t>
            </w:r>
          </w:p>
        </w:tc>
        <w:tc>
          <w:tcPr>
            <w:tcW w:type="dxa" w:w="4819"/>
          </w:tcPr>
          <w:p>
            <w:r/>
            <w:r>
              <w:rPr>
                <w:b w:val="0"/>
                <w:i w:val="0"/>
                <w:sz w:val="20"/>
              </w:rPr>
              <w:t>Gemini returns one group per building type (count, construction class, place or coordinates, raised floor, value, condition, an exact quote and its assumptions) in a fixed JSON schema. The document is treated as untrusted data, and instruction-like text is flagged as possible prompt injection. A keyword parser takes over if the AI is unavailable.</w:t>
            </w:r>
          </w:p>
        </w:tc>
      </w:tr>
      <w:tr>
        <w:tc>
          <w:tcPr>
            <w:tcW w:type="dxa" w:w="1814"/>
          </w:tcPr>
          <w:p>
            <w:r/>
            <w:r>
              <w:rPr>
                <w:b w:val="0"/>
                <w:i w:val="0"/>
                <w:sz w:val="20"/>
              </w:rPr>
              <w:t>3 · Validate &amp; locate</w:t>
            </w:r>
          </w:p>
        </w:tc>
        <w:tc>
          <w:tcPr>
            <w:tcW w:type="dxa" w:w="2721"/>
          </w:tcPr>
          <w:p>
            <w:r/>
            <w:r>
              <w:rPr>
                <w:b w:val="0"/>
                <w:i w:val="0"/>
                <w:sz w:val="20"/>
              </w:rPr>
              <w:t>The system double-checks the AI and puts each building on the map.</w:t>
            </w:r>
          </w:p>
        </w:tc>
        <w:tc>
          <w:tcPr>
            <w:tcW w:type="dxa" w:w="4819"/>
          </w:tcPr>
          <w:p>
            <w:r/>
            <w:r>
              <w:rPr>
                <w:b w:val="0"/>
                <w:i w:val="0"/>
                <w:sz w:val="20"/>
              </w:rPr>
              <w:t>Every value is re-validated in code (allowed classes, counts 1–500, coordinates inside the hazard grid, places matched to a 24-place gazetteer). Buildings are placed exactly at stated GPS points, around a town centre, or snapped to the real 1-in-10 flood corridor if 'by the river'. Missing values get documented defaults, each tagged with its source.</w:t>
            </w:r>
          </w:p>
        </w:tc>
      </w:tr>
      <w:tr>
        <w:tc>
          <w:tcPr>
            <w:tcW w:type="dxa" w:w="1814"/>
          </w:tcPr>
          <w:p>
            <w:r/>
            <w:r>
              <w:rPr>
                <w:b w:val="0"/>
                <w:i w:val="0"/>
                <w:sz w:val="20"/>
              </w:rPr>
              <w:t>4 · Loss engine</w:t>
            </w:r>
          </w:p>
        </w:tc>
        <w:tc>
          <w:tcPr>
            <w:tcW w:type="dxa" w:w="2721"/>
          </w:tcPr>
          <w:p>
            <w:r/>
            <w:r>
              <w:rPr>
                <w:b w:val="0"/>
                <w:i w:val="0"/>
                <w:sz w:val="20"/>
              </w:rPr>
              <w:t>Works out how deep the water gets, how much damage that does, and what it costs.</w:t>
            </w:r>
          </w:p>
        </w:tc>
        <w:tc>
          <w:tcPr>
            <w:tcW w:type="dxa" w:w="4819"/>
          </w:tcPr>
          <w:p>
            <w:r/>
            <w:r>
              <w:rPr>
                <w:b w:val="0"/>
                <w:i w:val="0"/>
                <w:sz w:val="20"/>
              </w:rPr>
              <w:t>For each return period: depth from the JRC maps → damage ratio from the ML model → × insured value = ground-up loss → deductible and limit = gross → quota share and Cat XL = net. The results form the loss curve and the average annual loss.</w:t>
            </w:r>
          </w:p>
        </w:tc>
      </w:tr>
      <w:tr>
        <w:tc>
          <w:tcPr>
            <w:tcW w:type="dxa" w:w="1814"/>
          </w:tcPr>
          <w:p>
            <w:r/>
            <w:r>
              <w:rPr>
                <w:b w:val="0"/>
                <w:i w:val="0"/>
                <w:sz w:val="20"/>
              </w:rPr>
              <w:t>5 · Explain</w:t>
            </w:r>
          </w:p>
        </w:tc>
        <w:tc>
          <w:tcPr>
            <w:tcW w:type="dxa" w:w="2721"/>
          </w:tcPr>
          <w:p>
            <w:r/>
            <w:r>
              <w:rPr>
                <w:b w:val="0"/>
                <w:i w:val="0"/>
                <w:sz w:val="20"/>
              </w:rPr>
              <w:t>Shows why each building has the damage it has, and what would change it.</w:t>
            </w:r>
          </w:p>
        </w:tc>
        <w:tc>
          <w:tcPr>
            <w:tcW w:type="dxa" w:w="4819"/>
          </w:tcPr>
          <w:p>
            <w:r/>
            <w:r>
              <w:rPr>
                <w:b w:val="0"/>
                <w:i w:val="0"/>
                <w:sz w:val="20"/>
              </w:rPr>
              <w:t>SHAP splits a building's damage into exact contributions (depth, raised floor, construction, build quality). LIME fits a local what-if model, e.g. 'each extra 10 cm of raised floor removes N points of damage'.</w:t>
            </w:r>
          </w:p>
        </w:tc>
      </w:tr>
      <w:tr>
        <w:tc>
          <w:tcPr>
            <w:tcW w:type="dxa" w:w="1814"/>
          </w:tcPr>
          <w:p>
            <w:r/>
            <w:r>
              <w:rPr>
                <w:b w:val="0"/>
                <w:i w:val="0"/>
                <w:sz w:val="20"/>
              </w:rPr>
              <w:t>6 · Decide</w:t>
            </w:r>
          </w:p>
        </w:tc>
        <w:tc>
          <w:tcPr>
            <w:tcW w:type="dxa" w:w="2721"/>
          </w:tcPr>
          <w:p>
            <w:r/>
            <w:r>
              <w:rPr>
                <w:b w:val="0"/>
                <w:i w:val="0"/>
                <w:sz w:val="20"/>
              </w:rPr>
              <w:t>Shows what accepting the offer does to the whole book and writes a briefing.</w:t>
            </w:r>
          </w:p>
        </w:tc>
        <w:tc>
          <w:tcPr>
            <w:tcW w:type="dxa" w:w="4819"/>
          </w:tcPr>
          <w:p>
            <w:r/>
            <w:r>
              <w:rPr>
                <w:b w:val="0"/>
                <w:i w:val="0"/>
                <w:sz w:val="20"/>
              </w:rPr>
              <w:t>Before/after for insured value, 1-in-100 ground-up, gross and net, and AAL. Gemini writes a briefing from the computed numbers only (template fallback). The underwriter accepts or declines.</w:t>
            </w:r>
          </w:p>
        </w:tc>
      </w:tr>
      <w:tr>
        <w:tc>
          <w:tcPr>
            <w:tcW w:type="dxa" w:w="1814"/>
          </w:tcPr>
          <w:p>
            <w:r/>
            <w:r>
              <w:rPr>
                <w:b w:val="0"/>
                <w:i w:val="0"/>
                <w:sz w:val="20"/>
              </w:rPr>
              <w:t>Model layer</w:t>
            </w:r>
          </w:p>
        </w:tc>
        <w:tc>
          <w:tcPr>
            <w:tcW w:type="dxa" w:w="2721"/>
          </w:tcPr>
          <w:p>
            <w:r/>
            <w:r>
              <w:rPr>
                <w:b w:val="0"/>
                <w:i w:val="0"/>
                <w:sz w:val="20"/>
              </w:rPr>
              <w:t>The science behind the engine, built once in Python.</w:t>
            </w:r>
          </w:p>
        </w:tc>
        <w:tc>
          <w:tcPr>
            <w:tcW w:type="dxa" w:w="4819"/>
          </w:tcPr>
          <w:p>
            <w:r/>
            <w:r>
              <w:rPr>
                <w:b w:val="0"/>
                <w:i w:val="0"/>
                <w:sz w:val="20"/>
              </w:rPr>
              <w:t>Real JRC flood depth maps; the ML damage model trained on 30,000 pseudo-claims; illustrative policy and Cat XL terms; a Monte Carlo simulation with correlated damage uncertainty. These are exported as data files that the web app reads.</w:t>
            </w:r>
          </w:p>
        </w:tc>
      </w:tr>
      <w:tr>
        <w:tc>
          <w:tcPr>
            <w:tcW w:type="dxa" w:w="1814"/>
          </w:tcPr>
          <w:p>
            <w:r/>
            <w:r>
              <w:rPr>
                <w:b w:val="0"/>
                <w:i w:val="0"/>
                <w:sz w:val="20"/>
              </w:rPr>
              <w:t>Portfolio &amp; audit trail</w:t>
            </w:r>
          </w:p>
        </w:tc>
        <w:tc>
          <w:tcPr>
            <w:tcW w:type="dxa" w:w="2721"/>
          </w:tcPr>
          <w:p>
            <w:r/>
            <w:r>
              <w:rPr>
                <w:b w:val="0"/>
                <w:i w:val="0"/>
                <w:sz w:val="20"/>
              </w:rPr>
              <w:t>Accepted offers join the book; everything is recorded.</w:t>
            </w:r>
          </w:p>
        </w:tc>
        <w:tc>
          <w:tcPr>
            <w:tcW w:type="dxa" w:w="4819"/>
          </w:tcPr>
          <w:p>
            <w:r/>
            <w:r>
              <w:rPr>
                <w:b w:val="0"/>
                <w:i w:val="0"/>
                <w:sz w:val="20"/>
              </w:rPr>
              <w:t>Accepted buildings are stored in SQLite as a batch. The Portfolio tab recomputes whole-book losses, the flood map and area concentration. The audit trail logs who extracted and accepted what, and when, with a fingerprint of the source document.</w:t>
            </w:r>
          </w:p>
        </w:tc>
      </w:tr>
    </w:tbl>
    <w:p>
      <w:pPr>
        <w:spacing w:after="40"/>
      </w:pPr>
    </w:p>
    <w:p>
      <w:pPr>
        <w:pStyle w:val="Heading2"/>
      </w:pPr>
      <w:r>
        <w:t>1.3 One-minute talking points for the slide</w:t>
      </w:r>
    </w:p>
    <w:p>
      <w:pPr>
        <w:pStyle w:val="ListBullet"/>
        <w:spacing w:after="60"/>
      </w:pPr>
      <w:r>
        <w:rPr>
          <w:b w:val="0"/>
          <w:i w:val="0"/>
        </w:rPr>
        <w:t>“An offer goes in on the left; a priced, explained decision comes out on the right.”</w:t>
      </w:r>
    </w:p>
    <w:p>
      <w:pPr>
        <w:pStyle w:val="ListBullet"/>
        <w:spacing w:after="60"/>
      </w:pPr>
      <w:r>
        <w:rPr>
          <w:b w:val="0"/>
          <w:i w:val="0"/>
        </w:rPr>
        <w:t>“Red boxes are AI: Gemini reads the document and writes the briefing, and SHAP and LIME explain the model. The AI never produces a loss number.”</w:t>
      </w:r>
    </w:p>
    <w:p>
      <w:pPr>
        <w:pStyle w:val="ListBullet"/>
        <w:spacing w:after="60"/>
      </w:pPr>
      <w:r>
        <w:rPr>
          <w:b w:val="0"/>
          <w:i w:val="0"/>
        </w:rPr>
        <w:t>“The loss engine runs on the model layer underneath: real JRC flood maps, our trained ML damage model, the policy and reinsurance terms, and a Monte Carlo for the tail.”</w:t>
      </w:r>
    </w:p>
    <w:p>
      <w:pPr>
        <w:pStyle w:val="ListBullet"/>
        <w:spacing w:after="60"/>
      </w:pPr>
      <w:r>
        <w:rPr>
          <w:b w:val="0"/>
          <w:i w:val="0"/>
        </w:rPr>
        <w:t>“Accepted offers flow into the portfolio and an audit trail, so the whole book and every decision stay traceable.”</w:t>
      </w:r>
    </w:p>
    <w:p>
      <w:pPr>
        <w:pStyle w:val="Heading1"/>
      </w:pPr>
      <w:r>
        <w:t>2. Tools &amp; technologies</w:t>
      </w:r>
    </w:p>
    <w:p>
      <w:pPr>
        <w:spacing w:after="120"/>
      </w:pPr>
      <w:r>
        <w:rPr>
          <w:b w:val="0"/>
          <w:i/>
          <w:color w:val="696F6F"/>
        </w:rPr>
        <w:t>Grouped as on the slide. The “Specifics” column is there in case a judge asks a follow-up.</w:t>
      </w:r>
    </w:p>
    <w:p>
      <w:pPr>
        <w:pStyle w:val="Heading2"/>
      </w:pPr>
      <w:r>
        <w:t>2.1 AI &amp; machine learning</w:t>
      </w:r>
    </w:p>
    <w:tbl>
      <w:tblPr>
        <w:tblStyle w:val="TableGrid"/>
        <w:tblW w:type="auto" w:w="0"/>
        <w:jc w:val="center"/>
        <w:tblLook w:firstColumn="1" w:firstRow="1" w:lastColumn="0" w:lastRow="0" w:noHBand="0" w:noVBand="1" w:val="04A0"/>
      </w:tblPr>
      <w:tblGrid>
        <w:gridCol w:w="3249"/>
        <w:gridCol w:w="3249"/>
        <w:gridCol w:w="3249"/>
      </w:tblGrid>
      <w:tr>
        <w:tc>
          <w:tcPr>
            <w:tcW w:type="dxa" w:w="2154"/>
            <w:shd w:val="clear" w:color="auto" w:fill="041D3B"/>
          </w:tcPr>
          <w:p>
            <w:r/>
            <w:r>
              <w:rPr>
                <w:b/>
                <w:color w:val="FFFFFF"/>
                <w:sz w:val="20"/>
              </w:rPr>
              <w:t>Tool</w:t>
            </w:r>
          </w:p>
        </w:tc>
        <w:tc>
          <w:tcPr>
            <w:tcW w:type="dxa" w:w="2948"/>
            <w:shd w:val="clear" w:color="auto" w:fill="041D3B"/>
          </w:tcPr>
          <w:p>
            <w:r/>
            <w:r>
              <w:rPr>
                <w:b/>
                <w:color w:val="FFFFFF"/>
                <w:sz w:val="20"/>
              </w:rPr>
              <w:t>What we use it for</w:t>
            </w:r>
          </w:p>
        </w:tc>
        <w:tc>
          <w:tcPr>
            <w:tcW w:type="dxa" w:w="4252"/>
            <w:shd w:val="clear" w:color="auto" w:fill="041D3B"/>
          </w:tcPr>
          <w:p>
            <w:r/>
            <w:r>
              <w:rPr>
                <w:b/>
                <w:color w:val="FFFFFF"/>
                <w:sz w:val="20"/>
              </w:rPr>
              <w:t>Specifics</w:t>
            </w:r>
          </w:p>
        </w:tc>
      </w:tr>
      <w:tr>
        <w:tc>
          <w:tcPr>
            <w:tcW w:type="dxa" w:w="2154"/>
          </w:tcPr>
          <w:p>
            <w:r/>
            <w:r>
              <w:rPr>
                <w:b/>
                <w:i w:val="0"/>
                <w:sz w:val="20"/>
              </w:rPr>
              <w:t>Google Gemini</w:t>
            </w:r>
            <w:r>
              <w:rPr>
                <w:b w:val="0"/>
                <w:i w:val="0"/>
                <w:sz w:val="20"/>
              </w:rPr>
              <w:t xml:space="preserve"> (Gemini API)</w:t>
            </w:r>
          </w:p>
        </w:tc>
        <w:tc>
          <w:tcPr>
            <w:tcW w:type="dxa" w:w="2948"/>
          </w:tcPr>
          <w:p>
            <w:r/>
            <w:r>
              <w:rPr>
                <w:b w:val="0"/>
                <w:i w:val="0"/>
                <w:sz w:val="20"/>
              </w:rPr>
              <w:t>Reads broker documents and site photos into structured buildings; writes the underwriter briefing.</w:t>
            </w:r>
          </w:p>
        </w:tc>
        <w:tc>
          <w:tcPr>
            <w:tcW w:type="dxa" w:w="4252"/>
          </w:tcPr>
          <w:p>
            <w:r/>
            <w:r>
              <w:rPr>
                <w:b w:val="0"/>
                <w:i w:val="0"/>
                <w:sz w:val="20"/>
              </w:rPr>
              <w:t>Default model gemini-flash-latest, with automatic fallback to gemini-3.8-flash and then gemini-flash-lite-latest if a model is busy or rate-limited. Structured output (response schema) so it can only return the agreed fields; multimodal input for photos. An OpenAI-compatible endpoint can be swapped in (default gpt-4o-mini).</w:t>
            </w:r>
          </w:p>
        </w:tc>
      </w:tr>
      <w:tr>
        <w:tc>
          <w:tcPr>
            <w:tcW w:type="dxa" w:w="2154"/>
          </w:tcPr>
          <w:p>
            <w:r/>
            <w:r>
              <w:rPr>
                <w:b/>
                <w:i w:val="0"/>
                <w:sz w:val="20"/>
              </w:rPr>
              <w:t>scikit-learn HistGradientBoostingRegressor</w:t>
            </w:r>
          </w:p>
        </w:tc>
        <w:tc>
          <w:tcPr>
            <w:tcW w:type="dxa" w:w="2948"/>
          </w:tcPr>
          <w:p>
            <w:r/>
            <w:r>
              <w:rPr>
                <w:b w:val="0"/>
                <w:i w:val="0"/>
                <w:sz w:val="20"/>
              </w:rPr>
              <w:t>The ML vulnerability (damage) model: predicts the damage ratio from depth, construction class, flood duration and build quality.</w:t>
            </w:r>
          </w:p>
        </w:tc>
        <w:tc>
          <w:tcPr>
            <w:tcW w:type="dxa" w:w="4252"/>
          </w:tcPr>
          <w:p>
            <w:r/>
            <w:r>
              <w:rPr>
                <w:b w:val="0"/>
                <w:i w:val="0"/>
                <w:sz w:val="20"/>
              </w:rPr>
              <w:t>Monotonic constraints (more water or a longer flood can never reduce damage; better quality can never increase it). One mean model plus 5 quantile models (5, 25, 50, 75, 95 %) for uncertainty. Test R² 0.888 against a noise ceiling of 0.898; error 29 % lower than the plain JRC curve.</w:t>
            </w:r>
          </w:p>
        </w:tc>
      </w:tr>
      <w:tr>
        <w:tc>
          <w:tcPr>
            <w:tcW w:type="dxa" w:w="2154"/>
          </w:tcPr>
          <w:p>
            <w:r/>
            <w:r>
              <w:rPr>
                <w:b/>
                <w:i w:val="0"/>
                <w:sz w:val="20"/>
              </w:rPr>
              <w:t>SHAP</w:t>
            </w:r>
          </w:p>
        </w:tc>
        <w:tc>
          <w:tcPr>
            <w:tcW w:type="dxa" w:w="2948"/>
          </w:tcPr>
          <w:p>
            <w:r/>
            <w:r>
              <w:rPr>
                <w:b w:val="0"/>
                <w:i w:val="0"/>
                <w:sz w:val="20"/>
              </w:rPr>
              <w:t>Global and per-building explanations of the damage model.</w:t>
            </w:r>
          </w:p>
        </w:tc>
        <w:tc>
          <w:tcPr>
            <w:tcW w:type="dxa" w:w="4252"/>
          </w:tcPr>
          <w:p>
            <w:r/>
            <w:r>
              <w:rPr>
                <w:b w:val="0"/>
                <w:i w:val="0"/>
                <w:sz w:val="20"/>
              </w:rPr>
              <w:t>Python shap ExactExplainer for global importance (depth, class, duration, quality); exact 16-coalition Shapley values computed live in the browser for each building.</w:t>
            </w:r>
          </w:p>
        </w:tc>
      </w:tr>
      <w:tr>
        <w:tc>
          <w:tcPr>
            <w:tcW w:type="dxa" w:w="2154"/>
          </w:tcPr>
          <w:p>
            <w:r/>
            <w:r>
              <w:rPr>
                <w:b/>
                <w:i w:val="0"/>
                <w:sz w:val="20"/>
              </w:rPr>
              <w:t>LIME-style local surrogate</w:t>
            </w:r>
          </w:p>
        </w:tc>
        <w:tc>
          <w:tcPr>
            <w:tcW w:type="dxa" w:w="2948"/>
          </w:tcPr>
          <w:p>
            <w:r/>
            <w:r>
              <w:rPr>
                <w:b w:val="0"/>
                <w:i w:val="0"/>
                <w:sz w:val="20"/>
              </w:rPr>
              <w:t>What-if explanations: what would reduce this building's loss.</w:t>
            </w:r>
          </w:p>
        </w:tc>
        <w:tc>
          <w:tcPr>
            <w:tcW w:type="dxa" w:w="4252"/>
          </w:tcPr>
          <w:p>
            <w:r/>
            <w:r>
              <w:rPr>
                <w:b w:val="0"/>
                <w:i w:val="0"/>
                <w:sz w:val="20"/>
              </w:rPr>
              <w:t>Custom implementation: 500 perturbations around the building, kernel-weighted ridge regression, with a fidelity score.</w:t>
            </w:r>
          </w:p>
        </w:tc>
      </w:tr>
      <w:tr>
        <w:tc>
          <w:tcPr>
            <w:tcW w:type="dxa" w:w="2154"/>
          </w:tcPr>
          <w:p>
            <w:r/>
            <w:r>
              <w:rPr>
                <w:b/>
                <w:i w:val="0"/>
                <w:sz w:val="20"/>
              </w:rPr>
              <w:t>Monte Carlo simulation</w:t>
            </w:r>
          </w:p>
        </w:tc>
        <w:tc>
          <w:tcPr>
            <w:tcW w:type="dxa" w:w="2948"/>
          </w:tcPr>
          <w:p>
            <w:r/>
            <w:r>
              <w:rPr>
                <w:b w:val="0"/>
                <w:i w:val="0"/>
                <w:sz w:val="20"/>
              </w:rPr>
              <w:t>Realistic bad-year losses (1-in-100, 1-in-200, TVaR) including damage uncertainty.</w:t>
            </w:r>
          </w:p>
        </w:tc>
        <w:tc>
          <w:tcPr>
            <w:tcW w:type="dxa" w:w="4252"/>
          </w:tcPr>
          <w:p>
            <w:r/>
            <w:r>
              <w:rPr>
                <w:b w:val="0"/>
                <w:i w:val="0"/>
                <w:sz w:val="20"/>
              </w:rPr>
              <w:t>Custom engine: 20,000–50,000 simulated years, damage drawn from the ML quantiles, buildings' luck correlated through a Gaussian copula (ρ = 0.3), mean-preserving. Runs in both Python and the browser.</w:t>
            </w:r>
          </w:p>
        </w:tc>
      </w:tr>
    </w:tbl>
    <w:p>
      <w:pPr>
        <w:spacing w:after="40"/>
      </w:pPr>
    </w:p>
    <w:p>
      <w:pPr>
        <w:pStyle w:val="Heading2"/>
      </w:pPr>
      <w:r>
        <w:t>2.2 Data &amp; science resources</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color="auto" w:fill="041D3B"/>
          </w:tcPr>
          <w:p>
            <w:r/>
            <w:r>
              <w:rPr>
                <w:b/>
                <w:color w:val="FFFFFF"/>
                <w:sz w:val="20"/>
              </w:rPr>
              <w:t>Resource</w:t>
            </w:r>
          </w:p>
        </w:tc>
        <w:tc>
          <w:tcPr>
            <w:tcW w:type="dxa" w:w="2835"/>
            <w:shd w:val="clear" w:color="auto" w:fill="041D3B"/>
          </w:tcPr>
          <w:p>
            <w:r/>
            <w:r>
              <w:rPr>
                <w:b/>
                <w:color w:val="FFFFFF"/>
                <w:sz w:val="20"/>
              </w:rPr>
              <w:t>What we use it for</w:t>
            </w:r>
          </w:p>
        </w:tc>
        <w:tc>
          <w:tcPr>
            <w:tcW w:type="dxa" w:w="4139"/>
            <w:shd w:val="clear" w:color="auto" w:fill="041D3B"/>
          </w:tcPr>
          <w:p>
            <w:r/>
            <w:r>
              <w:rPr>
                <w:b/>
                <w:color w:val="FFFFFF"/>
                <w:sz w:val="20"/>
              </w:rPr>
              <w:t>Specifics</w:t>
            </w:r>
          </w:p>
        </w:tc>
      </w:tr>
      <w:tr>
        <w:tc>
          <w:tcPr>
            <w:tcW w:type="dxa" w:w="2381"/>
          </w:tcPr>
          <w:p>
            <w:r/>
            <w:r>
              <w:rPr>
                <w:b/>
                <w:i w:val="0"/>
                <w:sz w:val="20"/>
              </w:rPr>
              <w:t>JRC Global River Flood Hazard Maps</w:t>
            </w:r>
            <w:r>
              <w:rPr>
                <w:b w:val="0"/>
                <w:i w:val="0"/>
                <w:sz w:val="20"/>
              </w:rPr>
              <w:t xml:space="preserve"> (European Commission)</w:t>
            </w:r>
          </w:p>
        </w:tc>
        <w:tc>
          <w:tcPr>
            <w:tcW w:type="dxa" w:w="2835"/>
          </w:tcPr>
          <w:p>
            <w:r/>
            <w:r>
              <w:rPr>
                <w:b w:val="0"/>
                <w:i w:val="0"/>
                <w:sz w:val="20"/>
              </w:rPr>
              <w:t>The real flood hazard: water depth at every location for six flood sizes.</w:t>
            </w:r>
          </w:p>
        </w:tc>
        <w:tc>
          <w:tcPr>
            <w:tcW w:type="dxa" w:w="4139"/>
          </w:tcPr>
          <w:p>
            <w:r/>
            <w:r>
              <w:rPr>
                <w:b w:val="0"/>
                <w:i w:val="0"/>
                <w:sz w:val="20"/>
              </w:rPr>
              <w:t>Return periods 1-in-10, 20, 50, 100, 200 and 500 years; 30 arc-second grid (~925 m), clipped to the lower Nzoia. The only real measured data in the model.</w:t>
            </w:r>
          </w:p>
        </w:tc>
      </w:tr>
      <w:tr>
        <w:tc>
          <w:tcPr>
            <w:tcW w:type="dxa" w:w="2381"/>
          </w:tcPr>
          <w:p>
            <w:r/>
            <w:r>
              <w:rPr>
                <w:b/>
                <w:i w:val="0"/>
                <w:sz w:val="20"/>
              </w:rPr>
              <w:t>JRC / Huizinga, de Moel &amp; Szewczyk (2017)</w:t>
            </w:r>
            <w:r>
              <w:rPr>
                <w:b w:val="0"/>
                <w:i w:val="0"/>
                <w:sz w:val="20"/>
              </w:rPr>
              <w:t xml:space="preserve"> global depth-damage functions</w:t>
            </w:r>
          </w:p>
        </w:tc>
        <w:tc>
          <w:tcPr>
            <w:tcW w:type="dxa" w:w="2835"/>
          </w:tcPr>
          <w:p>
            <w:r/>
            <w:r>
              <w:rPr>
                <w:b w:val="0"/>
                <w:i w:val="0"/>
                <w:sz w:val="20"/>
              </w:rPr>
              <w:t>The published starting point for how depth turns into damage.</w:t>
            </w:r>
          </w:p>
        </w:tc>
        <w:tc>
          <w:tcPr>
            <w:tcW w:type="dxa" w:w="4139"/>
          </w:tcPr>
          <w:p>
            <w:r/>
            <w:r>
              <w:rPr>
                <w:b w:val="0"/>
                <w:i w:val="0"/>
                <w:sz w:val="20"/>
              </w:rPr>
              <w:t>Africa-residential curve as primary, global-residential as secondary, adapted to four Kenyan construction classes (raised floor, fragility, damage ceiling).</w:t>
            </w:r>
          </w:p>
        </w:tc>
      </w:tr>
      <w:tr>
        <w:tc>
          <w:tcPr>
            <w:tcW w:type="dxa" w:w="2381"/>
          </w:tcPr>
          <w:p>
            <w:r/>
            <w:r>
              <w:rPr>
                <w:b/>
                <w:i w:val="0"/>
                <w:sz w:val="20"/>
              </w:rPr>
              <w:t>Kenya Re starter-kit portfolio</w:t>
            </w:r>
          </w:p>
        </w:tc>
        <w:tc>
          <w:tcPr>
            <w:tcW w:type="dxa" w:w="2835"/>
          </w:tcPr>
          <w:p>
            <w:r/>
            <w:r>
              <w:rPr>
                <w:b w:val="0"/>
                <w:i w:val="0"/>
                <w:sz w:val="20"/>
              </w:rPr>
              <w:t>The 500-building synthetic book.</w:t>
            </w:r>
          </w:p>
        </w:tc>
        <w:tc>
          <w:tcPr>
            <w:tcW w:type="dxa" w:w="4139"/>
          </w:tcPr>
          <w:p>
            <w:r/>
            <w:r>
              <w:rPr>
                <w:b w:val="0"/>
                <w:i w:val="0"/>
                <w:sz w:val="20"/>
              </w:rPr>
              <w:t>We found the insured-value column was 10× the documented total and recomputed it as floor area × cost per m² (KES 2.27 bn).</w:t>
            </w:r>
          </w:p>
        </w:tc>
      </w:tr>
      <w:tr>
        <w:tc>
          <w:tcPr>
            <w:tcW w:type="dxa" w:w="2381"/>
          </w:tcPr>
          <w:p>
            <w:r/>
            <w:r>
              <w:rPr>
                <w:b/>
                <w:i w:val="0"/>
                <w:sz w:val="20"/>
              </w:rPr>
              <w:t>30,000 pseudo-claims</w:t>
            </w:r>
            <w:r>
              <w:rPr>
                <w:b w:val="0"/>
                <w:i w:val="0"/>
                <w:sz w:val="20"/>
              </w:rPr>
              <w:t xml:space="preserve"> (generated by us)</w:t>
            </w:r>
          </w:p>
        </w:tc>
        <w:tc>
          <w:tcPr>
            <w:tcW w:type="dxa" w:w="2835"/>
          </w:tcPr>
          <w:p>
            <w:r/>
            <w:r>
              <w:rPr>
                <w:b w:val="0"/>
                <w:i w:val="0"/>
                <w:sz w:val="20"/>
              </w:rPr>
              <w:t>Training data for the ML damage model, since no public Kenyan flood claims exist.</w:t>
            </w:r>
          </w:p>
        </w:tc>
        <w:tc>
          <w:tcPr>
            <w:tcW w:type="dxa" w:w="4139"/>
          </w:tcPr>
          <w:p>
            <w:r/>
            <w:r>
              <w:rPr>
                <w:b w:val="0"/>
                <w:i w:val="0"/>
                <w:sz w:val="20"/>
              </w:rPr>
              <w:t>Built from the adapted curves plus documented duration and quality effects, with realistic claim scatter and zero claims.</w:t>
            </w:r>
          </w:p>
        </w:tc>
      </w:tr>
      <w:tr>
        <w:tc>
          <w:tcPr>
            <w:tcW w:type="dxa" w:w="2381"/>
          </w:tcPr>
          <w:p>
            <w:r/>
            <w:r>
              <w:rPr>
                <w:b/>
                <w:i w:val="0"/>
                <w:sz w:val="20"/>
              </w:rPr>
              <w:t>OpenStreetMap</w:t>
            </w:r>
          </w:p>
        </w:tc>
        <w:tc>
          <w:tcPr>
            <w:tcW w:type="dxa" w:w="2835"/>
          </w:tcPr>
          <w:p>
            <w:r/>
            <w:r>
              <w:rPr>
                <w:b w:val="0"/>
                <w:i w:val="0"/>
                <w:sz w:val="20"/>
              </w:rPr>
              <w:t>Base map under the flood overlay.</w:t>
            </w:r>
          </w:p>
        </w:tc>
        <w:tc>
          <w:tcPr>
            <w:tcW w:type="dxa" w:w="4139"/>
          </w:tcPr>
          <w:p>
            <w:r/>
            <w:r>
              <w:rPr>
                <w:b w:val="0"/>
                <w:i w:val="0"/>
                <w:sz w:val="20"/>
              </w:rPr>
              <w:t>Tiles loaded in the Leaflet map.</w:t>
            </w:r>
          </w:p>
        </w:tc>
      </w:tr>
    </w:tbl>
    <w:p>
      <w:pPr>
        <w:spacing w:after="40"/>
      </w:pPr>
    </w:p>
    <w:p>
      <w:pPr>
        <w:pStyle w:val="Heading2"/>
      </w:pPr>
      <w:r>
        <w:t>2.3 Platform</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color="auto" w:fill="041D3B"/>
          </w:tcPr>
          <w:p>
            <w:r/>
            <w:r>
              <w:rPr>
                <w:b/>
                <w:color w:val="FFFFFF"/>
                <w:sz w:val="20"/>
              </w:rPr>
              <w:t>Tool</w:t>
            </w:r>
          </w:p>
        </w:tc>
        <w:tc>
          <w:tcPr>
            <w:tcW w:type="dxa" w:w="2835"/>
            <w:shd w:val="clear" w:color="auto" w:fill="041D3B"/>
          </w:tcPr>
          <w:p>
            <w:r/>
            <w:r>
              <w:rPr>
                <w:b/>
                <w:color w:val="FFFFFF"/>
                <w:sz w:val="20"/>
              </w:rPr>
              <w:t>What we use it for</w:t>
            </w:r>
          </w:p>
        </w:tc>
        <w:tc>
          <w:tcPr>
            <w:tcW w:type="dxa" w:w="4139"/>
            <w:shd w:val="clear" w:color="auto" w:fill="041D3B"/>
          </w:tcPr>
          <w:p>
            <w:r/>
            <w:r>
              <w:rPr>
                <w:b/>
                <w:color w:val="FFFFFF"/>
                <w:sz w:val="20"/>
              </w:rPr>
              <w:t>Specifics</w:t>
            </w:r>
          </w:p>
        </w:tc>
      </w:tr>
      <w:tr>
        <w:tc>
          <w:tcPr>
            <w:tcW w:type="dxa" w:w="2381"/>
          </w:tcPr>
          <w:p>
            <w:r/>
            <w:r>
              <w:rPr>
                <w:b/>
                <w:i w:val="0"/>
                <w:sz w:val="20"/>
              </w:rPr>
              <w:t>Python</w:t>
            </w:r>
            <w:r>
              <w:rPr>
                <w:b w:val="0"/>
                <w:i w:val="0"/>
                <w:sz w:val="20"/>
              </w:rPr>
              <w:t xml:space="preserve"> with rasterio, SciPy, pandas/NumPy, Jupyter</w:t>
            </w:r>
          </w:p>
        </w:tc>
        <w:tc>
          <w:tcPr>
            <w:tcW w:type="dxa" w:w="2835"/>
          </w:tcPr>
          <w:p>
            <w:r/>
            <w:r>
              <w:rPr>
                <w:b w:val="0"/>
                <w:i w:val="0"/>
                <w:sz w:val="20"/>
              </w:rPr>
              <w:t>Builds the whole model: reads the flood rasters, trains the ML model, runs the financial engine and Monte Carlo, exports data files for the app.</w:t>
            </w:r>
          </w:p>
        </w:tc>
        <w:tc>
          <w:tcPr>
            <w:tcW w:type="dxa" w:w="4139"/>
          </w:tcPr>
          <w:p>
            <w:r/>
            <w:r>
              <w:rPr>
                <w:b w:val="0"/>
                <w:i w:val="0"/>
                <w:sz w:val="20"/>
              </w:rPr>
              <w:t>rasterio reads the GeoTIFF flood maps; SciPy provides the distance-to-flood calculation and curve fitting; the notebook is generated from one script so it is fully reproducible (seed 2026).</w:t>
            </w:r>
          </w:p>
        </w:tc>
      </w:tr>
      <w:tr>
        <w:tc>
          <w:tcPr>
            <w:tcW w:type="dxa" w:w="2381"/>
          </w:tcPr>
          <w:p>
            <w:r/>
            <w:r>
              <w:rPr>
                <w:b/>
                <w:i w:val="0"/>
                <w:sz w:val="20"/>
              </w:rPr>
              <w:t>Next.js 16 + React 19</w:t>
            </w:r>
            <w:r>
              <w:rPr>
                <w:b w:val="0"/>
                <w:i w:val="0"/>
                <w:sz w:val="20"/>
              </w:rPr>
              <w:t xml:space="preserve"> (TypeScript)</w:t>
            </w:r>
          </w:p>
        </w:tc>
        <w:tc>
          <w:tcPr>
            <w:tcW w:type="dxa" w:w="2835"/>
          </w:tcPr>
          <w:p>
            <w:r/>
            <w:r>
              <w:rPr>
                <w:b w:val="0"/>
                <w:i w:val="0"/>
                <w:sz w:val="20"/>
              </w:rPr>
              <w:t>The underwriting desk web app.</w:t>
            </w:r>
          </w:p>
        </w:tc>
        <w:tc>
          <w:tcPr>
            <w:tcW w:type="dxa" w:w="4139"/>
          </w:tcPr>
          <w:p>
            <w:r/>
            <w:r>
              <w:rPr>
                <w:b w:val="0"/>
                <w:i w:val="0"/>
                <w:sz w:val="20"/>
              </w:rPr>
              <w:t>The financial engine is ported line for line to TypeScript and runs in the browser, so every setting updates instantly. A validation script proves it matches the notebook within 0.5 %.</w:t>
            </w:r>
          </w:p>
        </w:tc>
      </w:tr>
      <w:tr>
        <w:tc>
          <w:tcPr>
            <w:tcW w:type="dxa" w:w="2381"/>
          </w:tcPr>
          <w:p>
            <w:r/>
            <w:r>
              <w:rPr>
                <w:b/>
                <w:i w:val="0"/>
                <w:sz w:val="20"/>
              </w:rPr>
              <w:t>Leaflet + OpenStreetMap</w:t>
            </w:r>
          </w:p>
        </w:tc>
        <w:tc>
          <w:tcPr>
            <w:tcW w:type="dxa" w:w="2835"/>
          </w:tcPr>
          <w:p>
            <w:r/>
            <w:r>
              <w:rPr>
                <w:b w:val="0"/>
                <w:i w:val="0"/>
                <w:sz w:val="20"/>
              </w:rPr>
              <w:t>Interactive flood map.</w:t>
            </w:r>
          </w:p>
        </w:tc>
        <w:tc>
          <w:tcPr>
            <w:tcW w:type="dxa" w:w="4139"/>
          </w:tcPr>
          <w:p>
            <w:r/>
            <w:r>
              <w:rPr>
                <w:b w:val="0"/>
                <w:i w:val="0"/>
                <w:sz w:val="20"/>
              </w:rPr>
              <w:t>Real JRC depth overlays for each return period, with every building drawn by damage and value.</w:t>
            </w:r>
          </w:p>
        </w:tc>
      </w:tr>
      <w:tr>
        <w:tc>
          <w:tcPr>
            <w:tcW w:type="dxa" w:w="2381"/>
          </w:tcPr>
          <w:p>
            <w:r/>
            <w:r>
              <w:rPr>
                <w:b/>
                <w:i w:val="0"/>
                <w:sz w:val="20"/>
              </w:rPr>
              <w:t>Recharts</w:t>
            </w:r>
          </w:p>
        </w:tc>
        <w:tc>
          <w:tcPr>
            <w:tcW w:type="dxa" w:w="2835"/>
          </w:tcPr>
          <w:p>
            <w:r/>
            <w:r>
              <w:rPr>
                <w:b w:val="0"/>
                <w:i w:val="0"/>
                <w:sz w:val="20"/>
              </w:rPr>
              <w:t>Loss curves and charts.</w:t>
            </w:r>
          </w:p>
        </w:tc>
        <w:tc>
          <w:tcPr>
            <w:tcW w:type="dxa" w:w="4139"/>
          </w:tcPr>
          <w:p>
            <w:r/>
            <w:r>
              <w:rPr>
                <w:b w:val="0"/>
                <w:i w:val="0"/>
                <w:sz w:val="20"/>
              </w:rPr>
              <w:t>Loss (EP) curves, waterfall bars, SHAP charts.</w:t>
            </w:r>
          </w:p>
        </w:tc>
      </w:tr>
      <w:tr>
        <w:tc>
          <w:tcPr>
            <w:tcW w:type="dxa" w:w="2381"/>
          </w:tcPr>
          <w:p>
            <w:r/>
            <w:r>
              <w:rPr>
                <w:b/>
                <w:i w:val="0"/>
                <w:sz w:val="20"/>
              </w:rPr>
              <w:t>Node.js built-in SQLite</w:t>
            </w:r>
          </w:p>
        </w:tc>
        <w:tc>
          <w:tcPr>
            <w:tcW w:type="dxa" w:w="2835"/>
          </w:tcPr>
          <w:p>
            <w:r/>
            <w:r>
              <w:rPr>
                <w:b w:val="0"/>
                <w:i w:val="0"/>
                <w:sz w:val="20"/>
              </w:rPr>
              <w:t>Stores accepted offers and the audit trail.</w:t>
            </w:r>
          </w:p>
        </w:tc>
        <w:tc>
          <w:tcPr>
            <w:tcW w:type="dxa" w:w="4139"/>
          </w:tcPr>
          <w:p>
            <w:r/>
            <w:r>
              <w:rPr>
                <w:b w:val="0"/>
                <w:i w:val="0"/>
                <w:sz w:val="20"/>
              </w:rPr>
              <w:t>No separate database server; one file on the server, excluded from Git.</w:t>
            </w:r>
          </w:p>
        </w:tc>
      </w:tr>
      <w:tr>
        <w:tc>
          <w:tcPr>
            <w:tcW w:type="dxa" w:w="2381"/>
          </w:tcPr>
          <w:p>
            <w:r/>
            <w:r>
              <w:rPr>
                <w:b/>
                <w:i w:val="0"/>
                <w:sz w:val="20"/>
              </w:rPr>
              <w:t>zod</w:t>
            </w:r>
          </w:p>
        </w:tc>
        <w:tc>
          <w:tcPr>
            <w:tcW w:type="dxa" w:w="2835"/>
          </w:tcPr>
          <w:p>
            <w:r/>
            <w:r>
              <w:rPr>
                <w:b w:val="0"/>
                <w:i w:val="0"/>
                <w:sz w:val="20"/>
              </w:rPr>
              <w:t>Validates every request to the server.</w:t>
            </w:r>
          </w:p>
        </w:tc>
        <w:tc>
          <w:tcPr>
            <w:tcW w:type="dxa" w:w="4139"/>
          </w:tcPr>
          <w:p>
            <w:r/>
            <w:r>
              <w:rPr>
                <w:b w:val="0"/>
                <w:i w:val="0"/>
                <w:sz w:val="20"/>
              </w:rPr>
              <w:t>Rejects malformed or out-of-range data before it reaches the model or the database.</w:t>
            </w:r>
          </w:p>
        </w:tc>
      </w:tr>
    </w:tbl>
    <w:p>
      <w:pPr>
        <w:spacing w:after="40"/>
      </w:pPr>
    </w:p>
    <w:p>
      <w:pPr>
        <w:pStyle w:val="Heading2"/>
      </w:pPr>
      <w:r>
        <w:t>2.4 Security features worth mentioning if asked</w:t>
      </w:r>
    </w:p>
    <w:p>
      <w:pPr>
        <w:pStyle w:val="ListBullet"/>
        <w:spacing w:after="60"/>
      </w:pPr>
      <w:r>
        <w:rPr>
          <w:b w:val="0"/>
          <w:i w:val="0"/>
        </w:rPr>
        <w:t>Passcode sign-in with signed (HMAC) session cookies; the app listens only on the local machine unless a network demo is enabled.</w:t>
      </w:r>
    </w:p>
    <w:p>
      <w:pPr>
        <w:pStyle w:val="ListBullet"/>
        <w:spacing w:after="60"/>
      </w:pPr>
      <w:r>
        <w:rPr>
          <w:b w:val="0"/>
          <w:i w:val="0"/>
        </w:rPr>
        <w:t>Rate limits protecting the Gemini quota; same-origin checks against cross-site requests.</w:t>
      </w:r>
    </w:p>
    <w:p>
      <w:pPr>
        <w:pStyle w:val="ListBullet"/>
        <w:spacing w:after="60"/>
      </w:pPr>
      <w:r>
        <w:rPr>
          <w:b w:val="0"/>
          <w:i w:val="0"/>
        </w:rPr>
        <w:t>Prompt-injection defences: untrusted-data wrapping, a fixed output schema, re-validation in code, and an injection-pattern scanner.</w:t>
      </w:r>
    </w:p>
    <w:p>
      <w:pPr>
        <w:pStyle w:val="ListBullet"/>
        <w:spacing w:after="60"/>
      </w:pPr>
      <w:r>
        <w:rPr>
          <w:b w:val="0"/>
          <w:i w:val="0"/>
        </w:rPr>
        <w:t>Security headers (Content-Security-Policy and others); friendly error messages, with technical detail kept in the server log only.</w:t>
      </w:r>
    </w:p>
    <w:p>
      <w:pPr>
        <w:pStyle w:val="ListBullet"/>
        <w:spacing w:after="60"/>
      </w:pPr>
      <w:r>
        <w:rPr>
          <w:b w:val="0"/>
          <w:i w:val="0"/>
        </w:rPr>
        <w:t>Photos re-encoded in the browser so GPS metadata never leaves the device; an audit trail of every extraction, acceptance and removal.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41D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41D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