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D0ED4" w14:textId="3451973F" w:rsidR="00F6154E" w:rsidRPr="000B0BBB" w:rsidRDefault="00F6154E" w:rsidP="00605D51">
      <w:pPr>
        <w:autoSpaceDE w:val="0"/>
        <w:autoSpaceDN w:val="0"/>
        <w:adjustRightInd w:val="0"/>
        <w:spacing w:after="240" w:line="480" w:lineRule="atLeast"/>
        <w:jc w:val="center"/>
        <w:rPr>
          <w:rFonts w:ascii="Calibri" w:hAnsi="Calibri" w:cs="Times"/>
          <w:color w:val="000000"/>
          <w:sz w:val="26"/>
          <w:szCs w:val="26"/>
        </w:rPr>
      </w:pPr>
      <w:r w:rsidRPr="000B0BBB">
        <w:rPr>
          <w:rFonts w:ascii="Calibri" w:hAnsi="Calibri" w:cs="Times"/>
          <w:b/>
          <w:bCs/>
          <w:color w:val="000000"/>
          <w:sz w:val="26"/>
          <w:szCs w:val="26"/>
        </w:rPr>
        <w:t xml:space="preserve">FIN104 Tutorial </w:t>
      </w:r>
      <w:r w:rsidR="00117998">
        <w:rPr>
          <w:rFonts w:ascii="Calibri" w:hAnsi="Calibri" w:cs="Times"/>
          <w:b/>
          <w:bCs/>
          <w:color w:val="000000"/>
          <w:sz w:val="26"/>
          <w:szCs w:val="26"/>
        </w:rPr>
        <w:t>Answers</w:t>
      </w:r>
      <w:r w:rsidRPr="000B0BBB">
        <w:rPr>
          <w:rFonts w:ascii="Calibri" w:hAnsi="Calibri" w:cs="Times"/>
          <w:b/>
          <w:bCs/>
          <w:color w:val="000000"/>
          <w:sz w:val="26"/>
          <w:szCs w:val="26"/>
        </w:rPr>
        <w:t xml:space="preserve"> - Week </w:t>
      </w:r>
      <w:r w:rsidR="00605D51" w:rsidRPr="000B0BBB">
        <w:rPr>
          <w:rFonts w:ascii="Calibri" w:hAnsi="Calibri" w:cs="Times"/>
          <w:b/>
          <w:bCs/>
          <w:color w:val="000000"/>
          <w:sz w:val="26"/>
          <w:szCs w:val="26"/>
        </w:rPr>
        <w:t>9</w:t>
      </w:r>
    </w:p>
    <w:p w14:paraId="488134A0" w14:textId="768201FA" w:rsidR="0013564D" w:rsidRPr="000B0BBB" w:rsidRDefault="005059BE" w:rsidP="0013564D">
      <w:pPr>
        <w:pStyle w:val="ListParagraph"/>
        <w:numPr>
          <w:ilvl w:val="0"/>
          <w:numId w:val="1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 xml:space="preserve"> Project Analysis. True or false? (</w:t>
      </w:r>
      <w:r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  <w:lang w:eastAsia="zh-CN"/>
        </w:rPr>
        <w:t>CH10</w:t>
      </w:r>
      <w:r w:rsidR="00836A70"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  <w:lang w:eastAsia="zh-CN"/>
        </w:rPr>
        <w:t>-Q3</w:t>
      </w:r>
      <w:r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>)</w:t>
      </w:r>
    </w:p>
    <w:p w14:paraId="7492CDFD" w14:textId="77777777" w:rsidR="0013564D" w:rsidRPr="000B0BBB" w:rsidRDefault="0013564D" w:rsidP="0013564D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</w:p>
    <w:p w14:paraId="0F6C384F" w14:textId="098E8F05" w:rsidR="005059BE" w:rsidRPr="000B0BBB" w:rsidRDefault="005059BE" w:rsidP="00836A70">
      <w:pPr>
        <w:pStyle w:val="ListParagraph"/>
        <w:numPr>
          <w:ilvl w:val="0"/>
          <w:numId w:val="5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color w:val="000000"/>
          <w:kern w:val="0"/>
          <w:sz w:val="26"/>
          <w:szCs w:val="26"/>
        </w:rPr>
        <w:t>Sensitivity analysis can be used to identify the variables most crucial to a project’s success.</w:t>
      </w:r>
    </w:p>
    <w:p w14:paraId="3D117042" w14:textId="77777777" w:rsidR="0013564D" w:rsidRPr="000B0BBB" w:rsidRDefault="0013564D" w:rsidP="0013564D">
      <w:pPr>
        <w:pStyle w:val="ListParagraph"/>
        <w:tabs>
          <w:tab w:val="left" w:pos="220"/>
          <w:tab w:val="left" w:pos="540"/>
        </w:tabs>
        <w:spacing w:after="240" w:line="280" w:lineRule="atLeast"/>
        <w:ind w:left="1440"/>
        <w:rPr>
          <w:rFonts w:ascii="Calibri" w:hAnsi="Calibri" w:cs="Times"/>
          <w:color w:val="000000"/>
          <w:kern w:val="0"/>
          <w:sz w:val="26"/>
          <w:szCs w:val="26"/>
        </w:rPr>
      </w:pPr>
    </w:p>
    <w:p w14:paraId="1F22935E" w14:textId="77777777" w:rsidR="0013564D" w:rsidRPr="000B0BBB" w:rsidRDefault="005059BE" w:rsidP="0013564D">
      <w:pPr>
        <w:pStyle w:val="ListParagraph"/>
        <w:numPr>
          <w:ilvl w:val="0"/>
          <w:numId w:val="5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color w:val="000000"/>
          <w:kern w:val="0"/>
          <w:sz w:val="26"/>
          <w:szCs w:val="26"/>
        </w:rPr>
        <w:t>Sensitivity analysis is used to obtain expected, optimistic, and pessimistic values for total project cash flows.</w:t>
      </w:r>
    </w:p>
    <w:p w14:paraId="0C7C4FB9" w14:textId="77777777" w:rsidR="0013564D" w:rsidRPr="000B0BBB" w:rsidRDefault="0013564D" w:rsidP="0013564D">
      <w:pPr>
        <w:pStyle w:val="ListParagraph"/>
        <w:rPr>
          <w:rFonts w:ascii="Calibri" w:hAnsi="Calibri" w:cs="Times"/>
          <w:color w:val="000000"/>
          <w:sz w:val="26"/>
          <w:szCs w:val="26"/>
        </w:rPr>
      </w:pPr>
    </w:p>
    <w:p w14:paraId="642843DF" w14:textId="77777777" w:rsidR="0013564D" w:rsidRPr="000B0BBB" w:rsidRDefault="005059BE" w:rsidP="0013564D">
      <w:pPr>
        <w:pStyle w:val="ListParagraph"/>
        <w:numPr>
          <w:ilvl w:val="0"/>
          <w:numId w:val="5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Rather than basing one’s estimate of NPV just on expected cash flows, it makes more sense to average the NPVs calculated from the pessimistic and optimistic estimates of cash flow.</w:t>
      </w:r>
    </w:p>
    <w:p w14:paraId="77C0C103" w14:textId="77777777" w:rsidR="0013564D" w:rsidRPr="000B0BBB" w:rsidRDefault="0013564D" w:rsidP="0013564D">
      <w:pPr>
        <w:pStyle w:val="ListParagraph"/>
        <w:rPr>
          <w:rFonts w:ascii="Calibri" w:hAnsi="Calibri" w:cs="Times"/>
          <w:color w:val="000000"/>
          <w:sz w:val="26"/>
          <w:szCs w:val="26"/>
        </w:rPr>
      </w:pPr>
    </w:p>
    <w:p w14:paraId="6ADABB64" w14:textId="77777777" w:rsidR="0013564D" w:rsidRPr="000B0BBB" w:rsidRDefault="005059BE" w:rsidP="0013564D">
      <w:pPr>
        <w:pStyle w:val="ListParagraph"/>
        <w:numPr>
          <w:ilvl w:val="0"/>
          <w:numId w:val="5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Risk is reduced when a high proportion of costs are fixed.</w:t>
      </w:r>
    </w:p>
    <w:p w14:paraId="6453D4FA" w14:textId="77777777" w:rsidR="0013564D" w:rsidRPr="000B0BBB" w:rsidRDefault="0013564D" w:rsidP="0013564D">
      <w:pPr>
        <w:pStyle w:val="ListParagraph"/>
        <w:rPr>
          <w:rFonts w:ascii="Calibri" w:hAnsi="Calibri" w:cs="Times"/>
          <w:color w:val="000000"/>
          <w:sz w:val="26"/>
          <w:szCs w:val="26"/>
        </w:rPr>
      </w:pPr>
    </w:p>
    <w:p w14:paraId="3E78E189" w14:textId="56148644" w:rsidR="00836A70" w:rsidRPr="000B0BBB" w:rsidRDefault="005059BE" w:rsidP="0013564D">
      <w:pPr>
        <w:pStyle w:val="ListParagraph"/>
        <w:numPr>
          <w:ilvl w:val="0"/>
          <w:numId w:val="5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The break-even level of sales for a project is higher when break-even is defined in terms of</w:t>
      </w:r>
      <w:r w:rsidR="00836A70" w:rsidRPr="000B0BBB">
        <w:rPr>
          <w:rFonts w:ascii="Calibri" w:hAnsi="Calibri" w:cs="Times"/>
          <w:color w:val="000000"/>
          <w:sz w:val="26"/>
          <w:szCs w:val="26"/>
        </w:rPr>
        <w:t xml:space="preserve"> </w:t>
      </w:r>
      <w:r w:rsidRPr="000B0BBB">
        <w:rPr>
          <w:rFonts w:ascii="Calibri" w:hAnsi="Calibri" w:cs="Times"/>
          <w:color w:val="000000"/>
          <w:sz w:val="26"/>
          <w:szCs w:val="26"/>
        </w:rPr>
        <w:t>NPV rather than accounting income.</w:t>
      </w:r>
    </w:p>
    <w:p w14:paraId="6C6FB1B9" w14:textId="3DFD972D" w:rsidR="00AF3147" w:rsidRPr="000B0BBB" w:rsidRDefault="00AF3147" w:rsidP="00AF3147">
      <w:pPr>
        <w:tabs>
          <w:tab w:val="left" w:pos="220"/>
          <w:tab w:val="left" w:pos="540"/>
        </w:tabs>
        <w:spacing w:after="240" w:line="280" w:lineRule="atLeast"/>
        <w:ind w:left="1080"/>
        <w:rPr>
          <w:rFonts w:ascii="Calibri" w:hAnsi="Calibri" w:cs="Times"/>
          <w:b/>
          <w:color w:val="000000"/>
          <w:sz w:val="26"/>
          <w:szCs w:val="26"/>
          <w:u w:val="single"/>
        </w:rPr>
      </w:pPr>
      <w:r w:rsidRPr="000B0BBB">
        <w:rPr>
          <w:rFonts w:ascii="Calibri" w:hAnsi="Calibri" w:cs="Times"/>
          <w:b/>
          <w:color w:val="000000"/>
          <w:sz w:val="26"/>
          <w:szCs w:val="26"/>
          <w:u w:val="single"/>
        </w:rPr>
        <w:t>Answer:</w:t>
      </w:r>
    </w:p>
    <w:p w14:paraId="184B71D2" w14:textId="77777777" w:rsidR="00AF3147" w:rsidRPr="000B0BBB" w:rsidRDefault="00AF3147" w:rsidP="00AF3147">
      <w:pPr>
        <w:pStyle w:val="ListParagraph"/>
        <w:numPr>
          <w:ilvl w:val="0"/>
          <w:numId w:val="20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True - Sensitivity analysis can be used to identify the variables most crucial to a project’s success.</w:t>
      </w:r>
    </w:p>
    <w:p w14:paraId="7311AB6B" w14:textId="2229F345" w:rsidR="00AF3147" w:rsidRPr="000B0BBB" w:rsidRDefault="00AF3147" w:rsidP="00AF3147">
      <w:pPr>
        <w:pStyle w:val="ListParagraph"/>
        <w:numPr>
          <w:ilvl w:val="0"/>
          <w:numId w:val="20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False - Sensitivity analysis is used to obtain expected, optimistic, and pessimistic values for total project cash flows.</w:t>
      </w:r>
    </w:p>
    <w:p w14:paraId="3E1E667E" w14:textId="797DAEB2" w:rsidR="00AF3147" w:rsidRPr="000B0BBB" w:rsidRDefault="00AF3147" w:rsidP="00AF3147">
      <w:pPr>
        <w:pStyle w:val="ListParagraph"/>
        <w:numPr>
          <w:ilvl w:val="0"/>
          <w:numId w:val="20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False - Rather than basing one’s estimate of NPV just on expected cash flows, it makes more sense to average the NPVs calculated from the pessimistic and optimistic estimates of cash flow.</w:t>
      </w:r>
    </w:p>
    <w:p w14:paraId="7D03B8EB" w14:textId="5982C492" w:rsidR="00AF3147" w:rsidRPr="000B0BBB" w:rsidRDefault="00AF3147" w:rsidP="00AF3147">
      <w:pPr>
        <w:pStyle w:val="ListParagraph"/>
        <w:numPr>
          <w:ilvl w:val="0"/>
          <w:numId w:val="20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False - Risk is reduced when a high proportion of costs are fixed.</w:t>
      </w:r>
    </w:p>
    <w:p w14:paraId="449D5E5B" w14:textId="1FC5C64F" w:rsidR="00AF3147" w:rsidRPr="000B0BBB" w:rsidRDefault="00AF3147" w:rsidP="00AF3147">
      <w:pPr>
        <w:pStyle w:val="ListParagraph"/>
        <w:numPr>
          <w:ilvl w:val="0"/>
          <w:numId w:val="20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True - The break‐even level of sales for a project is higher when break‐even is defined in terms of NPV rather than accounting income.</w:t>
      </w:r>
    </w:p>
    <w:p w14:paraId="0A4969D2" w14:textId="77777777" w:rsidR="00836A70" w:rsidRPr="000B0BBB" w:rsidRDefault="00836A70" w:rsidP="00836A70">
      <w:pPr>
        <w:pStyle w:val="ListParagraph"/>
        <w:tabs>
          <w:tab w:val="left" w:pos="220"/>
          <w:tab w:val="left" w:pos="540"/>
        </w:tabs>
        <w:spacing w:after="240" w:line="280" w:lineRule="atLeast"/>
        <w:ind w:left="1440"/>
        <w:rPr>
          <w:rFonts w:ascii="Calibri" w:hAnsi="Calibri" w:cs="Times"/>
          <w:color w:val="000000"/>
          <w:kern w:val="0"/>
          <w:sz w:val="26"/>
          <w:szCs w:val="26"/>
        </w:rPr>
      </w:pPr>
    </w:p>
    <w:p w14:paraId="5A65DC7D" w14:textId="108B5809" w:rsidR="00836A70" w:rsidRPr="000B0BBB" w:rsidRDefault="00836A70" w:rsidP="00836A70">
      <w:pPr>
        <w:pStyle w:val="ListParagraph"/>
        <w:numPr>
          <w:ilvl w:val="0"/>
          <w:numId w:val="1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>Break-Even Analysis. The following estimates have been prepared for a project</w:t>
      </w:r>
      <w:r w:rsidR="00B37192"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 xml:space="preserve"> </w:t>
      </w:r>
      <w:r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>(CH10-Q10):</w:t>
      </w:r>
    </w:p>
    <w:p w14:paraId="4CBCFEFA" w14:textId="77777777" w:rsidR="0013564D" w:rsidRPr="000B0BBB" w:rsidRDefault="0013564D" w:rsidP="0013564D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</w:p>
    <w:p w14:paraId="10C88E5D" w14:textId="77777777" w:rsidR="00836A70" w:rsidRPr="000B0BBB" w:rsidRDefault="00836A70" w:rsidP="00836A70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color w:val="000000"/>
          <w:kern w:val="0"/>
          <w:sz w:val="26"/>
          <w:szCs w:val="26"/>
        </w:rPr>
        <w:t>Fixed costs: $20,000</w:t>
      </w:r>
    </w:p>
    <w:p w14:paraId="790A4F49" w14:textId="77777777" w:rsidR="00836A70" w:rsidRPr="000B0BBB" w:rsidRDefault="00836A70" w:rsidP="00836A70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color w:val="000000"/>
          <w:kern w:val="0"/>
          <w:sz w:val="26"/>
          <w:szCs w:val="26"/>
        </w:rPr>
        <w:t>Depreciation: $10,000</w:t>
      </w:r>
    </w:p>
    <w:p w14:paraId="1B90AAFE" w14:textId="77777777" w:rsidR="00836A70" w:rsidRPr="000B0BBB" w:rsidRDefault="00836A70" w:rsidP="00836A70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color w:val="000000"/>
          <w:kern w:val="0"/>
          <w:sz w:val="26"/>
          <w:szCs w:val="26"/>
        </w:rPr>
        <w:t>Sales price: $2</w:t>
      </w:r>
    </w:p>
    <w:p w14:paraId="37C6B64B" w14:textId="6758A344" w:rsidR="00836A70" w:rsidRPr="000B0BBB" w:rsidRDefault="00836A70" w:rsidP="00836A70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color w:val="000000"/>
          <w:kern w:val="0"/>
          <w:sz w:val="26"/>
          <w:szCs w:val="26"/>
        </w:rPr>
        <w:t>Accounting break-even: 60,000 units</w:t>
      </w:r>
    </w:p>
    <w:p w14:paraId="4E7C5207" w14:textId="77777777" w:rsidR="00B37192" w:rsidRPr="000B0BBB" w:rsidRDefault="00B37192" w:rsidP="00836A70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kern w:val="0"/>
          <w:sz w:val="26"/>
          <w:szCs w:val="26"/>
        </w:rPr>
      </w:pPr>
    </w:p>
    <w:p w14:paraId="2D093C9E" w14:textId="75175643" w:rsidR="00942F6A" w:rsidRPr="000B0BBB" w:rsidRDefault="00836A70" w:rsidP="00836A70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 xml:space="preserve">What must be the variable cost per unit? </w:t>
      </w:r>
    </w:p>
    <w:p w14:paraId="460C308E" w14:textId="77777777" w:rsidR="00F64AC2" w:rsidRPr="000B0BBB" w:rsidRDefault="00F64AC2" w:rsidP="00F64AC2">
      <w:pPr>
        <w:tabs>
          <w:tab w:val="left" w:pos="220"/>
          <w:tab w:val="left" w:pos="540"/>
        </w:tabs>
        <w:spacing w:after="240" w:line="280" w:lineRule="atLeast"/>
        <w:ind w:left="1080" w:hanging="990"/>
        <w:rPr>
          <w:rFonts w:ascii="Calibri" w:hAnsi="Calibri" w:cs="Times"/>
          <w:b/>
          <w:color w:val="000000"/>
          <w:sz w:val="26"/>
          <w:szCs w:val="26"/>
          <w:u w:val="single"/>
        </w:rPr>
      </w:pPr>
      <w:r w:rsidRPr="000B0BBB">
        <w:rPr>
          <w:rFonts w:ascii="Calibri" w:hAnsi="Calibri" w:cs="Times"/>
          <w:b/>
          <w:color w:val="000000"/>
          <w:sz w:val="26"/>
          <w:szCs w:val="26"/>
          <w:u w:val="single"/>
        </w:rPr>
        <w:lastRenderedPageBreak/>
        <w:t>Answer:</w:t>
      </w:r>
    </w:p>
    <w:p w14:paraId="667AA151" w14:textId="6F4E8490" w:rsidR="00AF3147" w:rsidRPr="000B0BBB" w:rsidRDefault="00AF3147" w:rsidP="00F64AC2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Cs/>
          <w:color w:val="000000"/>
          <w:sz w:val="26"/>
          <w:szCs w:val="26"/>
        </w:rPr>
      </w:pPr>
      <w:r w:rsidRPr="000B0BBB">
        <w:rPr>
          <w:rFonts w:ascii="Calibri" w:hAnsi="Calibri" w:cs="Times"/>
          <w:bCs/>
          <w:color w:val="000000"/>
          <w:sz w:val="26"/>
          <w:szCs w:val="26"/>
        </w:rPr>
        <w:t>At the break-even level of sales (60,000 units) profit would be zero:</w:t>
      </w:r>
    </w:p>
    <w:p w14:paraId="098B9B29" w14:textId="7F69B068" w:rsidR="00AF3147" w:rsidRPr="000B0BBB" w:rsidRDefault="00AB283B" w:rsidP="00F64AC2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Cs/>
          <w:i/>
          <w:color w:val="000000"/>
          <w:sz w:val="26"/>
          <w:szCs w:val="26"/>
        </w:rPr>
      </w:pPr>
      <w:r>
        <w:rPr>
          <w:rFonts w:ascii="Calibri" w:hAnsi="Calibri" w:cs="Times"/>
          <w:bCs/>
          <w:i/>
          <w:color w:val="000000"/>
          <w:sz w:val="26"/>
          <w:szCs w:val="26"/>
        </w:rPr>
        <w:t>Profit = [60,000*</w:t>
      </w:r>
      <w:r w:rsidR="00AF3147" w:rsidRPr="000B0BBB">
        <w:rPr>
          <w:rFonts w:ascii="Calibri" w:hAnsi="Calibri" w:cs="Times"/>
          <w:bCs/>
          <w:i/>
          <w:color w:val="000000"/>
          <w:sz w:val="26"/>
          <w:szCs w:val="26"/>
        </w:rPr>
        <w:t>(2 – variable cost per unit)] – 20,000 – 10,000 = 0</w:t>
      </w:r>
    </w:p>
    <w:p w14:paraId="3A08A400" w14:textId="3B419094" w:rsidR="005209E4" w:rsidRPr="000B0BBB" w:rsidRDefault="00AF3147" w:rsidP="00F64AC2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Cs/>
          <w:color w:val="000000"/>
          <w:sz w:val="26"/>
          <w:szCs w:val="26"/>
        </w:rPr>
      </w:pPr>
      <w:r w:rsidRPr="000B0BBB">
        <w:rPr>
          <w:rFonts w:ascii="Calibri" w:hAnsi="Calibri" w:cs="Times"/>
          <w:bCs/>
          <w:color w:val="000000"/>
          <w:sz w:val="26"/>
          <w:szCs w:val="26"/>
        </w:rPr>
        <w:t>Solve to find that variable cost per unit = $1.50.</w:t>
      </w:r>
    </w:p>
    <w:p w14:paraId="5D545BF3" w14:textId="77777777" w:rsidR="00AF3147" w:rsidRPr="000B0BBB" w:rsidRDefault="00AF3147" w:rsidP="00AF3147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Cs/>
          <w:color w:val="000000"/>
          <w:kern w:val="0"/>
          <w:sz w:val="26"/>
          <w:szCs w:val="26"/>
        </w:rPr>
      </w:pPr>
    </w:p>
    <w:p w14:paraId="6F7BA31B" w14:textId="396344F7" w:rsidR="00C101D9" w:rsidRPr="000B0BBB" w:rsidRDefault="00B37192" w:rsidP="00C101D9">
      <w:pPr>
        <w:pStyle w:val="ListParagraph"/>
        <w:numPr>
          <w:ilvl w:val="0"/>
          <w:numId w:val="1"/>
        </w:numPr>
        <w:tabs>
          <w:tab w:val="left" w:pos="220"/>
          <w:tab w:val="left" w:pos="540"/>
        </w:tabs>
        <w:spacing w:after="240" w:line="280" w:lineRule="atLeast"/>
        <w:ind w:left="540" w:hanging="450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 xml:space="preserve">Risk Premiums. </w:t>
      </w:r>
      <w:r w:rsidRPr="000B0BBB">
        <w:rPr>
          <w:rFonts w:ascii="Calibri" w:hAnsi="Calibri" w:cs="Times"/>
          <w:color w:val="000000"/>
          <w:kern w:val="0"/>
          <w:sz w:val="26"/>
          <w:szCs w:val="26"/>
        </w:rPr>
        <w:t>Here are rates of return on a broad stock market index and on Treasury bills between 2013 and 2017</w:t>
      </w:r>
      <w:r w:rsidR="00605D51" w:rsidRPr="000B0BBB">
        <w:rPr>
          <w:rFonts w:ascii="Calibri" w:hAnsi="Calibri" w:cs="Times"/>
          <w:color w:val="000000"/>
          <w:kern w:val="0"/>
          <w:sz w:val="26"/>
          <w:szCs w:val="26"/>
        </w:rPr>
        <w:t xml:space="preserve"> </w:t>
      </w:r>
      <w:r w:rsidR="00605D51"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>(CH11-Q6)</w:t>
      </w:r>
      <w:r w:rsidRPr="000B0BBB">
        <w:rPr>
          <w:rFonts w:ascii="Calibri" w:hAnsi="Calibri" w:cs="Times"/>
          <w:color w:val="000000"/>
          <w:kern w:val="0"/>
          <w:sz w:val="26"/>
          <w:szCs w:val="26"/>
        </w:rPr>
        <w:t>:</w:t>
      </w:r>
      <w:r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 xml:space="preserve"> </w:t>
      </w:r>
    </w:p>
    <w:p w14:paraId="2AB66EBC" w14:textId="305991CC" w:rsidR="00605D51" w:rsidRPr="000B0BBB" w:rsidRDefault="005209E4" w:rsidP="00605D51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sz w:val="26"/>
          <w:szCs w:val="26"/>
        </w:rPr>
      </w:pPr>
      <w:r w:rsidRPr="000B0BBB">
        <w:rPr>
          <w:rFonts w:ascii="Calibri" w:hAnsi="Calibri" w:cs="Times"/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7BE9A60" wp14:editId="0AD8F096">
            <wp:simplePos x="0" y="0"/>
            <wp:positionH relativeFrom="column">
              <wp:posOffset>1219200</wp:posOffset>
            </wp:positionH>
            <wp:positionV relativeFrom="paragraph">
              <wp:posOffset>-1270</wp:posOffset>
            </wp:positionV>
            <wp:extent cx="3638550" cy="1315720"/>
            <wp:effectExtent l="0" t="0" r="0" b="0"/>
            <wp:wrapTight wrapText="bothSides">
              <wp:wrapPolygon edited="0">
                <wp:start x="0" y="0"/>
                <wp:lineTo x="0" y="21266"/>
                <wp:lineTo x="21487" y="21266"/>
                <wp:lineTo x="21487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5E4C2" w14:textId="77777777" w:rsidR="005209E4" w:rsidRPr="000B0BBB" w:rsidRDefault="005209E4" w:rsidP="005209E4">
      <w:pPr>
        <w:pStyle w:val="ListParagraph"/>
        <w:tabs>
          <w:tab w:val="left" w:pos="220"/>
          <w:tab w:val="left" w:pos="540"/>
        </w:tabs>
        <w:spacing w:after="240" w:line="280" w:lineRule="atLeast"/>
        <w:ind w:left="540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</w:p>
    <w:p w14:paraId="07A598FB" w14:textId="4CDCC902" w:rsidR="005209E4" w:rsidRPr="000B0BBB" w:rsidRDefault="005209E4" w:rsidP="005209E4">
      <w:pPr>
        <w:pStyle w:val="ListParagraph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</w:p>
    <w:p w14:paraId="4D18390D" w14:textId="35519412" w:rsidR="005209E4" w:rsidRPr="000B0BBB" w:rsidRDefault="005209E4" w:rsidP="005209E4">
      <w:pPr>
        <w:pStyle w:val="ListParagraph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</w:p>
    <w:p w14:paraId="15AA430B" w14:textId="3FDAC1EE" w:rsidR="005209E4" w:rsidRPr="000B0BBB" w:rsidRDefault="005209E4" w:rsidP="005209E4">
      <w:pPr>
        <w:pStyle w:val="ListParagraph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</w:p>
    <w:p w14:paraId="464EA57F" w14:textId="522FD167" w:rsidR="005209E4" w:rsidRPr="000B0BBB" w:rsidRDefault="005209E4" w:rsidP="005209E4">
      <w:pPr>
        <w:pStyle w:val="ListParagraph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</w:p>
    <w:p w14:paraId="09CBF6E2" w14:textId="77777777" w:rsidR="005209E4" w:rsidRPr="000B0BBB" w:rsidRDefault="005209E4" w:rsidP="005209E4">
      <w:pPr>
        <w:pStyle w:val="NormalWeb"/>
        <w:numPr>
          <w:ilvl w:val="0"/>
          <w:numId w:val="8"/>
        </w:numPr>
        <w:rPr>
          <w:rFonts w:ascii="Calibri" w:eastAsiaTheme="minorEastAsia" w:hAnsi="Calibri" w:cs="Times"/>
          <w:color w:val="000000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sz w:val="26"/>
          <w:szCs w:val="26"/>
          <w:lang w:eastAsia="en-US"/>
        </w:rPr>
        <w:t xml:space="preserve">What was the risk premium on common stock in each year? </w:t>
      </w:r>
    </w:p>
    <w:p w14:paraId="70CAF019" w14:textId="77777777" w:rsidR="005209E4" w:rsidRPr="000B0BBB" w:rsidRDefault="005209E4" w:rsidP="005209E4">
      <w:pPr>
        <w:pStyle w:val="NormalWeb"/>
        <w:numPr>
          <w:ilvl w:val="0"/>
          <w:numId w:val="8"/>
        </w:numPr>
        <w:rPr>
          <w:rFonts w:ascii="Calibri" w:eastAsiaTheme="minorEastAsia" w:hAnsi="Calibri" w:cs="Times"/>
          <w:color w:val="000000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sz w:val="26"/>
          <w:szCs w:val="26"/>
          <w:lang w:eastAsia="en-US"/>
        </w:rPr>
        <w:t xml:space="preserve">What was the average risk premium? </w:t>
      </w:r>
    </w:p>
    <w:p w14:paraId="5F2A4DF0" w14:textId="09D4B654" w:rsidR="005209E4" w:rsidRPr="000B0BBB" w:rsidRDefault="005209E4" w:rsidP="005209E4">
      <w:pPr>
        <w:pStyle w:val="NormalWeb"/>
        <w:numPr>
          <w:ilvl w:val="0"/>
          <w:numId w:val="8"/>
        </w:numPr>
        <w:rPr>
          <w:rFonts w:ascii="Calibri" w:eastAsiaTheme="minorEastAsia" w:hAnsi="Calibri" w:cs="Times"/>
          <w:color w:val="000000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sz w:val="26"/>
          <w:szCs w:val="26"/>
          <w:lang w:eastAsia="en-US"/>
        </w:rPr>
        <w:t xml:space="preserve">What was the standard deviation of the risk premium? </w:t>
      </w:r>
    </w:p>
    <w:p w14:paraId="40637A20" w14:textId="4350EDA6" w:rsidR="00F64AC2" w:rsidRPr="000B0BBB" w:rsidRDefault="00F64AC2" w:rsidP="00F64AC2">
      <w:pPr>
        <w:pStyle w:val="NormalWeb"/>
        <w:rPr>
          <w:rFonts w:ascii="Calibri" w:eastAsiaTheme="minorEastAsia" w:hAnsi="Calibri" w:cs="Times"/>
          <w:color w:val="000000"/>
          <w:sz w:val="26"/>
          <w:szCs w:val="26"/>
          <w:lang w:eastAsia="en-US"/>
        </w:rPr>
      </w:pPr>
    </w:p>
    <w:p w14:paraId="12B9D2D9" w14:textId="0752AD96" w:rsidR="00F64AC2" w:rsidRPr="000B0BBB" w:rsidRDefault="00F64AC2" w:rsidP="00F64AC2">
      <w:pPr>
        <w:pStyle w:val="NormalWeb"/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</w:pPr>
      <w:r w:rsidRPr="000B0BBB"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  <w:t>Answer:</w:t>
      </w:r>
    </w:p>
    <w:p w14:paraId="09DA173B" w14:textId="59C5917F" w:rsidR="00F64AC2" w:rsidRPr="000B0BBB" w:rsidRDefault="00F64AC2" w:rsidP="00F64AC2">
      <w:pPr>
        <w:pStyle w:val="NormalWeb"/>
        <w:rPr>
          <w:rFonts w:ascii="Calibri" w:eastAsiaTheme="minorEastAsia" w:hAnsi="Calibri" w:cs="Times"/>
          <w:color w:val="000000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sz w:val="26"/>
          <w:szCs w:val="26"/>
          <w:lang w:eastAsia="en-US"/>
        </w:rPr>
        <w:t>a.</w:t>
      </w:r>
    </w:p>
    <w:bookmarkStart w:id="0" w:name="_MON_1526562252"/>
    <w:bookmarkEnd w:id="0"/>
    <w:p w14:paraId="4207266D" w14:textId="421A6656" w:rsidR="00F64AC2" w:rsidRPr="000B0BBB" w:rsidRDefault="00F64AC2" w:rsidP="00F64AC2">
      <w:pPr>
        <w:pStyle w:val="NormalWeb"/>
        <w:ind w:left="720"/>
        <w:rPr>
          <w:rFonts w:ascii="Calibri" w:eastAsiaTheme="minorEastAsia" w:hAnsi="Calibri" w:cs="Times"/>
          <w:color w:val="000000"/>
          <w:sz w:val="26"/>
          <w:szCs w:val="26"/>
          <w:lang w:eastAsia="en-US"/>
        </w:rPr>
      </w:pPr>
      <w:r w:rsidRPr="000B0BBB">
        <w:rPr>
          <w:noProof/>
          <w:sz w:val="26"/>
          <w:szCs w:val="26"/>
        </w:rPr>
        <w:object w:dxaOrig="7500" w:dyaOrig="3640" w14:anchorId="2759F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5pt;height:181.45pt;mso-width-percent:0;mso-height-percent:0;mso-width-percent:0;mso-height-percent:0" o:ole="">
            <v:imagedata r:id="rId7" o:title=""/>
          </v:shape>
          <o:OLEObject Type="Embed" ProgID="Excel.Sheet.12" ShapeID="_x0000_i1025" DrawAspect="Content" ObjectID="_1681712910" r:id="rId8"/>
        </w:object>
      </w:r>
    </w:p>
    <w:p w14:paraId="09C07FEE" w14:textId="5AE732D4" w:rsidR="00F64AC2" w:rsidRPr="000B0BBB" w:rsidRDefault="00F64AC2" w:rsidP="00F64AC2">
      <w:pPr>
        <w:spacing w:before="200"/>
        <w:ind w:left="270" w:hanging="270"/>
        <w:rPr>
          <w:rFonts w:ascii="Calibri" w:hAnsi="Calibri" w:cs="Times"/>
          <w:color w:val="000000"/>
          <w:sz w:val="26"/>
          <w:szCs w:val="26"/>
          <w:lang w:eastAsia="en-US"/>
        </w:rPr>
      </w:pPr>
      <w:r w:rsidRPr="000B0BBB">
        <w:rPr>
          <w:rFonts w:ascii="Calibri" w:hAnsi="Calibri" w:cs="Times"/>
          <w:color w:val="000000"/>
          <w:sz w:val="26"/>
          <w:szCs w:val="26"/>
          <w:lang w:eastAsia="en-US"/>
        </w:rPr>
        <w:lastRenderedPageBreak/>
        <w:t>b.</w:t>
      </w:r>
      <w:r w:rsidRPr="000B0BBB">
        <w:rPr>
          <w:sz w:val="26"/>
          <w:szCs w:val="26"/>
        </w:rPr>
        <w:t xml:space="preserve"> </w:t>
      </w:r>
      <w:r w:rsidRPr="000B0BBB">
        <w:rPr>
          <w:rFonts w:ascii="Calibri" w:hAnsi="Calibri" w:cs="Times"/>
          <w:color w:val="000000"/>
          <w:sz w:val="26"/>
          <w:szCs w:val="26"/>
          <w:lang w:eastAsia="en-US"/>
        </w:rPr>
        <w:t>The average risk premium was 14.85%.</w:t>
      </w:r>
    </w:p>
    <w:p w14:paraId="4153C23B" w14:textId="5ABDAB27" w:rsidR="00AF3147" w:rsidRPr="000B0BBB" w:rsidRDefault="00F64AC2" w:rsidP="00F64AC2">
      <w:pPr>
        <w:spacing w:before="200"/>
        <w:ind w:left="270" w:hanging="270"/>
        <w:rPr>
          <w:rFonts w:ascii="Calibri" w:hAnsi="Calibri" w:cs="Times"/>
          <w:color w:val="000000"/>
          <w:sz w:val="26"/>
          <w:szCs w:val="26"/>
          <w:lang w:eastAsia="en-US"/>
        </w:rPr>
      </w:pPr>
      <w:r w:rsidRPr="000B0BBB">
        <w:rPr>
          <w:rFonts w:ascii="Calibri" w:hAnsi="Calibri" w:cs="Times"/>
          <w:color w:val="000000"/>
          <w:sz w:val="26"/>
          <w:szCs w:val="26"/>
          <w:lang w:eastAsia="en-US"/>
        </w:rPr>
        <w:t>c. The variance (the average squared deviation from the mean) was 1.21%. Therefore, standard deviation = 11.01</w:t>
      </w:r>
    </w:p>
    <w:p w14:paraId="395BD5BA" w14:textId="77777777" w:rsidR="00F64AC2" w:rsidRPr="000B0BBB" w:rsidRDefault="00F64AC2" w:rsidP="00F64AC2">
      <w:pPr>
        <w:spacing w:before="200"/>
        <w:ind w:left="270" w:hanging="270"/>
        <w:rPr>
          <w:rFonts w:ascii="Calibri" w:hAnsi="Calibri" w:cs="Times"/>
          <w:color w:val="000000"/>
          <w:sz w:val="26"/>
          <w:szCs w:val="26"/>
          <w:lang w:eastAsia="en-US"/>
        </w:rPr>
      </w:pPr>
    </w:p>
    <w:p w14:paraId="2E2BD3A3" w14:textId="7B674EEC" w:rsidR="005209E4" w:rsidRPr="000B0BBB" w:rsidRDefault="005209E4" w:rsidP="005209E4">
      <w:pPr>
        <w:pStyle w:val="ListParagraph"/>
        <w:numPr>
          <w:ilvl w:val="0"/>
          <w:numId w:val="1"/>
        </w:numPr>
        <w:tabs>
          <w:tab w:val="left" w:pos="220"/>
          <w:tab w:val="left" w:pos="540"/>
        </w:tabs>
        <w:spacing w:after="240" w:line="280" w:lineRule="atLeast"/>
        <w:ind w:left="540" w:hanging="450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b/>
          <w:bCs/>
          <w:color w:val="000000"/>
          <w:sz w:val="26"/>
          <w:szCs w:val="26"/>
        </w:rPr>
        <w:t xml:space="preserve">Real versus Nominal Returns. You purchase 100 shares of stock for $40 a share. The stock pays a $2 per share dividend at year-end. </w:t>
      </w:r>
      <w:r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>(CH11-Q8)</w:t>
      </w:r>
    </w:p>
    <w:p w14:paraId="5F53BF65" w14:textId="77777777" w:rsidR="005209E4" w:rsidRPr="000B0BBB" w:rsidRDefault="005209E4" w:rsidP="005209E4">
      <w:pPr>
        <w:pStyle w:val="NormalWeb"/>
        <w:numPr>
          <w:ilvl w:val="0"/>
          <w:numId w:val="11"/>
        </w:numPr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>What is the rate of return on your investment if the end-of-year stock price is (</w:t>
      </w:r>
      <w:proofErr w:type="spellStart"/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>i</w:t>
      </w:r>
      <w:proofErr w:type="spellEnd"/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 xml:space="preserve">) $38; (ii) $40; (iii) $42? </w:t>
      </w:r>
    </w:p>
    <w:p w14:paraId="48956CC7" w14:textId="56127926" w:rsidR="000663F2" w:rsidRPr="000B0BBB" w:rsidRDefault="005209E4" w:rsidP="000B0BBB">
      <w:pPr>
        <w:pStyle w:val="NormalWeb"/>
        <w:numPr>
          <w:ilvl w:val="0"/>
          <w:numId w:val="11"/>
        </w:numPr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 xml:space="preserve">What is your real (inflation-adjusted) rate of return if the inflation rate is 4%? </w:t>
      </w:r>
    </w:p>
    <w:p w14:paraId="19CB9EF9" w14:textId="5C306B68" w:rsidR="00AF3147" w:rsidRPr="000B0BBB" w:rsidRDefault="00AF3147" w:rsidP="00AF3147">
      <w:pPr>
        <w:pStyle w:val="NormalWeb"/>
        <w:ind w:left="1080" w:hanging="900"/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</w:pPr>
      <w:r w:rsidRPr="000B0BBB"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  <w:t>Answer:</w:t>
      </w:r>
    </w:p>
    <w:p w14:paraId="3BE0EE1A" w14:textId="49ABFD96" w:rsidR="00AF3147" w:rsidRPr="00AB283B" w:rsidRDefault="00AF3147" w:rsidP="00AB283B">
      <w:pPr>
        <w:pStyle w:val="NoSpacing"/>
        <w:numPr>
          <w:ilvl w:val="0"/>
          <w:numId w:val="0"/>
        </w:numPr>
        <w:tabs>
          <w:tab w:val="clear" w:pos="4320"/>
          <w:tab w:val="clear" w:pos="8640"/>
          <w:tab w:val="center" w:pos="-1980"/>
        </w:tabs>
        <w:ind w:left="720" w:right="0" w:hanging="360"/>
        <w:rPr>
          <w:b/>
          <w:sz w:val="26"/>
          <w:szCs w:val="26"/>
        </w:rPr>
      </w:pPr>
      <w:r w:rsidRPr="000B0BBB">
        <w:rPr>
          <w:b/>
          <w:sz w:val="26"/>
          <w:szCs w:val="26"/>
        </w:rPr>
        <w:t>a. (</w:t>
      </w:r>
      <w:proofErr w:type="spellStart"/>
      <w:r w:rsidRPr="000B0BBB">
        <w:rPr>
          <w:b/>
          <w:sz w:val="26"/>
          <w:szCs w:val="26"/>
        </w:rPr>
        <w:t>i</w:t>
      </w:r>
      <w:proofErr w:type="spellEnd"/>
      <w:r w:rsidRPr="000B0BBB">
        <w:rPr>
          <w:b/>
          <w:sz w:val="26"/>
          <w:szCs w:val="26"/>
        </w:rPr>
        <w:t>)</w:t>
      </w:r>
    </w:p>
    <w:p w14:paraId="1290C674" w14:textId="48009128" w:rsidR="000663F2" w:rsidRPr="000B0BBB" w:rsidRDefault="000B0BBB" w:rsidP="00AB283B">
      <w:pPr>
        <w:pStyle w:val="NoSpacing"/>
        <w:numPr>
          <w:ilvl w:val="0"/>
          <w:numId w:val="0"/>
        </w:numPr>
        <w:tabs>
          <w:tab w:val="clear" w:pos="4320"/>
          <w:tab w:val="clear" w:pos="8640"/>
          <w:tab w:val="center" w:pos="-1980"/>
        </w:tabs>
        <w:ind w:left="720" w:right="0" w:hanging="360"/>
        <w:rPr>
          <w:sz w:val="26"/>
          <w:szCs w:val="26"/>
        </w:rPr>
      </w:pPr>
      <w:r w:rsidRPr="000B0BBB">
        <w:rPr>
          <w:noProof/>
          <w:position w:val="-28"/>
          <w:sz w:val="26"/>
          <w:szCs w:val="26"/>
        </w:rPr>
        <w:object w:dxaOrig="6280" w:dyaOrig="660" w14:anchorId="13054309">
          <v:shape id="_x0000_i1026" type="#_x0000_t75" alt="" style="width:343.85pt;height:36.3pt;mso-width-percent:0;mso-height-percent:0;mso-width-percent:0;mso-height-percent:0" o:ole="" fillcolor="window">
            <v:imagedata r:id="rId9" o:title=""/>
          </v:shape>
          <o:OLEObject Type="Embed" ProgID="Equation.3" ShapeID="_x0000_i1026" DrawAspect="Content" ObjectID="_1681712911" r:id="rId10"/>
        </w:object>
      </w:r>
      <w:r w:rsidR="000663F2" w:rsidRPr="000B0BBB">
        <w:rPr>
          <w:sz w:val="26"/>
          <w:szCs w:val="26"/>
        </w:rPr>
        <w:t xml:space="preserve">                       </w:t>
      </w:r>
    </w:p>
    <w:p w14:paraId="571A038A" w14:textId="77777777" w:rsidR="000663F2" w:rsidRPr="000B0BBB" w:rsidRDefault="000663F2" w:rsidP="000B0BBB">
      <w:pPr>
        <w:pStyle w:val="NoSpacing"/>
        <w:numPr>
          <w:ilvl w:val="0"/>
          <w:numId w:val="0"/>
        </w:numPr>
        <w:tabs>
          <w:tab w:val="clear" w:pos="4320"/>
          <w:tab w:val="clear" w:pos="8640"/>
          <w:tab w:val="center" w:pos="-1980"/>
        </w:tabs>
        <w:ind w:left="720" w:right="0" w:hanging="360"/>
        <w:rPr>
          <w:b/>
          <w:sz w:val="26"/>
          <w:szCs w:val="26"/>
        </w:rPr>
      </w:pPr>
      <w:r w:rsidRPr="000B0BBB">
        <w:rPr>
          <w:b/>
          <w:sz w:val="26"/>
          <w:szCs w:val="26"/>
        </w:rPr>
        <w:t>a. (ii)</w:t>
      </w:r>
    </w:p>
    <w:p w14:paraId="0D164137" w14:textId="77777777" w:rsidR="00AB283B" w:rsidRDefault="000B0BBB" w:rsidP="00AB283B">
      <w:pPr>
        <w:spacing w:line="480" w:lineRule="auto"/>
        <w:ind w:firstLine="360"/>
        <w:rPr>
          <w:noProof/>
          <w:sz w:val="26"/>
          <w:szCs w:val="26"/>
        </w:rPr>
      </w:pPr>
      <w:r w:rsidRPr="000B0BBB">
        <w:rPr>
          <w:noProof/>
          <w:sz w:val="26"/>
          <w:szCs w:val="26"/>
        </w:rPr>
        <w:object w:dxaOrig="4500" w:dyaOrig="639" w14:anchorId="577007D9">
          <v:shape id="_x0000_i1049" type="#_x0000_t75" alt="" style="width:258.05pt;height:36.3pt;mso-width-percent:0;mso-height-percent:0;mso-width-percent:0;mso-height-percent:0" o:ole="" fillcolor="window">
            <v:imagedata r:id="rId11" o:title=""/>
          </v:shape>
          <o:OLEObject Type="Embed" ProgID="Equation.3" ShapeID="_x0000_i1049" DrawAspect="Content" ObjectID="_1681712912" r:id="rId12"/>
        </w:object>
      </w:r>
    </w:p>
    <w:p w14:paraId="04A2535D" w14:textId="047B6675" w:rsidR="000B0BBB" w:rsidRPr="00AB283B" w:rsidRDefault="000663F2" w:rsidP="00AB283B">
      <w:pPr>
        <w:pStyle w:val="NoSpacing"/>
        <w:numPr>
          <w:ilvl w:val="0"/>
          <w:numId w:val="0"/>
        </w:numPr>
        <w:tabs>
          <w:tab w:val="clear" w:pos="4320"/>
          <w:tab w:val="clear" w:pos="8640"/>
          <w:tab w:val="center" w:pos="-1980"/>
        </w:tabs>
        <w:ind w:left="720" w:right="0" w:hanging="360"/>
        <w:rPr>
          <w:b/>
          <w:sz w:val="26"/>
          <w:szCs w:val="26"/>
        </w:rPr>
      </w:pPr>
      <w:r w:rsidRPr="000B0BBB">
        <w:rPr>
          <w:b/>
          <w:sz w:val="26"/>
          <w:szCs w:val="26"/>
        </w:rPr>
        <w:t>a. (iii)</w:t>
      </w:r>
      <w:r w:rsidR="000B0BBB" w:rsidRPr="00AB283B">
        <w:rPr>
          <w:b/>
          <w:sz w:val="26"/>
          <w:szCs w:val="26"/>
        </w:rPr>
        <w:t xml:space="preserve"> </w:t>
      </w:r>
    </w:p>
    <w:p w14:paraId="6617135F" w14:textId="2886886F" w:rsidR="000663F2" w:rsidRPr="000B0BBB" w:rsidRDefault="000B0BBB" w:rsidP="000B0BBB">
      <w:pPr>
        <w:pStyle w:val="NoSpacing"/>
        <w:numPr>
          <w:ilvl w:val="0"/>
          <w:numId w:val="0"/>
        </w:numPr>
        <w:tabs>
          <w:tab w:val="clear" w:pos="4320"/>
          <w:tab w:val="clear" w:pos="8640"/>
          <w:tab w:val="center" w:pos="-1980"/>
        </w:tabs>
        <w:ind w:left="720" w:right="0" w:hanging="360"/>
        <w:rPr>
          <w:b/>
          <w:sz w:val="26"/>
          <w:szCs w:val="26"/>
        </w:rPr>
      </w:pPr>
      <w:r w:rsidRPr="000B0BBB">
        <w:rPr>
          <w:noProof/>
          <w:sz w:val="26"/>
          <w:szCs w:val="26"/>
        </w:rPr>
        <w:object w:dxaOrig="4620" w:dyaOrig="639" w14:anchorId="47484F98">
          <v:shape id="_x0000_i1030" type="#_x0000_t75" alt="" style="width:242.5pt;height:32.85pt;mso-width-percent:0;mso-height-percent:0;mso-width-percent:0;mso-height-percent:0" o:ole="" fillcolor="window">
            <v:imagedata r:id="rId13" o:title=""/>
          </v:shape>
          <o:OLEObject Type="Embed" ProgID="Equation.3" ShapeID="_x0000_i1030" DrawAspect="Content" ObjectID="_1681712913" r:id="rId14"/>
        </w:object>
      </w:r>
    </w:p>
    <w:p w14:paraId="1540B6E4" w14:textId="307F4B2A" w:rsidR="00AB283B" w:rsidRPr="00AB283B" w:rsidRDefault="00AB283B" w:rsidP="000B0BBB">
      <w:pPr>
        <w:pStyle w:val="NormalWeb"/>
        <w:ind w:left="360"/>
        <w:rPr>
          <w:b/>
          <w:noProof/>
          <w:sz w:val="26"/>
          <w:szCs w:val="26"/>
        </w:rPr>
      </w:pPr>
      <w:r w:rsidRPr="00AB283B">
        <w:rPr>
          <w:b/>
          <w:noProof/>
          <w:sz w:val="26"/>
          <w:szCs w:val="26"/>
        </w:rPr>
        <w:t>b.</w:t>
      </w:r>
    </w:p>
    <w:p w14:paraId="638F9B9F" w14:textId="637832C6" w:rsidR="00AF3147" w:rsidRDefault="000B0BBB" w:rsidP="000B0BBB">
      <w:pPr>
        <w:pStyle w:val="NormalWeb"/>
        <w:ind w:left="360"/>
        <w:rPr>
          <w:noProof/>
          <w:sz w:val="26"/>
          <w:szCs w:val="26"/>
        </w:rPr>
      </w:pPr>
      <w:r w:rsidRPr="000B0BBB">
        <w:rPr>
          <w:noProof/>
          <w:position w:val="-24"/>
          <w:sz w:val="26"/>
          <w:szCs w:val="26"/>
        </w:rPr>
        <w:object w:dxaOrig="7580" w:dyaOrig="620" w14:anchorId="03DBD39C">
          <v:shape id="_x0000_i1031" type="#_x0000_t75" alt="" style="width:406.65pt;height:34pt;mso-width-percent:0;mso-height-percent:0;mso-width-percent:0;mso-height-percent:0" o:ole="" fillcolor="window">
            <v:imagedata r:id="rId15" o:title=""/>
          </v:shape>
          <o:OLEObject Type="Embed" ProgID="Equation.3" ShapeID="_x0000_i1031" DrawAspect="Content" ObjectID="_1681712914" r:id="rId16"/>
        </w:object>
      </w:r>
    </w:p>
    <w:p w14:paraId="67CDF207" w14:textId="1D356869" w:rsidR="00AB283B" w:rsidRDefault="00AB283B" w:rsidP="000B0BBB">
      <w:pPr>
        <w:pStyle w:val="NormalWeb"/>
        <w:ind w:left="360"/>
        <w:rPr>
          <w:noProof/>
          <w:sz w:val="26"/>
          <w:szCs w:val="26"/>
        </w:rPr>
      </w:pPr>
      <w:r w:rsidRPr="000B0BBB">
        <w:rPr>
          <w:noProof/>
          <w:sz w:val="26"/>
          <w:szCs w:val="26"/>
        </w:rPr>
        <w:object w:dxaOrig="7580" w:dyaOrig="620" w14:anchorId="62CAE80F">
          <v:shape id="_x0000_i1042" type="#_x0000_t75" alt="" style="width:412.4pt;height:34pt;mso-width-percent:0;mso-height-percent:0;mso-width-percent:0;mso-height-percent:0" o:ole="" fillcolor="window">
            <v:imagedata r:id="rId17" o:title=""/>
          </v:shape>
          <o:OLEObject Type="Embed" ProgID="Equation.3" ShapeID="_x0000_i1042" DrawAspect="Content" ObjectID="_1681712915" r:id="rId18"/>
        </w:object>
      </w:r>
    </w:p>
    <w:p w14:paraId="28719C82" w14:textId="46532BCA" w:rsidR="00AB283B" w:rsidRPr="000B0BBB" w:rsidRDefault="00AB283B" w:rsidP="000B0BBB">
      <w:pPr>
        <w:pStyle w:val="NormalWeb"/>
        <w:ind w:left="360"/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  <w:r w:rsidRPr="000B0BBB">
        <w:rPr>
          <w:noProof/>
          <w:sz w:val="26"/>
          <w:szCs w:val="26"/>
        </w:rPr>
        <w:object w:dxaOrig="8160" w:dyaOrig="620" w14:anchorId="298DF740">
          <v:shape id="_x0000_i1039" type="#_x0000_t75" alt="" style="width:425.65pt;height:32.25pt;mso-width-percent:0;mso-height-percent:0;mso-width-percent:0;mso-height-percent:0" o:ole="" fillcolor="window">
            <v:imagedata r:id="rId19" o:title=""/>
          </v:shape>
          <o:OLEObject Type="Embed" ProgID="Equation.3" ShapeID="_x0000_i1039" DrawAspect="Content" ObjectID="_1681712916" r:id="rId20"/>
        </w:object>
      </w:r>
    </w:p>
    <w:p w14:paraId="33CD05A8" w14:textId="37A74F45" w:rsidR="0013564D" w:rsidRPr="000B0BBB" w:rsidRDefault="000B0BBB" w:rsidP="0013564D">
      <w:pPr>
        <w:pStyle w:val="ListParagraph"/>
        <w:numPr>
          <w:ilvl w:val="0"/>
          <w:numId w:val="1"/>
        </w:numPr>
        <w:tabs>
          <w:tab w:val="left" w:pos="220"/>
          <w:tab w:val="left" w:pos="540"/>
        </w:tabs>
        <w:spacing w:after="240" w:line="280" w:lineRule="atLeast"/>
        <w:ind w:left="540" w:hanging="450"/>
        <w:rPr>
          <w:rFonts w:ascii="Calibri" w:hAnsi="Calibri" w:cs="Times"/>
          <w:b/>
          <w:bCs/>
          <w:color w:val="000000"/>
          <w:kern w:val="0"/>
          <w:sz w:val="26"/>
          <w:szCs w:val="26"/>
        </w:rPr>
      </w:pPr>
      <w:r w:rsidRPr="000B0BBB">
        <w:rPr>
          <w:rFonts w:ascii="Calibri" w:hAnsi="Calibri" w:cs="Times"/>
          <w:b/>
          <w:bCs/>
          <w:noProof/>
          <w:color w:val="000000"/>
          <w:sz w:val="26"/>
          <w:szCs w:val="26"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6D13DE06" wp14:editId="0B9975E6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901440" cy="1265555"/>
            <wp:effectExtent l="0" t="0" r="3810" b="0"/>
            <wp:wrapTopAndBottom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64D" w:rsidRPr="000B0BBB">
        <w:rPr>
          <w:rFonts w:ascii="Calibri" w:hAnsi="Calibri" w:cs="Times"/>
          <w:b/>
          <w:bCs/>
          <w:color w:val="000000"/>
          <w:sz w:val="26"/>
          <w:szCs w:val="26"/>
        </w:rPr>
        <w:t>Scenario Analysis. Consider the following scenario analysis</w:t>
      </w:r>
      <w:r w:rsidR="0013564D" w:rsidRPr="000B0BBB">
        <w:rPr>
          <w:rFonts w:ascii="Calibri" w:hAnsi="Calibri" w:cs="Times"/>
          <w:b/>
          <w:bCs/>
          <w:color w:val="000000"/>
          <w:kern w:val="0"/>
          <w:sz w:val="26"/>
          <w:szCs w:val="26"/>
        </w:rPr>
        <w:t>(CH11-Q13)</w:t>
      </w:r>
    </w:p>
    <w:p w14:paraId="0CAC3801" w14:textId="5479D7E5" w:rsidR="00961F39" w:rsidRPr="000B0BBB" w:rsidRDefault="00961F39" w:rsidP="00961F39">
      <w:pPr>
        <w:pStyle w:val="ListParagraph"/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sz w:val="26"/>
          <w:szCs w:val="26"/>
        </w:rPr>
      </w:pPr>
    </w:p>
    <w:p w14:paraId="61A9D2DD" w14:textId="0C07D95C" w:rsidR="00961F39" w:rsidRPr="000B0BBB" w:rsidRDefault="00961F39" w:rsidP="000B0BBB">
      <w:pPr>
        <w:pStyle w:val="ListParagraph"/>
        <w:numPr>
          <w:ilvl w:val="0"/>
          <w:numId w:val="13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I</w:t>
      </w:r>
      <w:r w:rsidR="0013564D" w:rsidRPr="000B0BBB">
        <w:rPr>
          <w:rFonts w:ascii="Calibri" w:hAnsi="Calibri" w:cs="Times"/>
          <w:color w:val="000000"/>
          <w:sz w:val="26"/>
          <w:szCs w:val="26"/>
        </w:rPr>
        <w:t>s it reasonable to assume that Treasury bonds will provide higher returns in recessions than in booms?</w:t>
      </w:r>
    </w:p>
    <w:p w14:paraId="7E420235" w14:textId="5778CCB9" w:rsidR="0013564D" w:rsidRPr="000B0BBB" w:rsidRDefault="0013564D" w:rsidP="0013564D">
      <w:pPr>
        <w:pStyle w:val="ListParagraph"/>
        <w:numPr>
          <w:ilvl w:val="0"/>
          <w:numId w:val="13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>Calculate the expected rate of return and standard deviation for each investment.</w:t>
      </w:r>
    </w:p>
    <w:p w14:paraId="6630CE1C" w14:textId="15AA4EB8" w:rsidR="0013564D" w:rsidRPr="000B0BBB" w:rsidRDefault="000B0BBB" w:rsidP="00961F39">
      <w:pPr>
        <w:pStyle w:val="ListParagraph"/>
        <w:numPr>
          <w:ilvl w:val="0"/>
          <w:numId w:val="13"/>
        </w:num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color w:val="000000"/>
          <w:sz w:val="26"/>
          <w:szCs w:val="26"/>
        </w:rPr>
      </w:pPr>
      <w:r w:rsidRPr="000B0BBB">
        <w:rPr>
          <w:rFonts w:ascii="Calibri" w:hAnsi="Calibri" w:cs="Times"/>
          <w:color w:val="000000"/>
          <w:sz w:val="26"/>
          <w:szCs w:val="26"/>
        </w:rPr>
        <w:t xml:space="preserve">   </w:t>
      </w:r>
      <w:r w:rsidR="0013564D" w:rsidRPr="000B0BBB">
        <w:rPr>
          <w:rFonts w:ascii="Calibri" w:hAnsi="Calibri" w:cs="Times"/>
          <w:color w:val="000000"/>
          <w:sz w:val="26"/>
          <w:szCs w:val="26"/>
        </w:rPr>
        <w:t>Which investment would you prefer?</w:t>
      </w:r>
    </w:p>
    <w:p w14:paraId="0112E4B0" w14:textId="77777777" w:rsidR="000B0BBB" w:rsidRPr="000B0BBB" w:rsidRDefault="000B0BBB" w:rsidP="000B0BBB">
      <w:pPr>
        <w:pStyle w:val="NormalWeb"/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</w:pPr>
      <w:r w:rsidRPr="000B0BBB"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  <w:t>Answer:</w:t>
      </w:r>
    </w:p>
    <w:p w14:paraId="127607BF" w14:textId="090DB907" w:rsidR="000B0BBB" w:rsidRPr="000B0BBB" w:rsidRDefault="000B0BBB" w:rsidP="00AB283B">
      <w:pPr>
        <w:pStyle w:val="NormalWeb"/>
        <w:ind w:left="360"/>
        <w:jc w:val="both"/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</w:pPr>
      <w:r w:rsidRPr="000B0BBB">
        <w:rPr>
          <w:sz w:val="26"/>
          <w:szCs w:val="26"/>
        </w:rPr>
        <w:t>a.   Interest rates tend to fall at the outset of a recession and rise during boom periods. Because bond prices move inversely with interest rates, bonds provide higher returns during recessions when interest rates fall.</w:t>
      </w:r>
    </w:p>
    <w:p w14:paraId="5513F1F1" w14:textId="77777777" w:rsidR="000B0BBB" w:rsidRPr="000B0BBB" w:rsidRDefault="000B0BBB" w:rsidP="00AB283B">
      <w:pPr>
        <w:ind w:left="360"/>
        <w:rPr>
          <w:sz w:val="26"/>
          <w:szCs w:val="26"/>
        </w:rPr>
      </w:pPr>
      <w:bookmarkStart w:id="1" w:name="_GoBack"/>
      <w:bookmarkEnd w:id="1"/>
    </w:p>
    <w:p w14:paraId="54B2A1CA" w14:textId="77777777" w:rsidR="000B0BBB" w:rsidRPr="000B0BBB" w:rsidRDefault="000B0BBB" w:rsidP="00AB283B">
      <w:pPr>
        <w:tabs>
          <w:tab w:val="left" w:pos="540"/>
        </w:tabs>
        <w:spacing w:line="360" w:lineRule="auto"/>
        <w:ind w:left="360"/>
        <w:rPr>
          <w:sz w:val="26"/>
          <w:szCs w:val="26"/>
        </w:rPr>
      </w:pPr>
      <w:r w:rsidRPr="000B0BBB">
        <w:rPr>
          <w:sz w:val="26"/>
          <w:szCs w:val="26"/>
        </w:rPr>
        <w:t>b.</w:t>
      </w:r>
      <w:r w:rsidRPr="000B0BBB">
        <w:rPr>
          <w:sz w:val="26"/>
          <w:szCs w:val="26"/>
        </w:rPr>
        <w:tab/>
      </w:r>
      <w:r w:rsidRPr="000B0BBB">
        <w:rPr>
          <w:i/>
          <w:sz w:val="26"/>
          <w:szCs w:val="26"/>
        </w:rPr>
        <w:t>r</w:t>
      </w:r>
      <w:r w:rsidRPr="000B0BBB">
        <w:rPr>
          <w:position w:val="-4"/>
          <w:sz w:val="26"/>
          <w:szCs w:val="26"/>
          <w:vertAlign w:val="subscript"/>
        </w:rPr>
        <w:t>stock</w:t>
      </w:r>
      <w:r w:rsidRPr="000B0BBB">
        <w:rPr>
          <w:sz w:val="26"/>
          <w:szCs w:val="26"/>
        </w:rPr>
        <w:t xml:space="preserve"> = [0.2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(</w:t>
      </w:r>
      <w:r w:rsidRPr="000B0BBB">
        <w:rPr>
          <w:sz w:val="26"/>
          <w:szCs w:val="26"/>
        </w:rPr>
        <w:sym w:font="Symbol" w:char="F02D"/>
      </w:r>
      <w:r w:rsidRPr="000B0BBB">
        <w:rPr>
          <w:sz w:val="26"/>
          <w:szCs w:val="26"/>
        </w:rPr>
        <w:t xml:space="preserve">.05)] + (0.6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.15) + (0.2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.25) = .13 or 13.0%</w:t>
      </w:r>
    </w:p>
    <w:p w14:paraId="17D3C318" w14:textId="028C1FF5" w:rsidR="000B0BBB" w:rsidRPr="000B0BBB" w:rsidRDefault="000B0BBB" w:rsidP="00AB283B">
      <w:pPr>
        <w:tabs>
          <w:tab w:val="left" w:pos="540"/>
        </w:tabs>
        <w:spacing w:line="360" w:lineRule="auto"/>
        <w:ind w:left="360"/>
        <w:rPr>
          <w:sz w:val="26"/>
          <w:szCs w:val="26"/>
        </w:rPr>
      </w:pPr>
      <w:r w:rsidRPr="000B0BBB">
        <w:rPr>
          <w:i/>
          <w:sz w:val="26"/>
          <w:szCs w:val="26"/>
        </w:rPr>
        <w:t>r</w:t>
      </w:r>
      <w:r w:rsidRPr="000B0BBB">
        <w:rPr>
          <w:position w:val="-4"/>
          <w:sz w:val="26"/>
          <w:szCs w:val="26"/>
          <w:vertAlign w:val="subscript"/>
        </w:rPr>
        <w:t>bonds</w:t>
      </w:r>
      <w:r w:rsidRPr="000B0BBB">
        <w:rPr>
          <w:sz w:val="26"/>
          <w:szCs w:val="26"/>
        </w:rPr>
        <w:t xml:space="preserve"> = (0.2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.14) + (0.6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.08) + (0.2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.04) = .084 or 8.4%</w:t>
      </w:r>
    </w:p>
    <w:p w14:paraId="31F02F56" w14:textId="78FA4CB8" w:rsidR="000B0BBB" w:rsidRPr="000B0BBB" w:rsidRDefault="000B0BBB" w:rsidP="00AB283B">
      <w:pPr>
        <w:spacing w:line="360" w:lineRule="auto"/>
        <w:ind w:left="360"/>
        <w:rPr>
          <w:sz w:val="26"/>
          <w:szCs w:val="26"/>
        </w:rPr>
      </w:pPr>
      <w:r w:rsidRPr="000B0BBB">
        <w:rPr>
          <w:sz w:val="26"/>
          <w:szCs w:val="26"/>
        </w:rPr>
        <w:t xml:space="preserve">Variance (stocks) = [0.2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(</w:t>
      </w:r>
      <w:r w:rsidRPr="000B0BBB">
        <w:rPr>
          <w:sz w:val="26"/>
          <w:szCs w:val="26"/>
        </w:rPr>
        <w:sym w:font="Symbol" w:char="F02D"/>
      </w:r>
      <w:r w:rsidRPr="000B0BBB">
        <w:rPr>
          <w:sz w:val="26"/>
          <w:szCs w:val="26"/>
        </w:rPr>
        <w:t xml:space="preserve">.05 </w:t>
      </w:r>
      <w:r w:rsidRPr="000B0BBB">
        <w:rPr>
          <w:sz w:val="26"/>
          <w:szCs w:val="26"/>
        </w:rPr>
        <w:sym w:font="Symbol" w:char="F02D"/>
      </w:r>
      <w:r w:rsidRPr="000B0BBB">
        <w:rPr>
          <w:sz w:val="26"/>
          <w:szCs w:val="26"/>
        </w:rPr>
        <w:t xml:space="preserve"> .13)</w:t>
      </w:r>
      <w:r w:rsidRPr="000B0BBB">
        <w:rPr>
          <w:sz w:val="26"/>
          <w:szCs w:val="26"/>
          <w:vertAlign w:val="superscript"/>
        </w:rPr>
        <w:t>2</w:t>
      </w:r>
      <w:r w:rsidRPr="000B0BBB">
        <w:rPr>
          <w:sz w:val="26"/>
          <w:szCs w:val="26"/>
        </w:rPr>
        <w:t xml:space="preserve">] + [0.6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(.15 </w:t>
      </w:r>
      <w:r w:rsidRPr="000B0BBB">
        <w:rPr>
          <w:sz w:val="26"/>
          <w:szCs w:val="26"/>
        </w:rPr>
        <w:sym w:font="Symbol" w:char="F02D"/>
      </w:r>
      <w:r w:rsidRPr="000B0BBB">
        <w:rPr>
          <w:sz w:val="26"/>
          <w:szCs w:val="26"/>
        </w:rPr>
        <w:t xml:space="preserve"> .13)</w:t>
      </w:r>
      <w:r w:rsidRPr="000B0BBB">
        <w:rPr>
          <w:sz w:val="26"/>
          <w:szCs w:val="26"/>
          <w:vertAlign w:val="superscript"/>
        </w:rPr>
        <w:t>2</w:t>
      </w:r>
      <w:r w:rsidRPr="000B0BBB">
        <w:rPr>
          <w:sz w:val="26"/>
          <w:szCs w:val="26"/>
        </w:rPr>
        <w:t xml:space="preserve">] + [0.2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(.25 – .13)</w:t>
      </w:r>
      <w:r w:rsidRPr="000B0BBB">
        <w:rPr>
          <w:sz w:val="26"/>
          <w:szCs w:val="26"/>
          <w:vertAlign w:val="superscript"/>
        </w:rPr>
        <w:t>2</w:t>
      </w:r>
      <w:r w:rsidRPr="000B0BBB">
        <w:rPr>
          <w:sz w:val="26"/>
          <w:szCs w:val="26"/>
        </w:rPr>
        <w:t>] = .0096</w:t>
      </w:r>
    </w:p>
    <w:p w14:paraId="5A391B6B" w14:textId="6BF57CE2" w:rsidR="000B0BBB" w:rsidRDefault="000B0BBB" w:rsidP="00AB283B">
      <w:pPr>
        <w:spacing w:line="360" w:lineRule="auto"/>
        <w:ind w:left="360"/>
        <w:rPr>
          <w:noProof/>
          <w:sz w:val="26"/>
          <w:szCs w:val="26"/>
        </w:rPr>
      </w:pPr>
      <w:r w:rsidRPr="000B0BBB">
        <w:rPr>
          <w:sz w:val="26"/>
          <w:szCs w:val="26"/>
        </w:rPr>
        <w:t>Standard deviation =</w:t>
      </w:r>
      <w:r w:rsidRPr="000B0BBB">
        <w:rPr>
          <w:noProof/>
          <w:position w:val="-8"/>
          <w:sz w:val="26"/>
          <w:szCs w:val="26"/>
        </w:rPr>
        <w:object w:dxaOrig="2460" w:dyaOrig="360" w14:anchorId="74BBAB2B">
          <v:shape id="_x0000_i1105" type="#_x0000_t75" alt="" style="width:141.7pt;height:21.9pt" o:ole="" fillcolor="window">
            <v:imagedata r:id="rId22" o:title=""/>
          </v:shape>
          <o:OLEObject Type="Embed" ProgID="Equation.3" ShapeID="_x0000_i1105" DrawAspect="Content" ObjectID="_1681712917" r:id="rId23"/>
        </w:object>
      </w:r>
    </w:p>
    <w:p w14:paraId="43C4CEBB" w14:textId="77777777" w:rsidR="004D6181" w:rsidRPr="000B0BBB" w:rsidRDefault="004D6181" w:rsidP="00AB283B">
      <w:pPr>
        <w:spacing w:line="360" w:lineRule="auto"/>
        <w:ind w:left="360"/>
        <w:rPr>
          <w:sz w:val="26"/>
          <w:szCs w:val="26"/>
        </w:rPr>
      </w:pPr>
    </w:p>
    <w:p w14:paraId="5BDDBC6C" w14:textId="6051AEA9" w:rsidR="000B0BBB" w:rsidRPr="000B0BBB" w:rsidRDefault="000B0BBB" w:rsidP="00AB283B">
      <w:pPr>
        <w:spacing w:line="360" w:lineRule="auto"/>
        <w:ind w:left="360"/>
        <w:rPr>
          <w:sz w:val="26"/>
          <w:szCs w:val="26"/>
        </w:rPr>
      </w:pPr>
      <w:r w:rsidRPr="000B0BBB">
        <w:rPr>
          <w:sz w:val="26"/>
          <w:szCs w:val="26"/>
        </w:rPr>
        <w:t xml:space="preserve">Variance (bonds) = [0.2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(.14 </w:t>
      </w:r>
      <w:r w:rsidRPr="000B0BBB">
        <w:rPr>
          <w:sz w:val="26"/>
          <w:szCs w:val="26"/>
        </w:rPr>
        <w:sym w:font="Symbol" w:char="F02D"/>
      </w:r>
      <w:r w:rsidRPr="000B0BBB">
        <w:rPr>
          <w:sz w:val="26"/>
          <w:szCs w:val="26"/>
        </w:rPr>
        <w:t xml:space="preserve"> .084)</w:t>
      </w:r>
      <w:r w:rsidRPr="000B0BBB">
        <w:rPr>
          <w:sz w:val="26"/>
          <w:szCs w:val="26"/>
          <w:vertAlign w:val="superscript"/>
        </w:rPr>
        <w:t>2</w:t>
      </w:r>
      <w:r w:rsidRPr="000B0BBB">
        <w:rPr>
          <w:sz w:val="26"/>
          <w:szCs w:val="26"/>
        </w:rPr>
        <w:t xml:space="preserve">] + [0.6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(.08 </w:t>
      </w:r>
      <w:r w:rsidRPr="000B0BBB">
        <w:rPr>
          <w:sz w:val="26"/>
          <w:szCs w:val="26"/>
        </w:rPr>
        <w:sym w:font="Symbol" w:char="F02D"/>
      </w:r>
      <w:r w:rsidRPr="000B0BBB">
        <w:rPr>
          <w:sz w:val="26"/>
          <w:szCs w:val="26"/>
        </w:rPr>
        <w:t xml:space="preserve"> .084)</w:t>
      </w:r>
      <w:r w:rsidRPr="000B0BBB">
        <w:rPr>
          <w:sz w:val="26"/>
          <w:szCs w:val="26"/>
          <w:vertAlign w:val="superscript"/>
        </w:rPr>
        <w:t>2</w:t>
      </w:r>
      <w:r w:rsidRPr="000B0BBB">
        <w:rPr>
          <w:sz w:val="26"/>
          <w:szCs w:val="26"/>
        </w:rPr>
        <w:t xml:space="preserve">] + [0.2 </w:t>
      </w:r>
      <w:r w:rsidRPr="000B0BBB">
        <w:rPr>
          <w:sz w:val="26"/>
          <w:szCs w:val="26"/>
        </w:rPr>
        <w:sym w:font="Symbol" w:char="F0B4"/>
      </w:r>
      <w:r w:rsidRPr="000B0BBB">
        <w:rPr>
          <w:sz w:val="26"/>
          <w:szCs w:val="26"/>
        </w:rPr>
        <w:t xml:space="preserve"> (.04 </w:t>
      </w:r>
      <w:r w:rsidRPr="000B0BBB">
        <w:rPr>
          <w:sz w:val="26"/>
          <w:szCs w:val="26"/>
        </w:rPr>
        <w:sym w:font="Symbol" w:char="F02D"/>
      </w:r>
      <w:r w:rsidRPr="000B0BBB">
        <w:rPr>
          <w:sz w:val="26"/>
          <w:szCs w:val="26"/>
        </w:rPr>
        <w:t xml:space="preserve"> .084)</w:t>
      </w:r>
      <w:r w:rsidRPr="000B0BBB">
        <w:rPr>
          <w:sz w:val="26"/>
          <w:szCs w:val="26"/>
          <w:vertAlign w:val="superscript"/>
        </w:rPr>
        <w:t>2</w:t>
      </w:r>
      <w:r w:rsidRPr="000B0BBB">
        <w:rPr>
          <w:sz w:val="26"/>
          <w:szCs w:val="26"/>
        </w:rPr>
        <w:t>] = .001024</w:t>
      </w:r>
    </w:p>
    <w:p w14:paraId="6492724B" w14:textId="135E7B23" w:rsidR="000B0BBB" w:rsidRPr="000B0BBB" w:rsidRDefault="000B0BBB" w:rsidP="00AB283B">
      <w:pPr>
        <w:ind w:left="360"/>
        <w:rPr>
          <w:sz w:val="26"/>
          <w:szCs w:val="26"/>
        </w:rPr>
      </w:pPr>
      <w:r w:rsidRPr="000B0BBB">
        <w:rPr>
          <w:sz w:val="26"/>
          <w:szCs w:val="26"/>
        </w:rPr>
        <w:t xml:space="preserve">Standard deviation = </w:t>
      </w:r>
      <w:r w:rsidRPr="000B0BBB">
        <w:rPr>
          <w:noProof/>
          <w:position w:val="-8"/>
          <w:sz w:val="26"/>
          <w:szCs w:val="26"/>
        </w:rPr>
        <w:object w:dxaOrig="1900" w:dyaOrig="360" w14:anchorId="5EA2794B">
          <v:shape id="_x0000_i1106" type="#_x0000_t75" alt="" style="width:93.9pt;height:19pt" o:ole="" fillcolor="window">
            <v:imagedata r:id="rId24" o:title=""/>
          </v:shape>
          <o:OLEObject Type="Embed" ProgID="Equation.3" ShapeID="_x0000_i1106" DrawAspect="Content" ObjectID="_1681712918" r:id="rId25"/>
        </w:object>
      </w:r>
    </w:p>
    <w:p w14:paraId="61379923" w14:textId="77777777" w:rsidR="000B0BBB" w:rsidRPr="000B0BBB" w:rsidRDefault="000B0BBB" w:rsidP="000B0BBB">
      <w:pPr>
        <w:ind w:left="360"/>
        <w:rPr>
          <w:sz w:val="26"/>
          <w:szCs w:val="26"/>
        </w:rPr>
      </w:pPr>
    </w:p>
    <w:p w14:paraId="40B7BB9E" w14:textId="4401A408" w:rsidR="000B0BBB" w:rsidRPr="00117998" w:rsidRDefault="000B0BBB" w:rsidP="004D6181">
      <w:pPr>
        <w:tabs>
          <w:tab w:val="left" w:pos="540"/>
        </w:tabs>
        <w:jc w:val="both"/>
        <w:rPr>
          <w:sz w:val="26"/>
          <w:szCs w:val="26"/>
        </w:rPr>
      </w:pPr>
      <w:r w:rsidRPr="000B0BBB">
        <w:rPr>
          <w:sz w:val="26"/>
          <w:szCs w:val="26"/>
        </w:rPr>
        <w:lastRenderedPageBreak/>
        <w:t>c.</w:t>
      </w:r>
      <w:r w:rsidR="00117998">
        <w:rPr>
          <w:sz w:val="26"/>
          <w:szCs w:val="26"/>
        </w:rPr>
        <w:t xml:space="preserve"> </w:t>
      </w:r>
      <w:r w:rsidRPr="000B0BBB">
        <w:rPr>
          <w:sz w:val="26"/>
          <w:szCs w:val="26"/>
        </w:rPr>
        <w:tab/>
        <w:t>Stocks have both higher expected return and higher volatility.  More risk-averse investors will choose bonds, while those who are less risk-averse might choose stocks.</w:t>
      </w:r>
    </w:p>
    <w:p w14:paraId="1FD3E104" w14:textId="7B054080" w:rsidR="0013564D" w:rsidRPr="000B0BBB" w:rsidRDefault="0013564D" w:rsidP="0013564D">
      <w:pPr>
        <w:pStyle w:val="ListParagraph"/>
        <w:rPr>
          <w:rFonts w:ascii="Calibri" w:hAnsi="Calibri" w:cs="Times"/>
          <w:b/>
          <w:bCs/>
          <w:color w:val="000000"/>
          <w:sz w:val="26"/>
          <w:szCs w:val="26"/>
        </w:rPr>
      </w:pPr>
    </w:p>
    <w:p w14:paraId="29B60CC5" w14:textId="77777777" w:rsidR="00961F39" w:rsidRPr="000B0BBB" w:rsidRDefault="0013564D" w:rsidP="00961F39">
      <w:pPr>
        <w:pStyle w:val="ListParagraph"/>
        <w:numPr>
          <w:ilvl w:val="0"/>
          <w:numId w:val="1"/>
        </w:numPr>
        <w:rPr>
          <w:rFonts w:ascii="Calibri" w:hAnsi="Calibri" w:cs="Times"/>
          <w:b/>
          <w:bCs/>
          <w:color w:val="000000"/>
          <w:sz w:val="26"/>
          <w:szCs w:val="26"/>
        </w:rPr>
      </w:pPr>
      <w:r w:rsidRPr="000B0BBB">
        <w:rPr>
          <w:rFonts w:ascii="Calibri" w:hAnsi="Calibri" w:cs="Times"/>
          <w:b/>
          <w:bCs/>
          <w:color w:val="000000"/>
          <w:sz w:val="26"/>
          <w:szCs w:val="26"/>
        </w:rPr>
        <w:t xml:space="preserve">Diversification. Here are the returns on two stocks. </w:t>
      </w:r>
      <w:r w:rsidR="00961F39" w:rsidRPr="000B0BBB">
        <w:rPr>
          <w:rFonts w:ascii="Calibri" w:hAnsi="Calibri" w:cs="Times"/>
          <w:b/>
          <w:bCs/>
          <w:color w:val="000000"/>
          <w:sz w:val="26"/>
          <w:szCs w:val="26"/>
        </w:rPr>
        <w:t>(CH11-Q19)</w:t>
      </w:r>
    </w:p>
    <w:p w14:paraId="47E7BAF3" w14:textId="02EF6713" w:rsidR="009F1D50" w:rsidRPr="000B0BBB" w:rsidRDefault="00961F39" w:rsidP="00B37192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sz w:val="26"/>
          <w:szCs w:val="26"/>
        </w:rPr>
      </w:pPr>
      <w:r w:rsidRPr="000B0BBB">
        <w:rPr>
          <w:rFonts w:ascii="Calibri" w:hAnsi="Calibri" w:cs="Times"/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55A4FBCC" wp14:editId="7E283F7D">
            <wp:simplePos x="0" y="0"/>
            <wp:positionH relativeFrom="column">
              <wp:posOffset>1094608</wp:posOffset>
            </wp:positionH>
            <wp:positionV relativeFrom="paragraph">
              <wp:posOffset>175654</wp:posOffset>
            </wp:positionV>
            <wp:extent cx="3649345" cy="1908810"/>
            <wp:effectExtent l="0" t="0" r="0" b="0"/>
            <wp:wrapTight wrapText="bothSides">
              <wp:wrapPolygon edited="0">
                <wp:start x="0" y="0"/>
                <wp:lineTo x="0" y="21413"/>
                <wp:lineTo x="21499" y="21413"/>
                <wp:lineTo x="21499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BD5B5" w14:textId="691899E4" w:rsidR="006623D5" w:rsidRPr="000B0BBB" w:rsidRDefault="006623D5" w:rsidP="00942F6A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sz w:val="26"/>
          <w:szCs w:val="26"/>
        </w:rPr>
      </w:pPr>
    </w:p>
    <w:p w14:paraId="6FD4A6DA" w14:textId="4C11F008" w:rsidR="00961F39" w:rsidRPr="000B0BBB" w:rsidRDefault="00961F39" w:rsidP="00942F6A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sz w:val="26"/>
          <w:szCs w:val="26"/>
        </w:rPr>
      </w:pPr>
    </w:p>
    <w:p w14:paraId="6732400A" w14:textId="0DCFB75F" w:rsidR="00961F39" w:rsidRPr="000B0BBB" w:rsidRDefault="00961F39" w:rsidP="00942F6A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sz w:val="26"/>
          <w:szCs w:val="26"/>
        </w:rPr>
      </w:pPr>
    </w:p>
    <w:p w14:paraId="74BA7506" w14:textId="30286C41" w:rsidR="00961F39" w:rsidRPr="000B0BBB" w:rsidRDefault="00961F39" w:rsidP="00942F6A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sz w:val="26"/>
          <w:szCs w:val="26"/>
        </w:rPr>
      </w:pPr>
    </w:p>
    <w:p w14:paraId="19CDC3DF" w14:textId="071A326E" w:rsidR="00961F39" w:rsidRPr="000B0BBB" w:rsidRDefault="00961F39" w:rsidP="00942F6A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sz w:val="26"/>
          <w:szCs w:val="26"/>
        </w:rPr>
      </w:pPr>
    </w:p>
    <w:p w14:paraId="130D48E1" w14:textId="77777777" w:rsidR="000B0BBB" w:rsidRPr="000B0BBB" w:rsidRDefault="000B0BBB" w:rsidP="00942F6A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sz w:val="26"/>
          <w:szCs w:val="26"/>
        </w:rPr>
      </w:pPr>
    </w:p>
    <w:p w14:paraId="5378A07D" w14:textId="1DE72B9C" w:rsidR="006A12CB" w:rsidRPr="006A12CB" w:rsidRDefault="00961F39" w:rsidP="006A12CB">
      <w:pPr>
        <w:pStyle w:val="NormalWeb"/>
        <w:numPr>
          <w:ilvl w:val="0"/>
          <w:numId w:val="16"/>
        </w:numPr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>Calculate the variance and standard deviation of each stock.</w:t>
      </w:r>
      <w:r w:rsidR="00200AF3"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 xml:space="preserve"> </w:t>
      </w:r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 xml:space="preserve">Which stock is riskier if held on its own? </w:t>
      </w:r>
    </w:p>
    <w:p w14:paraId="7F472A73" w14:textId="4F7E33D6" w:rsidR="00961F39" w:rsidRPr="000B0BBB" w:rsidRDefault="00961F39" w:rsidP="00961F39">
      <w:pPr>
        <w:pStyle w:val="NormalWeb"/>
        <w:numPr>
          <w:ilvl w:val="0"/>
          <w:numId w:val="16"/>
        </w:numPr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 xml:space="preserve">Now calculate the returns in each month of a portfolio that invests an equal amount each month in the two stocks. </w:t>
      </w:r>
    </w:p>
    <w:p w14:paraId="38816ACA" w14:textId="319D01B4" w:rsidR="00961F39" w:rsidRDefault="00961F39" w:rsidP="00961F39">
      <w:pPr>
        <w:pStyle w:val="NormalWeb"/>
        <w:numPr>
          <w:ilvl w:val="0"/>
          <w:numId w:val="16"/>
        </w:numPr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 xml:space="preserve">Is the variance more or less than halfway between the variance of the two individual stocks? </w:t>
      </w:r>
    </w:p>
    <w:p w14:paraId="7E9D1C35" w14:textId="04F36E28" w:rsidR="00117998" w:rsidRDefault="00117998" w:rsidP="00117998">
      <w:pPr>
        <w:pStyle w:val="NormalWeb"/>
        <w:ind w:left="360"/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</w:pPr>
      <w:r w:rsidRPr="000B0BBB"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  <w:t>Answer:</w:t>
      </w:r>
    </w:p>
    <w:p w14:paraId="5D31C812" w14:textId="5DA8DB44" w:rsidR="00117998" w:rsidRPr="00264E94" w:rsidRDefault="00117998" w:rsidP="00730864">
      <w:pPr>
        <w:pStyle w:val="NoSpacing"/>
        <w:numPr>
          <w:ilvl w:val="0"/>
          <w:numId w:val="21"/>
        </w:numPr>
        <w:tabs>
          <w:tab w:val="clear" w:pos="4320"/>
          <w:tab w:val="clear" w:pos="8640"/>
          <w:tab w:val="center" w:pos="-1980"/>
          <w:tab w:val="left" w:pos="630"/>
        </w:tabs>
        <w:ind w:right="0"/>
      </w:pPr>
      <w:r w:rsidRPr="00117998">
        <w:rPr>
          <w:rFonts w:ascii="Calibri" w:eastAsiaTheme="minorEastAsia" w:hAnsi="Calibri" w:cs="Times"/>
          <w:color w:val="000000"/>
          <w:kern w:val="2"/>
          <w:sz w:val="26"/>
          <w:szCs w:val="26"/>
        </w:rPr>
        <w:t>The calculation of risk is in the following tables.  Digital Cheese carries more risk with a standard deviation of 6.9 versus 4.8 for Executive Fruit:</w:t>
      </w:r>
    </w:p>
    <w:p w14:paraId="59D53A99" w14:textId="77777777" w:rsidR="00117998" w:rsidRDefault="00117998" w:rsidP="00117998">
      <w:pPr>
        <w:pStyle w:val="NoSpacing"/>
        <w:numPr>
          <w:ilvl w:val="0"/>
          <w:numId w:val="0"/>
        </w:numPr>
        <w:jc w:val="center"/>
      </w:pPr>
    </w:p>
    <w:bookmarkStart w:id="2" w:name="_MON_1526568950"/>
    <w:bookmarkEnd w:id="2"/>
    <w:p w14:paraId="6435D42D" w14:textId="77777777" w:rsidR="00117998" w:rsidRDefault="00117998" w:rsidP="00117998">
      <w:pPr>
        <w:pStyle w:val="NoSpacing"/>
        <w:numPr>
          <w:ilvl w:val="0"/>
          <w:numId w:val="0"/>
        </w:numPr>
        <w:jc w:val="center"/>
      </w:pPr>
      <w:r>
        <w:rPr>
          <w:noProof/>
        </w:rPr>
        <w:object w:dxaOrig="4912" w:dyaOrig="4605" w14:anchorId="33BD2BC3">
          <v:shape id="_x0000_i1034" type="#_x0000_t75" alt="" style="width:206.8pt;height:215.4pt;mso-width-percent:0;mso-height-percent:0;mso-width-percent:0;mso-height-percent:0" o:ole="">
            <v:imagedata r:id="rId27" o:title=""/>
          </v:shape>
          <o:OLEObject Type="Embed" ProgID="Excel.Sheet.12" ShapeID="_x0000_i1034" DrawAspect="Content" ObjectID="_1681712919" r:id="rId28"/>
        </w:object>
      </w:r>
      <w:bookmarkStart w:id="3" w:name="_MON_1526569293"/>
      <w:bookmarkEnd w:id="3"/>
      <w:r>
        <w:rPr>
          <w:noProof/>
        </w:rPr>
        <w:object w:dxaOrig="4912" w:dyaOrig="4605" w14:anchorId="7B44968D">
          <v:shape id="_x0000_i1035" type="#_x0000_t75" alt="" style="width:206.8pt;height:215.4pt;mso-width-percent:0;mso-height-percent:0;mso-width-percent:0;mso-height-percent:0" o:ole="">
            <v:imagedata r:id="rId29" o:title=""/>
          </v:shape>
          <o:OLEObject Type="Embed" ProgID="Excel.Sheet.12" ShapeID="_x0000_i1035" DrawAspect="Content" ObjectID="_1681712920" r:id="rId30"/>
        </w:object>
      </w:r>
    </w:p>
    <w:p w14:paraId="00199EF7" w14:textId="77777777" w:rsidR="00117998" w:rsidRDefault="00117998" w:rsidP="00117998">
      <w:pPr>
        <w:pStyle w:val="NoSpacing"/>
        <w:numPr>
          <w:ilvl w:val="0"/>
          <w:numId w:val="0"/>
        </w:numPr>
        <w:jc w:val="center"/>
      </w:pPr>
    </w:p>
    <w:p w14:paraId="71F40A52" w14:textId="734D10C1" w:rsidR="00117998" w:rsidRPr="00730864" w:rsidRDefault="00117998" w:rsidP="00730864">
      <w:pPr>
        <w:pStyle w:val="NoSpacing"/>
        <w:numPr>
          <w:ilvl w:val="0"/>
          <w:numId w:val="21"/>
        </w:numPr>
        <w:tabs>
          <w:tab w:val="left" w:pos="1080"/>
        </w:tabs>
        <w:rPr>
          <w:rFonts w:ascii="Calibri" w:eastAsiaTheme="minorEastAsia" w:hAnsi="Calibri" w:cs="Times"/>
          <w:color w:val="000000"/>
          <w:kern w:val="2"/>
          <w:sz w:val="26"/>
          <w:szCs w:val="26"/>
        </w:rPr>
      </w:pPr>
      <w:r w:rsidRPr="00730864">
        <w:rPr>
          <w:rFonts w:ascii="Calibri" w:eastAsiaTheme="minorEastAsia" w:hAnsi="Calibri" w:cs="Times"/>
          <w:color w:val="000000"/>
          <w:kern w:val="2"/>
          <w:sz w:val="26"/>
          <w:szCs w:val="26"/>
        </w:rPr>
        <w:t>The portfolio returns and variance are calculated as follows:</w:t>
      </w:r>
    </w:p>
    <w:p w14:paraId="3A3CEC85" w14:textId="77777777" w:rsidR="00117998" w:rsidRDefault="00117998" w:rsidP="00117998"/>
    <w:p w14:paraId="4E4A6DD4" w14:textId="39873F46" w:rsidR="00117998" w:rsidRDefault="0047549B" w:rsidP="00117998">
      <w:pPr>
        <w:jc w:val="center"/>
      </w:pPr>
      <w:r>
        <w:rPr>
          <w:noProof/>
        </w:rPr>
        <w:object w:dxaOrig="7498" w:dyaOrig="4258" w14:anchorId="1150A0B4">
          <v:shape id="_x0000_i1036" type="#_x0000_t75" alt="" style="width:393.4pt;height:223.5pt;mso-width-percent:0;mso-height-percent:0;mso-width-percent:0;mso-height-percent:0" o:ole="">
            <v:imagedata r:id="rId31" o:title=""/>
          </v:shape>
          <o:OLEObject Type="Embed" ProgID="Excel.Sheet.12" ShapeID="_x0000_i1036" DrawAspect="Content" ObjectID="_1681712921" r:id="rId32"/>
        </w:object>
      </w:r>
    </w:p>
    <w:p w14:paraId="18642ABF" w14:textId="77777777" w:rsidR="00117998" w:rsidRDefault="00117998" w:rsidP="00117998">
      <w:pPr>
        <w:jc w:val="center"/>
      </w:pPr>
    </w:p>
    <w:p w14:paraId="0D2DD1A0" w14:textId="77777777" w:rsidR="00730864" w:rsidRDefault="00730864" w:rsidP="00730864">
      <w:pPr>
        <w:pStyle w:val="NoSpacing"/>
        <w:numPr>
          <w:ilvl w:val="0"/>
          <w:numId w:val="0"/>
        </w:numPr>
        <w:tabs>
          <w:tab w:val="left" w:pos="1080"/>
        </w:tabs>
        <w:rPr>
          <w:rFonts w:ascii="Calibri" w:eastAsiaTheme="minorEastAsia" w:hAnsi="Calibri" w:cs="Times"/>
          <w:color w:val="000000"/>
          <w:kern w:val="2"/>
          <w:sz w:val="26"/>
          <w:szCs w:val="26"/>
        </w:rPr>
      </w:pPr>
    </w:p>
    <w:p w14:paraId="55C894DD" w14:textId="5ACD3317" w:rsidR="00117998" w:rsidRPr="00730864" w:rsidRDefault="00117998" w:rsidP="00730864">
      <w:pPr>
        <w:pStyle w:val="NoSpacing"/>
        <w:numPr>
          <w:ilvl w:val="0"/>
          <w:numId w:val="21"/>
        </w:numPr>
        <w:tabs>
          <w:tab w:val="left" w:pos="1080"/>
        </w:tabs>
        <w:rPr>
          <w:rFonts w:ascii="Calibri" w:eastAsiaTheme="minorEastAsia" w:hAnsi="Calibri" w:cs="Times"/>
          <w:color w:val="000000"/>
          <w:kern w:val="2"/>
          <w:sz w:val="26"/>
          <w:szCs w:val="26"/>
        </w:rPr>
      </w:pPr>
      <w:r w:rsidRPr="00730864">
        <w:rPr>
          <w:rFonts w:ascii="Calibri" w:eastAsiaTheme="minorEastAsia" w:hAnsi="Calibri" w:cs="Times"/>
          <w:color w:val="000000"/>
          <w:kern w:val="2"/>
          <w:sz w:val="26"/>
          <w:szCs w:val="26"/>
        </w:rPr>
        <w:t>The portfolio standard deviation is 5.5, which is less than the average of 5.9.</w:t>
      </w:r>
    </w:p>
    <w:p w14:paraId="09D5B9FE" w14:textId="77777777" w:rsidR="00117998" w:rsidRPr="000B0BBB" w:rsidRDefault="00117998" w:rsidP="00117998">
      <w:pPr>
        <w:pStyle w:val="NormalWeb"/>
        <w:ind w:left="360"/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</w:pPr>
    </w:p>
    <w:p w14:paraId="6F572E6E" w14:textId="77777777" w:rsidR="00117998" w:rsidRDefault="00117998" w:rsidP="00117998">
      <w:pPr>
        <w:pStyle w:val="NormalWeb"/>
        <w:ind w:left="360"/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</w:p>
    <w:p w14:paraId="7A2AAAEC" w14:textId="77777777" w:rsidR="00117998" w:rsidRPr="000B0BBB" w:rsidRDefault="00117998" w:rsidP="00117998">
      <w:pPr>
        <w:pStyle w:val="NormalWeb"/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</w:p>
    <w:p w14:paraId="46AD3729" w14:textId="2CF02749" w:rsidR="00961F39" w:rsidRPr="000B0BBB" w:rsidRDefault="00961F39" w:rsidP="00961F39">
      <w:pPr>
        <w:pStyle w:val="NormalWeb"/>
        <w:numPr>
          <w:ilvl w:val="0"/>
          <w:numId w:val="1"/>
        </w:numPr>
        <w:rPr>
          <w:rFonts w:ascii="Calibri" w:eastAsiaTheme="minorEastAsia" w:hAnsi="Calibri" w:cs="Times"/>
          <w:b/>
          <w:bCs/>
          <w:color w:val="000000"/>
          <w:kern w:val="2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b/>
          <w:bCs/>
          <w:color w:val="000000"/>
          <w:kern w:val="2"/>
          <w:sz w:val="26"/>
          <w:szCs w:val="26"/>
          <w:lang w:eastAsia="en-US"/>
        </w:rPr>
        <w:lastRenderedPageBreak/>
        <w:t xml:space="preserve">Market Risk. Which firms of each pair below would you expect to have greater market risk? (CH11-Q22) </w:t>
      </w:r>
    </w:p>
    <w:p w14:paraId="7E29EB58" w14:textId="77777777" w:rsidR="00961F39" w:rsidRPr="000B0BBB" w:rsidRDefault="00961F39" w:rsidP="00961F39">
      <w:pPr>
        <w:pStyle w:val="NormalWeb"/>
        <w:numPr>
          <w:ilvl w:val="0"/>
          <w:numId w:val="18"/>
        </w:numPr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 xml:space="preserve">General Steel or General Food Supplies </w:t>
      </w:r>
    </w:p>
    <w:p w14:paraId="29368BCD" w14:textId="73F89732" w:rsidR="00961F39" w:rsidRDefault="00961F39" w:rsidP="00961F39">
      <w:pPr>
        <w:pStyle w:val="NormalWeb"/>
        <w:numPr>
          <w:ilvl w:val="0"/>
          <w:numId w:val="18"/>
        </w:numPr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  <w:r w:rsidRPr="000B0BBB"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  <w:t xml:space="preserve">Club Med or General Cinemas </w:t>
      </w:r>
    </w:p>
    <w:p w14:paraId="22CD6043" w14:textId="0A5D9BCB" w:rsidR="006A12CB" w:rsidRPr="006A12CB" w:rsidRDefault="006A12CB" w:rsidP="006A12CB">
      <w:pPr>
        <w:pStyle w:val="NormalWeb"/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</w:pPr>
      <w:r w:rsidRPr="000B0BBB">
        <w:rPr>
          <w:rFonts w:ascii="Calibri" w:eastAsiaTheme="minorEastAsia" w:hAnsi="Calibri" w:cs="Times"/>
          <w:b/>
          <w:color w:val="000000"/>
          <w:sz w:val="26"/>
          <w:szCs w:val="26"/>
          <w:u w:val="single"/>
          <w:lang w:eastAsia="en-US"/>
        </w:rPr>
        <w:t>Answer:</w:t>
      </w:r>
    </w:p>
    <w:p w14:paraId="175B922E" w14:textId="44400EA8" w:rsidR="006A12CB" w:rsidRPr="006A12CB" w:rsidRDefault="006A12CB" w:rsidP="006A12CB">
      <w:pPr>
        <w:pStyle w:val="NoSpacing"/>
        <w:numPr>
          <w:ilvl w:val="0"/>
          <w:numId w:val="23"/>
        </w:numPr>
        <w:tabs>
          <w:tab w:val="clear" w:pos="4320"/>
          <w:tab w:val="clear" w:pos="8640"/>
          <w:tab w:val="center" w:pos="-1980"/>
          <w:tab w:val="left" w:pos="1080"/>
        </w:tabs>
        <w:ind w:right="0"/>
        <w:jc w:val="both"/>
        <w:rPr>
          <w:rFonts w:ascii="Calibri" w:eastAsiaTheme="minorEastAsia" w:hAnsi="Calibri" w:cs="Times"/>
          <w:color w:val="000000"/>
          <w:kern w:val="2"/>
          <w:sz w:val="26"/>
          <w:szCs w:val="26"/>
        </w:rPr>
      </w:pPr>
      <w:r w:rsidRPr="006A12CB">
        <w:rPr>
          <w:rFonts w:ascii="Calibri" w:eastAsiaTheme="minorEastAsia" w:hAnsi="Calibri" w:cs="Times"/>
          <w:color w:val="000000"/>
          <w:kern w:val="2"/>
          <w:sz w:val="26"/>
          <w:szCs w:val="26"/>
        </w:rPr>
        <w:t>General Steel should be exposed to higher market risks than G</w:t>
      </w:r>
      <w:r>
        <w:rPr>
          <w:rFonts w:ascii="Calibri" w:eastAsiaTheme="minorEastAsia" w:hAnsi="Calibri" w:cs="Times"/>
          <w:color w:val="000000"/>
          <w:kern w:val="2"/>
          <w:sz w:val="26"/>
          <w:szCs w:val="26"/>
        </w:rPr>
        <w:t xml:space="preserve">eneral Food Supplies, since </w:t>
      </w:r>
      <w:r w:rsidRPr="006A12CB">
        <w:rPr>
          <w:rFonts w:ascii="Calibri" w:eastAsiaTheme="minorEastAsia" w:hAnsi="Calibri" w:cs="Times"/>
          <w:color w:val="000000"/>
          <w:kern w:val="2"/>
          <w:sz w:val="26"/>
          <w:szCs w:val="26"/>
        </w:rPr>
        <w:t xml:space="preserve">the industrial market is more cyclical than staple markets. </w:t>
      </w:r>
    </w:p>
    <w:p w14:paraId="532EB504" w14:textId="77777777" w:rsidR="006A12CB" w:rsidRPr="006A12CB" w:rsidRDefault="006A12CB" w:rsidP="006A12CB">
      <w:pPr>
        <w:pStyle w:val="NoSpacing"/>
        <w:numPr>
          <w:ilvl w:val="0"/>
          <w:numId w:val="0"/>
        </w:numPr>
        <w:tabs>
          <w:tab w:val="clear" w:pos="4320"/>
          <w:tab w:val="clear" w:pos="8640"/>
          <w:tab w:val="center" w:pos="-1980"/>
          <w:tab w:val="left" w:pos="1080"/>
        </w:tabs>
        <w:ind w:left="540" w:right="0" w:hanging="540"/>
        <w:jc w:val="both"/>
        <w:rPr>
          <w:rFonts w:ascii="Calibri" w:eastAsiaTheme="minorEastAsia" w:hAnsi="Calibri" w:cs="Times"/>
          <w:color w:val="000000"/>
          <w:kern w:val="2"/>
          <w:sz w:val="26"/>
          <w:szCs w:val="26"/>
        </w:rPr>
      </w:pPr>
    </w:p>
    <w:p w14:paraId="35945A5E" w14:textId="08286729" w:rsidR="006A12CB" w:rsidRPr="000B0BBB" w:rsidRDefault="006A12CB" w:rsidP="006A12CB">
      <w:pPr>
        <w:numPr>
          <w:ilvl w:val="0"/>
          <w:numId w:val="23"/>
        </w:numPr>
        <w:jc w:val="both"/>
        <w:rPr>
          <w:rFonts w:ascii="Calibri" w:hAnsi="Calibri" w:cs="Times"/>
          <w:color w:val="000000"/>
          <w:kern w:val="2"/>
          <w:sz w:val="26"/>
          <w:szCs w:val="26"/>
          <w:lang w:eastAsia="en-US"/>
        </w:rPr>
      </w:pPr>
      <w:r w:rsidRPr="006A12CB">
        <w:rPr>
          <w:rFonts w:ascii="Calibri" w:hAnsi="Calibri" w:cs="Times"/>
          <w:color w:val="000000"/>
          <w:kern w:val="2"/>
          <w:sz w:val="26"/>
          <w:szCs w:val="26"/>
          <w:lang w:eastAsia="en-US"/>
        </w:rPr>
        <w:t>General Cinemas should be exposed to higher market risks than Club Med, since the movies are consumed with disposable income, while healthcare is a defensive sector.</w:t>
      </w:r>
    </w:p>
    <w:p w14:paraId="3CA85661" w14:textId="1DCCD47A" w:rsidR="00961F39" w:rsidRPr="000B0BBB" w:rsidRDefault="00961F39" w:rsidP="00961F39">
      <w:pPr>
        <w:pStyle w:val="NormalWeb"/>
        <w:ind w:left="360"/>
        <w:rPr>
          <w:rFonts w:ascii="Calibri" w:eastAsiaTheme="minorEastAsia" w:hAnsi="Calibri" w:cs="Times"/>
          <w:color w:val="000000"/>
          <w:kern w:val="2"/>
          <w:sz w:val="26"/>
          <w:szCs w:val="26"/>
          <w:lang w:eastAsia="en-US"/>
        </w:rPr>
      </w:pPr>
    </w:p>
    <w:p w14:paraId="7BE22DB1" w14:textId="77777777" w:rsidR="00961F39" w:rsidRPr="000B0BBB" w:rsidRDefault="00961F39" w:rsidP="00942F6A">
      <w:pPr>
        <w:tabs>
          <w:tab w:val="left" w:pos="220"/>
          <w:tab w:val="left" w:pos="540"/>
        </w:tabs>
        <w:spacing w:after="240" w:line="280" w:lineRule="atLeast"/>
        <w:rPr>
          <w:rFonts w:ascii="Calibri" w:hAnsi="Calibri" w:cs="Times"/>
          <w:b/>
          <w:bCs/>
          <w:color w:val="000000"/>
          <w:sz w:val="26"/>
          <w:szCs w:val="26"/>
        </w:rPr>
      </w:pPr>
    </w:p>
    <w:sectPr w:rsidR="00961F39" w:rsidRPr="000B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806"/>
    <w:multiLevelType w:val="multilevel"/>
    <w:tmpl w:val="DA02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353E1"/>
    <w:multiLevelType w:val="multilevel"/>
    <w:tmpl w:val="2934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1548E"/>
    <w:multiLevelType w:val="hybridMultilevel"/>
    <w:tmpl w:val="5A944E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4D3738"/>
    <w:multiLevelType w:val="hybridMultilevel"/>
    <w:tmpl w:val="5C00CA9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CB20AF4"/>
    <w:multiLevelType w:val="hybridMultilevel"/>
    <w:tmpl w:val="D1FE9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61CFB"/>
    <w:multiLevelType w:val="singleLevel"/>
    <w:tmpl w:val="E6782BC2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</w:abstractNum>
  <w:abstractNum w:abstractNumId="6" w15:restartNumberingAfterBreak="0">
    <w:nsid w:val="2B005530"/>
    <w:multiLevelType w:val="hybridMultilevel"/>
    <w:tmpl w:val="0DAE2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D44D7"/>
    <w:multiLevelType w:val="hybridMultilevel"/>
    <w:tmpl w:val="3AFC62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84045A"/>
    <w:multiLevelType w:val="multilevel"/>
    <w:tmpl w:val="1CE4B6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0021D"/>
    <w:multiLevelType w:val="multilevel"/>
    <w:tmpl w:val="6EBA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F198A"/>
    <w:multiLevelType w:val="multilevel"/>
    <w:tmpl w:val="EDF456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03D5C"/>
    <w:multiLevelType w:val="hybridMultilevel"/>
    <w:tmpl w:val="BF20C6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EE0846"/>
    <w:multiLevelType w:val="hybridMultilevel"/>
    <w:tmpl w:val="2410F3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33722"/>
    <w:multiLevelType w:val="multilevel"/>
    <w:tmpl w:val="9AAC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4B05D8"/>
    <w:multiLevelType w:val="multilevel"/>
    <w:tmpl w:val="9DE86A26"/>
    <w:lvl w:ilvl="0">
      <w:start w:val="1"/>
      <w:numFmt w:val="lowerLetter"/>
      <w:lvlText w:val="%1.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94169"/>
    <w:multiLevelType w:val="hybridMultilevel"/>
    <w:tmpl w:val="5A944E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721504"/>
    <w:multiLevelType w:val="hybridMultilevel"/>
    <w:tmpl w:val="BD7233B2"/>
    <w:lvl w:ilvl="0" w:tplc="D8C0EAF8">
      <w:start w:val="1"/>
      <w:numFmt w:val="decimal"/>
      <w:pStyle w:val="NoSpacing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71F4237A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7E95C43"/>
    <w:multiLevelType w:val="multilevel"/>
    <w:tmpl w:val="64880C96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66503B"/>
    <w:multiLevelType w:val="multilevel"/>
    <w:tmpl w:val="6C08CA2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631364"/>
    <w:multiLevelType w:val="hybridMultilevel"/>
    <w:tmpl w:val="2B2473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42F21"/>
    <w:multiLevelType w:val="multilevel"/>
    <w:tmpl w:val="7A60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65C7F"/>
    <w:multiLevelType w:val="hybridMultilevel"/>
    <w:tmpl w:val="8E944E20"/>
    <w:lvl w:ilvl="0" w:tplc="6F187AAC">
      <w:start w:val="1"/>
      <w:numFmt w:val="lowerLetter"/>
      <w:lvlText w:val="%1."/>
      <w:lvlJc w:val="left"/>
      <w:pPr>
        <w:ind w:left="104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21"/>
  </w:num>
  <w:num w:numId="5">
    <w:abstractNumId w:val="15"/>
  </w:num>
  <w:num w:numId="6">
    <w:abstractNumId w:val="1"/>
  </w:num>
  <w:num w:numId="7">
    <w:abstractNumId w:val="9"/>
  </w:num>
  <w:num w:numId="8">
    <w:abstractNumId w:val="19"/>
  </w:num>
  <w:num w:numId="9">
    <w:abstractNumId w:val="10"/>
  </w:num>
  <w:num w:numId="10">
    <w:abstractNumId w:val="20"/>
  </w:num>
  <w:num w:numId="11">
    <w:abstractNumId w:val="14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17"/>
  </w:num>
  <w:num w:numId="17">
    <w:abstractNumId w:val="0"/>
  </w:num>
  <w:num w:numId="18">
    <w:abstractNumId w:val="7"/>
  </w:num>
  <w:num w:numId="19">
    <w:abstractNumId w:val="3"/>
  </w:num>
  <w:num w:numId="20">
    <w:abstractNumId w:val="2"/>
  </w:num>
  <w:num w:numId="21">
    <w:abstractNumId w:val="11"/>
  </w:num>
  <w:num w:numId="22">
    <w:abstractNumId w:val="16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tTAwNzU2MTY3NTJU0lEKTi0uzszPAykwqwUAL+iOrCwAAAA="/>
  </w:docVars>
  <w:rsids>
    <w:rsidRoot w:val="001F57A3"/>
    <w:rsid w:val="000663F2"/>
    <w:rsid w:val="000B0BBB"/>
    <w:rsid w:val="00114729"/>
    <w:rsid w:val="00117998"/>
    <w:rsid w:val="0013564D"/>
    <w:rsid w:val="001F3854"/>
    <w:rsid w:val="001F57A3"/>
    <w:rsid w:val="00200AF3"/>
    <w:rsid w:val="002523CB"/>
    <w:rsid w:val="002D040F"/>
    <w:rsid w:val="00313229"/>
    <w:rsid w:val="003E0ED5"/>
    <w:rsid w:val="003F523E"/>
    <w:rsid w:val="00427F24"/>
    <w:rsid w:val="0047549B"/>
    <w:rsid w:val="004D6181"/>
    <w:rsid w:val="005059BE"/>
    <w:rsid w:val="005209E4"/>
    <w:rsid w:val="00605D51"/>
    <w:rsid w:val="006623D5"/>
    <w:rsid w:val="006A12CB"/>
    <w:rsid w:val="006B66C7"/>
    <w:rsid w:val="00730864"/>
    <w:rsid w:val="00746AFE"/>
    <w:rsid w:val="007F2DEC"/>
    <w:rsid w:val="00836A70"/>
    <w:rsid w:val="00942F6A"/>
    <w:rsid w:val="00961F39"/>
    <w:rsid w:val="009F1D50"/>
    <w:rsid w:val="009F2338"/>
    <w:rsid w:val="00A26487"/>
    <w:rsid w:val="00AB283B"/>
    <w:rsid w:val="00AF3147"/>
    <w:rsid w:val="00B37192"/>
    <w:rsid w:val="00B76056"/>
    <w:rsid w:val="00C101D9"/>
    <w:rsid w:val="00C271FB"/>
    <w:rsid w:val="00C618B1"/>
    <w:rsid w:val="00CD6948"/>
    <w:rsid w:val="00DB7706"/>
    <w:rsid w:val="00E051BB"/>
    <w:rsid w:val="00E368F1"/>
    <w:rsid w:val="00E678DC"/>
    <w:rsid w:val="00EE1236"/>
    <w:rsid w:val="00EE1E30"/>
    <w:rsid w:val="00F6154E"/>
    <w:rsid w:val="00F64AC2"/>
    <w:rsid w:val="00FA2CF5"/>
    <w:rsid w:val="00F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5566"/>
  <w15:chartTrackingRefBased/>
  <w15:docId w15:val="{7FB421D5-B06E-4441-B59B-671C547F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4E"/>
    <w:pPr>
      <w:widowControl w:val="0"/>
      <w:spacing w:after="0" w:line="240" w:lineRule="auto"/>
      <w:ind w:left="720"/>
      <w:contextualSpacing/>
      <w:jc w:val="both"/>
    </w:pPr>
    <w:rPr>
      <w:kern w:val="2"/>
      <w:sz w:val="24"/>
      <w:szCs w:val="24"/>
      <w:lang w:eastAsia="en-US"/>
    </w:rPr>
  </w:style>
  <w:style w:type="paragraph" w:styleId="NoSpacing">
    <w:name w:val="No Spacing"/>
    <w:aliases w:val="Numbers"/>
    <w:basedOn w:val="Footer"/>
    <w:uiPriority w:val="1"/>
    <w:qFormat/>
    <w:rsid w:val="00E051BB"/>
    <w:pPr>
      <w:numPr>
        <w:numId w:val="2"/>
      </w:numPr>
      <w:tabs>
        <w:tab w:val="clear" w:pos="4680"/>
        <w:tab w:val="clear" w:pos="9360"/>
        <w:tab w:val="left" w:pos="-1980"/>
        <w:tab w:val="center" w:pos="4320"/>
        <w:tab w:val="right" w:pos="8640"/>
      </w:tabs>
      <w:ind w:right="-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E05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051BB"/>
  </w:style>
  <w:style w:type="paragraph" w:styleId="NormalWeb">
    <w:name w:val="Normal (Web)"/>
    <w:basedOn w:val="Normal"/>
    <w:uiPriority w:val="99"/>
    <w:unhideWhenUsed/>
    <w:rsid w:val="0011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B0BBB"/>
    <w:pPr>
      <w:tabs>
        <w:tab w:val="left" w:pos="-1890"/>
      </w:tabs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B0BB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itle">
    <w:name w:val="Title"/>
    <w:basedOn w:val="Normal"/>
    <w:link w:val="TitleChar"/>
    <w:qFormat/>
    <w:rsid w:val="006A12CB"/>
    <w:pPr>
      <w:tabs>
        <w:tab w:val="left" w:pos="-189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6A12CB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package" Target="embeddings/Microsoft_Excel_Worksheet3.xlsx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package" Target="embeddings/Microsoft_Excel_Worksheet1.xlsx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3.emf"/><Relationship Id="rId30" Type="http://schemas.openxmlformats.org/officeDocument/2006/relationships/package" Target="embeddings/Microsoft_Excel_Worksheet2.xlsx"/><Relationship Id="rId8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A80B-DFC3-42F4-982F-CF7C83B8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7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Zhang</dc:creator>
  <cp:keywords/>
  <dc:description/>
  <cp:lastModifiedBy>Xuan Zhang</cp:lastModifiedBy>
  <cp:revision>4</cp:revision>
  <cp:lastPrinted>2021-04-28T05:51:00Z</cp:lastPrinted>
  <dcterms:created xsi:type="dcterms:W3CDTF">2021-04-28T05:51:00Z</dcterms:created>
  <dcterms:modified xsi:type="dcterms:W3CDTF">2021-05-05T01:42:00Z</dcterms:modified>
</cp:coreProperties>
</file>