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para la prueba con 5 usuarios reales (GA5-AA1-EV01)</w:t>
      </w:r>
    </w:p>
    <w:p>
      <w:r>
        <w:t>Esta guía explica cómo compartir el prototipo con cinco usuarios reales y recoger</w:t>
      </w:r>
    </w:p>
    <w:p>
      <w:r>
        <w:t>la evidencia que exige la actividad.</w:t>
      </w:r>
    </w:p>
    <w:p>
      <w:pPr>
        <w:pStyle w:val="Heading2"/>
      </w:pPr>
      <w:r>
        <w:t>1. Preparar el prototipo</w:t>
      </w:r>
    </w:p>
    <w:p>
      <w:pPr>
        <w:pStyle w:val="ListNumber"/>
      </w:pPr>
      <w:r>
        <w:t xml:space="preserve">En Unity: </w:t>
      </w:r>
      <w:r>
        <w:rPr>
          <w:b/>
        </w:rPr>
        <w:t>NitroRhythm ▸ Build Prototype Scenes</w:t>
      </w:r>
      <w:r>
        <w:t xml:space="preserve"> (una vez).</w:t>
      </w:r>
    </w:p>
    <w:p>
      <w:pPr>
        <w:pStyle w:val="ListNumber"/>
      </w:pPr>
      <w:r>
        <w:t xml:space="preserve">En Unity: </w:t>
      </w:r>
      <w:r>
        <w:rPr>
          <w:b/>
        </w:rPr>
        <w:t>NitroRhythm ▸ Build WebGL</w:t>
      </w:r>
      <w:r>
        <w:t>.</w:t>
      </w:r>
    </w:p>
    <w:p>
      <w:pPr>
        <w:pStyle w:val="ListNumber"/>
      </w:pPr>
      <w:r>
        <w:t xml:space="preserve">El resultado queda en </w:t>
      </w:r>
      <w:r>
        <w:rPr>
          <w:rFonts w:ascii="Consolas" w:hAnsi="Consolas"/>
        </w:rPr>
        <w:t>SENA/NitroRythm/Builds/WebGL</w:t>
      </w:r>
      <w:r>
        <w:t>.</w:t>
      </w:r>
    </w:p>
    <w:p>
      <w:pPr>
        <w:pStyle w:val="Heading2"/>
      </w:pPr>
      <w:r>
        <w:t>2. Publicar el prototipo (opciones gratuitas)</w:t>
      </w:r>
    </w:p>
    <w:p>
      <w:pPr>
        <w:pStyle w:val="ListBullet"/>
      </w:pPr>
      <w:r>
        <w:rPr>
          <w:b/>
        </w:rPr>
        <w:t>itch.io</w:t>
      </w:r>
      <w:r>
        <w:t>: cree una página de proyecto "HTML" y suba el .zip de la build WebGL.</w:t>
      </w:r>
    </w:p>
    <w:p>
      <w:r>
        <w:t>Genere un enlace público.</w:t>
      </w:r>
    </w:p>
    <w:p>
      <w:pPr>
        <w:pStyle w:val="ListBullet"/>
      </w:pPr>
      <w:r>
        <w:rPr>
          <w:b/>
        </w:rPr>
        <w:t>Netlify Drop</w:t>
      </w:r>
      <w:r>
        <w:t xml:space="preserve"> (&lt;https://app.netlify.com/drop&gt;): arrastre la carpeta de la build</w:t>
      </w:r>
    </w:p>
    <w:p>
      <w:r>
        <w:t>y obtenga un enlace inmediato.</w:t>
      </w:r>
    </w:p>
    <w:p>
      <w:pPr>
        <w:pStyle w:val="ListBullet"/>
      </w:pPr>
      <w:r>
        <w:rPr>
          <w:b/>
        </w:rPr>
        <w:t>GitHub Pages</w:t>
      </w:r>
      <w:r>
        <w:t>: suba la build a un repositorio y active Pages.</w:t>
      </w:r>
    </w:p>
    <w:p>
      <w:pPr>
        <w:pStyle w:val="ListBullet"/>
      </w:pPr>
      <w:r>
        <w:rPr>
          <w:b/>
        </w:rPr>
        <w:t>AWS (con su dominio)</w:t>
      </w:r>
      <w:r>
        <w:t xml:space="preserve">: suba la build a </w:t>
      </w:r>
      <w:r>
        <w:rPr>
          <w:b/>
        </w:rPr>
        <w:t>Amazon S3</w:t>
      </w:r>
      <w:r>
        <w:t xml:space="preserve"> (sitio estático) y use</w:t>
      </w:r>
    </w:p>
    <w:p>
      <w:r>
        <w:rPr>
          <w:b/>
        </w:rPr>
        <w:t>CloudFront</w:t>
      </w:r>
      <w:r>
        <w:t xml:space="preserve"> para HTTPS y caché. Es de bajo costo para tráfico pequeño</w:t>
      </w:r>
    </w:p>
    <w:p>
      <w:r>
        <w:t>(S3 + CloudFront tienen capa gratuita y el costo mensual para un prototipo es de</w:t>
      </w:r>
    </w:p>
    <w:p>
      <w:r>
        <w:t xml:space="preserve">centavos). Configure el dominio con </w:t>
      </w:r>
      <w:r>
        <w:rPr>
          <w:b/>
        </w:rPr>
        <w:t>Route 53</w:t>
      </w:r>
      <w:r>
        <w:t xml:space="preserve"> o el DNS de su proveedor.</w:t>
      </w:r>
    </w:p>
    <w:p>
      <w:pPr>
        <w:pStyle w:val="Heading2"/>
      </w:pPr>
      <w:r>
        <w:t>3. Crear el cuestionario</w:t>
      </w:r>
    </w:p>
    <w:p>
      <w:pPr>
        <w:pStyle w:val="ListNumber"/>
      </w:pPr>
      <w:r>
        <w:t xml:space="preserve">Cree el formulario en </w:t>
      </w:r>
      <w:r>
        <w:rPr>
          <w:b/>
        </w:rPr>
        <w:t>Google Forms</w:t>
      </w:r>
      <w:r>
        <w:t xml:space="preserve"> copiando las 10 preguntas del archivo</w:t>
      </w:r>
    </w:p>
    <w:p>
      <w:r>
        <w:rPr>
          <w:rFonts w:ascii="Consolas" w:hAnsi="Consolas"/>
        </w:rPr>
        <w:t>GA5-AA1-EV01_Cuestionario.md</w:t>
      </w:r>
      <w:r>
        <w:t>.</w:t>
      </w:r>
    </w:p>
    <w:p>
      <w:pPr>
        <w:pStyle w:val="ListNumber"/>
      </w:pPr>
      <w:r>
        <w:t>Active el resumen de respuestas (gráficos automáticos).</w:t>
      </w:r>
    </w:p>
    <w:p>
      <w:pPr>
        <w:pStyle w:val="Heading2"/>
      </w:pPr>
      <w:r>
        <w:t>4. Invitar a los usuarios</w:t>
      </w:r>
    </w:p>
    <w:p>
      <w:pPr>
        <w:pStyle w:val="ListNumber"/>
      </w:pPr>
      <w:r>
        <w:t xml:space="preserve">Comparta el enlace del juego y el enlace del formulario con </w:t>
      </w:r>
      <w:r>
        <w:rPr>
          <w:b/>
        </w:rPr>
        <w:t>5 personas</w:t>
      </w:r>
      <w:r>
        <w:t>.</w:t>
      </w:r>
    </w:p>
    <w:p>
      <w:pPr>
        <w:pStyle w:val="ListNumber"/>
      </w:pPr>
      <w:r>
        <w:t>Pídales: jugar una partida completa y responder el cuestionario.</w:t>
      </w:r>
    </w:p>
    <w:p>
      <w:pPr>
        <w:pStyle w:val="ListNumber"/>
      </w:pPr>
      <w:r>
        <w:t>Recoja las 5 respuestas y descargue el reporte de Google Forms.</w:t>
      </w:r>
    </w:p>
    <w:p>
      <w:pPr>
        <w:pStyle w:val="Heading2"/>
      </w:pPr>
      <w:r>
        <w:t>5. Anexar la evidencia</w:t>
      </w:r>
    </w:p>
    <w:p>
      <w:pPr>
        <w:pStyle w:val="ListBullet"/>
      </w:pPr>
      <w:r>
        <w:t xml:space="preserve">Adjunte el </w:t>
      </w:r>
      <w:r>
        <w:rPr>
          <w:b/>
        </w:rPr>
        <w:t>reporte de analítica</w:t>
      </w:r>
      <w:r>
        <w:t xml:space="preserve"> (PDF del formulario) al informe de hallazgos</w:t>
      </w:r>
    </w:p>
    <w:p>
      <w:r>
        <w:t>(</w:t>
      </w:r>
      <w:r>
        <w:rPr>
          <w:rFonts w:ascii="Consolas" w:hAnsi="Consolas"/>
        </w:rPr>
        <w:t>GA5-AA2-EV01_Informe_Hallazgos.docx</w:t>
      </w:r>
      <w:r>
        <w:t>).</w:t>
      </w:r>
    </w:p>
    <w:p>
      <w:pPr>
        <w:pStyle w:val="ListBullet"/>
      </w:pPr>
      <w:r>
        <w:t xml:space="preserve">Con las conclusiones, aplique los ajustes y capture el </w:t>
      </w:r>
      <w:r>
        <w:rPr>
          <w:b/>
        </w:rPr>
        <w:t>antes/después</w:t>
      </w:r>
      <w:r>
        <w:t xml:space="preserve"> con</w:t>
      </w:r>
    </w:p>
    <w:p>
      <w:r>
        <w:rPr>
          <w:b/>
        </w:rPr>
        <w:t>Evidence Capture Tool</w:t>
      </w:r>
      <w:r>
        <w:t xml:space="preserve"> para las infografías (</w:t>
      </w:r>
      <w:r>
        <w:rPr>
          <w:rFonts w:ascii="Consolas" w:hAnsi="Consolas"/>
        </w:rPr>
        <w:t>GA5-AA3-EV01</w:t>
      </w:r>
      <w:r>
        <w:t xml:space="preserve"> y </w:t>
      </w:r>
      <w:r>
        <w:rPr>
          <w:rFonts w:ascii="Consolas" w:hAnsi="Consolas"/>
        </w:rPr>
        <w:t>GA5-AA4-EV01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