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7777777" w:rsidR="00B0605F" w:rsidRDefault="00B0605F" w:rsidP="004C028D"/>
    <w:p w14:paraId="32065BF5" w14:textId="77777777" w:rsidR="00B0605F" w:rsidRPr="00B85790" w:rsidRDefault="00C929EF" w:rsidP="00C929EF">
      <w:pPr>
        <w:tabs>
          <w:tab w:val="left" w:pos="8250"/>
        </w:tabs>
      </w:pPr>
      <w:r>
        <w:lastRenderedPageBreak/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Úvodní ustanovení</w:t>
      </w:r>
    </w:p>
    <w:p w14:paraId="3336E49A" w14:textId="5D7900C9" w:rsidR="004C028D" w:rsidRPr="00B85790" w:rsidRDefault="004C028D" w:rsidP="009707F2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431DE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E21BCD">
        <w:t>{{</w:t>
      </w:r>
      <w:proofErr w:type="spellStart"/>
      <w:r w:rsidR="00E21BCD">
        <w:t>pd</w:t>
      </w:r>
      <w:proofErr w:type="spellEnd"/>
      <w:r w:rsidR="00E21BCD">
        <w:t>}}</w:t>
      </w:r>
      <w:r w:rsidR="009707F2">
        <w:t xml:space="preserve"> </w:t>
      </w:r>
      <w:r w:rsidR="00390C8C">
        <w:t xml:space="preserve">vypracovanou v roce </w:t>
      </w:r>
      <w:r w:rsidR="00E21BCD">
        <w:t>{{</w:t>
      </w:r>
      <w:proofErr w:type="spellStart"/>
      <w:r w:rsidR="00E21BCD">
        <w:t>pdrok</w:t>
      </w:r>
      <w:proofErr w:type="spellEnd"/>
      <w:r w:rsidR="00E21BCD">
        <w:t>}}</w:t>
      </w:r>
      <w:r w:rsidRPr="00E55244">
        <w:t xml:space="preserve"> </w:t>
      </w:r>
      <w:r w:rsidR="002C592B" w:rsidRPr="002C592B">
        <w:t xml:space="preserve">společností </w:t>
      </w:r>
      <w:r w:rsidR="007C33B4">
        <w:t>{{</w:t>
      </w:r>
      <w:proofErr w:type="spellStart"/>
      <w:r w:rsidR="007C33B4">
        <w:t>pdspolecnost</w:t>
      </w:r>
      <w:proofErr w:type="spellEnd"/>
      <w:r w:rsidR="007C33B4">
        <w:t xml:space="preserve">}}, </w:t>
      </w:r>
      <w:r w:rsidR="002C592B" w:rsidRPr="005825D8">
        <w:t xml:space="preserve">se sídlem </w:t>
      </w:r>
      <w:r w:rsidR="00E21BCD">
        <w:t>{{</w:t>
      </w:r>
      <w:proofErr w:type="spellStart"/>
      <w:r w:rsidR="007C33B4">
        <w:t>pdsidlo</w:t>
      </w:r>
      <w:proofErr w:type="spellEnd"/>
      <w:r w:rsidR="007C33B4">
        <w:t>}}</w:t>
      </w:r>
      <w:r w:rsidR="002C592B" w:rsidRPr="007C33B4">
        <w:t>, z</w:t>
      </w:r>
      <w:r w:rsidR="002C592B" w:rsidRPr="005825D8">
        <w:t xml:space="preserve">odpovědný </w:t>
      </w:r>
      <w:r w:rsidR="002C592B" w:rsidRPr="007C33B4">
        <w:t xml:space="preserve">projektant </w:t>
      </w:r>
      <w:r w:rsidR="00E21BCD" w:rsidRPr="007C33B4">
        <w:rPr>
          <w:lang w:val="en-US"/>
        </w:rPr>
        <w:t>{{</w:t>
      </w:r>
      <w:proofErr w:type="spellStart"/>
      <w:r w:rsidR="00E21BCD" w:rsidRPr="007C33B4">
        <w:rPr>
          <w:lang w:val="en-US"/>
        </w:rPr>
        <w:t>pdproj</w:t>
      </w:r>
      <w:proofErr w:type="spellEnd"/>
      <w:r w:rsidR="00E21BCD" w:rsidRPr="007C33B4">
        <w:rPr>
          <w:lang w:val="en-US"/>
        </w:rPr>
        <w:t>}}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172FD857" w:rsidR="006A1AB7" w:rsidRPr="009707F2" w:rsidRDefault="006A1AB7" w:rsidP="00C929EF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536C181" w14:textId="77777777" w:rsidR="006A1AB7" w:rsidRPr="009707F2" w:rsidRDefault="006A1AB7" w:rsidP="00C929EF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2EE8D545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52ECCD2E" w14:textId="77777777" w:rsidR="00EE081E" w:rsidRDefault="00EE081E" w:rsidP="00EE081E">
      <w:pPr>
        <w:spacing w:before="120"/>
        <w:ind w:left="567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6188488F" w14:textId="77777777" w:rsidR="00EE081E" w:rsidRDefault="00EE081E" w:rsidP="00EE081E">
      <w:pPr>
        <w:spacing w:before="120"/>
        <w:ind w:left="567"/>
        <w:jc w:val="both"/>
      </w:pPr>
      <w:r>
        <w:t>• {{ l }}</w:t>
      </w:r>
    </w:p>
    <w:p w14:paraId="354A74FD" w14:textId="4454708A" w:rsidR="00EE081E" w:rsidRDefault="00EE081E" w:rsidP="00EE081E">
      <w:pPr>
        <w:spacing w:before="120"/>
        <w:ind w:left="567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0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0"/>
      <w:r w:rsidR="00227DF2">
        <w:rPr>
          <w:rStyle w:val="Odkaznakoment"/>
        </w:rPr>
        <w:commentReference w:id="0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2933B1D7" w14:textId="36E9167E" w:rsidR="00EE081E" w:rsidRPr="00EE081E" w:rsidRDefault="00EE081E" w:rsidP="00EE081E">
      <w:pPr>
        <w:pStyle w:val="Odstavecseseznamem"/>
        <w:tabs>
          <w:tab w:val="left" w:pos="142"/>
          <w:tab w:val="left" w:pos="284"/>
        </w:tabs>
        <w:ind w:left="858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bookmarkStart w:id="1" w:name="_GoBack"/>
      <w:bookmarkEnd w:id="1"/>
      <w:r w:rsidRPr="00EE081E">
        <w:t xml:space="preserve"> %}</w:t>
      </w:r>
    </w:p>
    <w:p w14:paraId="3F3A4EC3" w14:textId="77777777" w:rsidR="00EE081E" w:rsidRPr="00EE081E" w:rsidRDefault="00EE081E" w:rsidP="00EE081E">
      <w:pPr>
        <w:pStyle w:val="Odstavecseseznamem"/>
        <w:tabs>
          <w:tab w:val="left" w:pos="142"/>
          <w:tab w:val="left" w:pos="284"/>
        </w:tabs>
        <w:ind w:left="858"/>
        <w:jc w:val="both"/>
      </w:pPr>
      <w:r w:rsidRPr="00EE081E">
        <w:t>• {{ l }}</w:t>
      </w:r>
    </w:p>
    <w:p w14:paraId="4365E145" w14:textId="3AEC5785" w:rsidR="00544840" w:rsidRPr="00EE081E" w:rsidRDefault="00EE081E" w:rsidP="00EE081E">
      <w:pPr>
        <w:pStyle w:val="Odstavecseseznamem"/>
        <w:tabs>
          <w:tab w:val="left" w:pos="142"/>
          <w:tab w:val="left" w:pos="284"/>
        </w:tabs>
        <w:ind w:left="858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DF209" w14:textId="77777777" w:rsidR="00EE4AB8" w:rsidRDefault="00EE4AB8" w:rsidP="00F163FA">
      <w:r>
        <w:separator/>
      </w:r>
    </w:p>
  </w:endnote>
  <w:endnote w:type="continuationSeparator" w:id="0">
    <w:p w14:paraId="31220602" w14:textId="77777777" w:rsidR="00EE4AB8" w:rsidRDefault="00EE4AB8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2613" w14:textId="77777777" w:rsidR="00900713" w:rsidRDefault="0090071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13C6" w14:textId="77777777" w:rsidR="00900713" w:rsidRDefault="009007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4A7E6" w14:textId="77777777" w:rsidR="00EE4AB8" w:rsidRDefault="00EE4AB8" w:rsidP="00F163FA">
      <w:r>
        <w:separator/>
      </w:r>
    </w:p>
  </w:footnote>
  <w:footnote w:type="continuationSeparator" w:id="0">
    <w:p w14:paraId="5F9005FF" w14:textId="77777777" w:rsidR="00EE4AB8" w:rsidRDefault="00EE4AB8" w:rsidP="00F1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D6361" w14:textId="77777777" w:rsidR="00900713" w:rsidRDefault="0090071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AE65" w14:textId="77777777" w:rsidR="00900713" w:rsidRDefault="0090071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707D9" w14:textId="77777777" w:rsidR="00900713" w:rsidRDefault="0090071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6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EE081E"/>
    <w:rsid w:val="00EE4AB8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A074EE-A183-4356-B7FD-9DB73246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1103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21</cp:revision>
  <cp:lastPrinted>2016-01-14T10:42:00Z</cp:lastPrinted>
  <dcterms:created xsi:type="dcterms:W3CDTF">2025-05-02T10:12:00Z</dcterms:created>
  <dcterms:modified xsi:type="dcterms:W3CDTF">2025-05-05T09:32:00Z</dcterms:modified>
</cp:coreProperties>
</file>