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Arial" w:cs="Arial" w:eastAsia="Arial" w:hAnsi="Arial"/>
          <w:b/>
          <w:bCs/>
          <w:color w:val="1C6E78"/>
          <w:sz w:val="56"/>
          <w:szCs w:val="56"/>
        </w:rPr>
        <w:t xml:space="preserve">OmniKin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2683C"/>
          <w:sz w:val="40"/>
          <w:szCs w:val="40"/>
        </w:rPr>
        <w:t xml:space="preserve">Style Guide</w:t>
      </w:r>
    </w:p>
    <w:p>
      <w:pPr>
        <w:spacing w:after="40"/>
      </w:pPr>
      <w:r>
        <w:rPr>
          <w:rFonts w:ascii="Arial" w:cs="Arial" w:eastAsia="Arial" w:hAnsi="Arial"/>
          <w:color w:val="586A6D"/>
          <w:sz w:val="22"/>
          <w:szCs w:val="22"/>
        </w:rPr>
        <w:t xml:space="preserve">Colour system · Typography · Application rules</w:t>
      </w:r>
    </w:p>
    <w:p>
      <w:pPr>
        <w:pBdr>
          <w:bottom w:val="single" w:color="1C6E78" w:sz="18" w:space="1"/>
        </w:pBdr>
        <w:spacing w:after="220" w:before="80"/>
      </w:pPr>
      <w:r>
        <w:rPr>
          <w:rFonts w:ascii="Arial" w:cs="Arial" w:eastAsia="Arial" w:hAnsi="Arial"/>
        </w:rPr>
        <w:t xml:space="preserve"/>
      </w:r>
    </w:p>
    <w:p>
      <w:pPr>
        <w:spacing w:after="160" w:before="40" w:line="300"/>
      </w:pPr>
      <w:r>
        <w:rPr>
          <w:rFonts w:ascii="Arial" w:cs="Arial" w:eastAsia="Arial" w:hAnsi="Arial"/>
          <w:color w:val="586A6D"/>
          <w:sz w:val="21"/>
          <w:szCs w:val="21"/>
        </w:rPr>
        <w:t xml:space="preserve">The single source of truth for how OmniKin looks and reads — across the product UI, marketing, and documents. One palette, one type system, applied consistently so that “privacy-first, all-in-one, trustworthy” is felt before it is read.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1C6E78"/>
          <w:sz w:val="19"/>
          <w:szCs w:val="19"/>
        </w:rPr>
        <w:t xml:space="preserve">How to use this guide.  </w:t>
      </w:r>
      <w:r>
        <w:rPr>
          <w:rFonts w:ascii="Arial" w:cs="Arial" w:eastAsia="Arial" w:hAnsi="Arial"/>
          <w:color w:val="1E2A2D"/>
          <w:sz w:val="19"/>
          <w:szCs w:val="19"/>
        </w:rPr>
        <w:t xml:space="preserve">Every visual decision maps to a named token (e.g. </w:t>
      </w:r>
      <w:r>
        <w:rPr>
          <w:rFonts w:ascii="Arial" w:cs="Arial" w:eastAsia="Arial" w:hAnsi="Arial"/>
          <w:b/>
          <w:bCs/>
          <w:color w:val="14525B"/>
          <w:sz w:val="19"/>
          <w:szCs w:val="19"/>
        </w:rPr>
        <w:t xml:space="preserve">Teal 700</w:t>
      </w:r>
      <w:r>
        <w:rPr>
          <w:rFonts w:ascii="Arial" w:cs="Arial" w:eastAsia="Arial" w:hAnsi="Arial"/>
          <w:color w:val="1E2A2D"/>
          <w:sz w:val="19"/>
          <w:szCs w:val="19"/>
        </w:rPr>
        <w:t xml:space="preserve">) with a fixed hex value. Always reference the token, never a one-off colour. The anchor of the whole system is the brand teal </w:t>
      </w:r>
      <w:r>
        <w:rPr>
          <w:rFonts w:ascii="Consolas" w:cs="Consolas" w:eastAsia="Consolas" w:hAnsi="Consolas"/>
          <w:color w:val="1C6E78"/>
          <w:sz w:val="19"/>
          <w:szCs w:val="19"/>
        </w:rPr>
        <w:t xml:space="preserve">#1C6E78</w:t>
      </w:r>
      <w:r>
        <w:rPr>
          <w:rFonts w:ascii="Arial" w:cs="Arial" w:eastAsia="Arial" w:hAnsi="Arial"/>
          <w:color w:val="1E2A2D"/>
          <w:sz w:val="19"/>
          <w:szCs w:val="19"/>
        </w:rPr>
        <w:t xml:space="preserve">, used for the title and primary brand expression throughout.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6E78"/>
          <w:sz w:val="30"/>
          <w:szCs w:val="30"/>
        </w:rPr>
        <w:t xml:space="preserve">1.  Brand essence</w:t>
      </w:r>
    </w:p>
    <w:p>
      <w:pPr>
        <w:spacing w:after="140" w:before="0" w:line="288"/>
      </w:pPr>
      <w:r>
        <w:rPr>
          <w:rFonts w:ascii="Arial" w:cs="Arial" w:eastAsia="Arial" w:hAnsi="Arial"/>
          <w:color w:val="1E2A2D"/>
          <w:sz w:val="21"/>
          <w:szCs w:val="21"/>
        </w:rPr>
        <w:t xml:space="preserve">OmniKin is a calm, trustworthy household operating system. The visual language has three jobs: feel safe (privacy is the brand), feel unified (one app, not a patchwork), and feel inclusive (as at home in Lagos or Nairobi as in Berlin or Paris).</w:t>
      </w:r>
    </w:p>
    <w:p>
      <w:pPr>
        <w:pStyle w:val="ListParagraph"/>
        <w:numPr>
          <w:ilvl w:val="0"/>
          <w:numId w:val="2"/>
        </w:numPr>
        <w:spacing w:after="90" w:line="282"/>
      </w:pPr>
      <w:r>
        <w:rPr>
          <w:rFonts w:ascii="Arial" w:cs="Arial" w:eastAsia="Arial" w:hAnsi="Arial"/>
          <w:b/>
          <w:bCs/>
          <w:color w:val="1C6E78"/>
          <w:sz w:val="21"/>
          <w:szCs w:val="21"/>
        </w:rPr>
        <w:t xml:space="preserve">Calm &amp; trustworthy: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deep teals, generous white space, no visual clutter, no ad-style noise.</w:t>
      </w:r>
    </w:p>
    <w:p>
      <w:pPr>
        <w:pStyle w:val="ListParagraph"/>
        <w:numPr>
          <w:ilvl w:val="0"/>
          <w:numId w:val="2"/>
        </w:numPr>
        <w:spacing w:after="90" w:line="282"/>
      </w:pPr>
      <w:r>
        <w:rPr>
          <w:rFonts w:ascii="Arial" w:cs="Arial" w:eastAsia="Arial" w:hAnsi="Arial"/>
          <w:b/>
          <w:bCs/>
          <w:color w:val="1C6E78"/>
          <w:sz w:val="21"/>
          <w:szCs w:val="21"/>
        </w:rPr>
        <w:t xml:space="preserve">Unified: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one consistent palette and type scale across all fourteen features and every surface.</w:t>
      </w:r>
    </w:p>
    <w:p>
      <w:pPr>
        <w:pStyle w:val="ListParagraph"/>
        <w:numPr>
          <w:ilvl w:val="0"/>
          <w:numId w:val="2"/>
        </w:numPr>
        <w:spacing w:after="90" w:line="282"/>
      </w:pPr>
      <w:r>
        <w:rPr>
          <w:rFonts w:ascii="Arial" w:cs="Arial" w:eastAsia="Arial" w:hAnsi="Arial"/>
          <w:b/>
          <w:bCs/>
          <w:color w:val="1C6E78"/>
          <w:sz w:val="21"/>
          <w:szCs w:val="21"/>
        </w:rPr>
        <w:t xml:space="preserve">Inclusive &amp; light: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high-contrast, legible type and lightweight assets that work on low-end devices and small screens.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6E78"/>
          <w:sz w:val="30"/>
          <w:szCs w:val="30"/>
        </w:rPr>
        <w:t xml:space="preserve">2.  Major brand colours</w:t>
      </w:r>
    </w:p>
    <w:p>
      <w:pPr>
        <w:spacing w:after="160" w:before="40" w:line="300"/>
      </w:pPr>
      <w:r>
        <w:rPr>
          <w:rFonts w:ascii="Arial" w:cs="Arial" w:eastAsia="Arial" w:hAnsi="Arial"/>
          <w:color w:val="586A6D"/>
          <w:sz w:val="21"/>
          <w:szCs w:val="21"/>
        </w:rPr>
        <w:t xml:space="preserve">OmniKin has three brand colours. These are the identity of the product — used for the logo, website and all branding. Everything in the wider palette (section 3) is built around and in service of these three.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8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 · PRIMARY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Teal 700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#1C6E78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8"/>
            </w:tcBorders>
            <w:shd w:fill="E2683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 · SECONDARY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Coral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#E2683C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A8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 · SECONDARY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Cornflower Blue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#2E5A87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/>
          <w:bCs/>
          <w:color w:val="1C6E78"/>
          <w:sz w:val="21"/>
          <w:szCs w:val="21"/>
        </w:rPr>
        <w:t xml:space="preserve">1.  Teal 700 — </w:t>
      </w:r>
      <w:r>
        <w:rPr>
          <w:rFonts w:ascii="Consolas" w:cs="Consolas" w:eastAsia="Consolas" w:hAnsi="Consolas"/>
          <w:color w:val="1C6E78"/>
          <w:sz w:val="21"/>
          <w:szCs w:val="21"/>
        </w:rPr>
        <w:t xml:space="preserve">#1C6E78</w:t>
      </w:r>
      <w:r>
        <w:rPr>
          <w:rFonts w:ascii="Arial" w:cs="Arial" w:eastAsia="Arial" w:hAnsi="Arial"/>
          <w:b/>
          <w:bCs/>
          <w:color w:val="1E2A2D"/>
          <w:sz w:val="21"/>
          <w:szCs w:val="21"/>
        </w:rPr>
        <w:t xml:space="preserve">  (primary, dominant).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The dominant brand colour and the foundation of the identity — logo, primary surfaces and the document/screen title. Its full tonal range (Teal 900–100, listed in section 3.1) extends this one colour across the whole product.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E2683C"/>
          <w:sz w:val="21"/>
          <w:szCs w:val="21"/>
        </w:rPr>
        <w:t xml:space="preserve">2.  Coral — </w:t>
      </w:r>
      <w:r>
        <w:rPr>
          <w:rFonts w:ascii="Consolas" w:cs="Consolas" w:eastAsia="Consolas" w:hAnsi="Consolas"/>
          <w:color w:val="E2683C"/>
          <w:sz w:val="21"/>
          <w:szCs w:val="21"/>
        </w:rPr>
        <w:t xml:space="preserve">#E2683C</w:t>
      </w:r>
      <w:r>
        <w:rPr>
          <w:rFonts w:ascii="Arial" w:cs="Arial" w:eastAsia="Arial" w:hAnsi="Arial"/>
          <w:b/>
          <w:bCs/>
          <w:color w:val="1E2A2D"/>
          <w:sz w:val="21"/>
          <w:szCs w:val="21"/>
        </w:rPr>
        <w:t xml:space="preserve">  (secondary, used sparingly).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The warm secondary that brings energy and human warmth. Reserved for the primary call-to-action and key highlights — deliberately rare so it always signals “act here”.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5A87"/>
          <w:sz w:val="21"/>
          <w:szCs w:val="21"/>
        </w:rPr>
        <w:t xml:space="preserve">3.  Cornflower Blue — </w:t>
      </w:r>
      <w:r>
        <w:rPr>
          <w:rFonts w:ascii="Consolas" w:cs="Consolas" w:eastAsia="Consolas" w:hAnsi="Consolas"/>
          <w:color w:val="2E5A87"/>
          <w:sz w:val="21"/>
          <w:szCs w:val="21"/>
        </w:rPr>
        <w:t xml:space="preserve">#2E5A87</w:t>
      </w:r>
      <w:r>
        <w:rPr>
          <w:rFonts w:ascii="Arial" w:cs="Arial" w:eastAsia="Arial" w:hAnsi="Arial"/>
          <w:b/>
          <w:bCs/>
          <w:color w:val="1E2A2D"/>
          <w:sz w:val="21"/>
          <w:szCs w:val="21"/>
        </w:rPr>
        <w:t xml:space="preserve">  (secondary, sub-headers).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The cool secondary (Google Docs: “Dark cornflower blue 3”). Its defined role is sub-headers — H2 sub-headings throughout the product and documents — giving a clear teal-to-blue step down the heading hierarchy.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6E78"/>
          <w:sz w:val="30"/>
          <w:szCs w:val="30"/>
        </w:rPr>
        <w:t xml:space="preserve">3.  Colour palette</w:t>
      </w:r>
    </w:p>
    <w:p>
      <w:pPr>
        <w:spacing w:after="160" w:before="40" w:line="300"/>
      </w:pPr>
      <w:r>
        <w:rPr>
          <w:rFonts w:ascii="Arial" w:cs="Arial" w:eastAsia="Arial" w:hAnsi="Arial"/>
          <w:color w:val="586A6D"/>
          <w:sz w:val="21"/>
          <w:szCs w:val="21"/>
        </w:rPr>
        <w:t xml:space="preserve">The palette is a teal-anchored tonal system plus a warm accent, a differentiator green, neutrals, and functional colours. Use tokens, not ad-hoc hex values.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A87"/>
          <w:sz w:val="24"/>
          <w:szCs w:val="24"/>
        </w:rPr>
        <w:t xml:space="preserve">3.1  Core brand — teal ramp</w:t>
      </w:r>
    </w:p>
    <w:p>
      <w:pPr>
        <w:spacing w:after="140" w:before="0" w:line="288"/>
      </w:pPr>
      <w:r>
        <w:rPr>
          <w:rFonts w:ascii="Arial" w:cs="Arial" w:eastAsia="Arial" w:hAnsi="Arial"/>
          <w:color w:val="1E2A2D"/>
          <w:sz w:val="21"/>
          <w:szCs w:val="21"/>
        </w:rPr>
        <w:t xml:space="preserve">The teal ramp carries the brand. Teal 700 is the anchor (titles and logo); darker tones add depth for headings and dark surfaces; lighter tones and tints handle borders, fills and backgrounds.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50"/>
        <w:gridCol w:w="1576"/>
        <w:gridCol w:w="3800"/>
      </w:tblGrid>
      <w:tr>
        <w:trPr>
          <w:tblHeader/>
        </w:trP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is used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0E3A4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#0E3A40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Teal 900 / Ink-teal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#0E3A40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Darkest surfaces, footers on dark, deep contrast text.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4525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#14525B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Teal 800 / Deep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#14525B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Dark UI bars, deep contrast surfaces, strong emphasis on light backgrounds.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#1C6E78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Teal 700 / Primary  ★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#1C6E78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Brand anchor: document &amp; screen titles (H1), logo, primary buttons.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2A8C99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#2A8C99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Teal 500 / Interactive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#2A8C99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Links, secondary buttons, active icons, selected states.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74B7C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A2D"/>
                <w:sz w:val="16"/>
                <w:szCs w:val="16"/>
              </w:rPr>
              <w:t xml:space="preserve">#74B7C0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Teal 300 / Light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#74B7C0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Hover states, dividers on teal, chart secondary, illustration.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E4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A2D"/>
                <w:sz w:val="16"/>
                <w:szCs w:val="16"/>
              </w:rPr>
              <w:t xml:space="preserve">#E4F0F1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Teal 100 / Tint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#E4F0F1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Table header fills (light variant), info panels, section backgrounds.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86A6D"/>
          <w:sz w:val="17"/>
          <w:szCs w:val="17"/>
        </w:rPr>
        <w:t xml:space="preserve">Figure 1. The teal ramp. Teal 700 (#1C6E78) is the immovable anchor; the rest are derived tones for hierarchy and surface.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A87"/>
          <w:sz w:val="24"/>
          <w:szCs w:val="24"/>
        </w:rPr>
        <w:t xml:space="preserve">3.2  Accents &amp; secondary brand</w:t>
      </w:r>
    </w:p>
    <w:p>
      <w:pPr>
        <w:spacing w:after="140" w:before="0" w:line="288"/>
      </w:pPr>
      <w:r>
        <w:rPr>
          <w:rFonts w:ascii="Arial" w:cs="Arial" w:eastAsia="Arial" w:hAnsi="Arial"/>
          <w:color w:val="1E2A2D"/>
          <w:sz w:val="21"/>
          <w:szCs w:val="21"/>
        </w:rPr>
        <w:t xml:space="preserve">Two of OmniKin’s three brand colours live here. Warm coral is the secondary accent — the call-to-action and highlight colour. Cornflower blue is the secondary sub-header colour. Differentiator green flags where OmniKin beats incumbents and doubles as the success state.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50"/>
        <w:gridCol w:w="1576"/>
        <w:gridCol w:w="3800"/>
      </w:tblGrid>
      <w:tr>
        <w:trPr>
          <w:tblHeader/>
        </w:trP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is used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E2683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#E2683C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Coral / Accent  ★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#E2683C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Brand secondary. Primary call-to-action, key highlights, “new” / attention markers. Use sparingly.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FBE7DD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A2D"/>
                <w:sz w:val="16"/>
                <w:szCs w:val="16"/>
              </w:rPr>
              <w:t xml:space="preserve">#FBE7DD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Coral 100 / Tint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#FBE7DD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CTA hover wash, highlight panel backgrounds.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2E5A8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#2E5A87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Cornflower Blue / Sub-head  ★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#2E5A87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Brand secondary. Sub-headings (H2) across product and documents; secondary section labels.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E6EDF3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A2D"/>
                <w:sz w:val="16"/>
                <w:szCs w:val="16"/>
              </w:rPr>
              <w:t xml:space="preserve">#E6EDF3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Blue 100 / Tint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#E6EDF3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Sub-section background bands, quiet info panels under a blue sub-head.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2E8C5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#2E8C5A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Green / Differentiator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#2E8C5A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Differentiator badges (★), success states, positive confirmations.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E1F1E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A2D"/>
                <w:sz w:val="16"/>
                <w:szCs w:val="16"/>
              </w:rPr>
              <w:t xml:space="preserve">#E1F1E7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Green 100 / Tint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#E1F1E7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Differentiator badge background, success-panel fill.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8C5A" w:sz="24"/>
              <w:bottom w:val="none" w:color="FFFFFF" w:sz="0"/>
              <w:right w:val="none" w:color="FFFFFF" w:sz="0"/>
            </w:tcBorders>
            <w:shd w:fill="E1F1E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C5A"/>
                <w:sz w:val="19"/>
                <w:szCs w:val="19"/>
              </w:rPr>
              <w:t xml:space="preserve">★ DIFFERENTIATOR  </w:t>
            </w: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Green badge — used to flag where OmniKin diverges from competitors. Green </w:t>
            </w:r>
            <w:r>
              <w:rPr>
                <w:rFonts w:ascii="Consolas" w:cs="Consolas" w:eastAsia="Consolas" w:hAnsi="Consolas"/>
                <w:color w:val="2E8C5A"/>
                <w:sz w:val="19"/>
                <w:szCs w:val="19"/>
              </w:rPr>
              <w:t xml:space="preserve">#2E8C5A</w:t>
            </w: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 on a pale green </w:t>
            </w:r>
            <w:r>
              <w:rPr>
                <w:rFonts w:ascii="Consolas" w:cs="Consolas" w:eastAsia="Consolas" w:hAnsi="Consolas"/>
                <w:color w:val="2E8C5A"/>
                <w:sz w:val="19"/>
                <w:szCs w:val="19"/>
              </w:rPr>
              <w:t xml:space="preserve">#E1F1E7</w:t>
            </w: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 panel with a 3pt green left border.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86A6D"/>
          <w:sz w:val="17"/>
          <w:szCs w:val="17"/>
        </w:rPr>
        <w:t xml:space="preserve">Figure 2. The differentiator badge, rebuilt from the tokens above — the same pattern used throughout the Feature Specification.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A87"/>
          <w:sz w:val="24"/>
          <w:szCs w:val="24"/>
        </w:rPr>
        <w:t xml:space="preserve">3.3  Neutrals</w:t>
      </w:r>
    </w:p>
    <w:p>
      <w:pPr>
        <w:spacing w:after="140" w:before="0" w:line="288"/>
      </w:pPr>
      <w:r>
        <w:rPr>
          <w:rFonts w:ascii="Arial" w:cs="Arial" w:eastAsia="Arial" w:hAnsi="Arial"/>
          <w:color w:val="1E2A2D"/>
          <w:sz w:val="21"/>
          <w:szCs w:val="21"/>
        </w:rPr>
        <w:t xml:space="preserve">Neutrals carry text and structure. They are warmed very slightly toward teal so nothing on the page feels cold or detached from the brand.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50"/>
        <w:gridCol w:w="1576"/>
        <w:gridCol w:w="3800"/>
      </w:tblGrid>
      <w:tr>
        <w:trPr>
          <w:tblHeader/>
        </w:trP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is used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E2A2D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#1E2A2D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Ink / Body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#1E2A2D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Default body text, primary labels, icons on light surfaces.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586A6D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#586A6D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Slate / Secondary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#586A6D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Secondary text, lead paragraphs, captions, helper text.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8A999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A2D"/>
                <w:sz w:val="16"/>
                <w:szCs w:val="16"/>
              </w:rPr>
              <w:t xml:space="preserve">#8A999B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Muted / Tertiary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#8A999B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Disabled text, placeholders, footer meta, fine print.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DCE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A2D"/>
                <w:sz w:val="16"/>
                <w:szCs w:val="16"/>
              </w:rPr>
              <w:t xml:space="preserve">#DCE5E6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Hairline / Border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#DCE5E6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Dividers, table borders, input outlines, card edges.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F6FAF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A2D"/>
                <w:sz w:val="16"/>
                <w:szCs w:val="16"/>
              </w:rPr>
              <w:t xml:space="preserve">#F6FAFA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Canvas / Off-white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#F6FAFA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App background, alternating table rows, resting surfaces.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A2D"/>
                <w:sz w:val="16"/>
                <w:szCs w:val="16"/>
              </w:rPr>
              <w:t xml:space="preserve">#FFFFFF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Surface / White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#FFFFFF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Cards, sheets, primary content surface, page background.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A87"/>
          <w:sz w:val="24"/>
          <w:szCs w:val="24"/>
        </w:rPr>
        <w:t xml:space="preserve">3.4  Functional colours</w:t>
      </w:r>
    </w:p>
    <w:p>
      <w:pPr>
        <w:spacing w:after="140" w:before="0" w:line="288"/>
      </w:pPr>
      <w:r>
        <w:rPr>
          <w:rFonts w:ascii="Arial" w:cs="Arial" w:eastAsia="Arial" w:hAnsi="Arial"/>
          <w:color w:val="1E2A2D"/>
          <w:sz w:val="21"/>
          <w:szCs w:val="21"/>
        </w:rPr>
        <w:t xml:space="preserve">Reserved strictly for system feedback so meaning stays unambiguous. Never use functional colours decoratively.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50"/>
        <w:gridCol w:w="1576"/>
        <w:gridCol w:w="3800"/>
      </w:tblGrid>
      <w:tr>
        <w:trPr>
          <w:tblHeader/>
        </w:trP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is used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2E8C5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#2E8C5A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Success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#2E8C5A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Completed, confirmed, saved, online (shares the differentiator green).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E0A53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#E0A53C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Warning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#E0A53C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Needs attention, expiring document, allergy/dietary flag, quota near limit.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C9453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#C9453B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Error / Destructive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#C9453B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Failed action, validation error, destructive confirm (delete).</w:t>
            </w:r>
          </w:p>
        </w:tc>
      </w:tr>
      <w:tr>
        <w:tc>
          <w:tcPr>
            <w:tcW w:type="dxa" w:w="1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2A8C99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#2A8C99</w:t>
            </w:r>
          </w:p>
        </w:tc>
        <w:tc>
          <w:tcPr>
            <w:tcW w:type="dxa" w:w="215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Info</w:t>
            </w:r>
          </w:p>
        </w:tc>
        <w:tc>
          <w:tcPr>
            <w:tcW w:type="dxa" w:w="157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586A6D"/>
                <w:sz w:val="19"/>
                <w:szCs w:val="19"/>
              </w:rPr>
              <w:t xml:space="preserve">#2A8C99</w:t>
            </w:r>
          </w:p>
        </w:tc>
        <w:tc>
          <w:tcPr>
            <w:tcW w:type="dxa" w:w="38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Neutral information, tips, offline/cached notices (reuses Teal 500).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6E78"/>
          <w:sz w:val="30"/>
          <w:szCs w:val="30"/>
        </w:rPr>
        <w:t xml:space="preserve">4.  Colour application map</w:t>
      </w:r>
    </w:p>
    <w:p>
      <w:pPr>
        <w:spacing w:after="160" w:before="40" w:line="300"/>
      </w:pPr>
      <w:r>
        <w:rPr>
          <w:rFonts w:ascii="Arial" w:cs="Arial" w:eastAsia="Arial" w:hAnsi="Arial"/>
          <w:color w:val="586A6D"/>
          <w:sz w:val="21"/>
          <w:szCs w:val="21"/>
        </w:rPr>
        <w:t xml:space="preserve">The fixed rule set. When in doubt, this table wins — the same element is always the same token.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26"/>
        <w:gridCol w:w="2900"/>
      </w:tblGrid>
      <w:tr>
        <w:trPr>
          <w:tblHeader/>
        </w:trPr>
        <w:tc>
          <w:tcPr>
            <w:tcW w:type="dxa" w:w="3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8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Document / screen title (H1)</w:t>
            </w:r>
          </w:p>
        </w:tc>
        <w:tc>
          <w:tcPr>
            <w:tcW w:type="dxa" w:w="28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Teal 700</w:t>
            </w:r>
          </w:p>
        </w:tc>
        <w:tc>
          <w:tcPr>
            <w:tcW w:type="dxa" w:w="2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#1C6E78</w:t>
            </w:r>
          </w:p>
        </w:tc>
      </w:tr>
      <w:tr>
        <w:tc>
          <w:tcPr>
            <w:tcW w:type="dxa" w:w="3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Sub-heading (H2)</w:t>
            </w:r>
          </w:p>
        </w:tc>
        <w:tc>
          <w:tcPr>
            <w:tcW w:type="dxa" w:w="28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E5A87"/>
                <w:sz w:val="19"/>
                <w:szCs w:val="19"/>
              </w:rPr>
              <w:t xml:space="preserve">Cornflower Blue</w:t>
            </w:r>
          </w:p>
        </w:tc>
        <w:tc>
          <w:tcPr>
            <w:tcW w:type="dxa" w:w="2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2E5A8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#2E5A87</w:t>
            </w:r>
          </w:p>
        </w:tc>
      </w:tr>
      <w:tr>
        <w:tc>
          <w:tcPr>
            <w:tcW w:type="dxa" w:w="3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Minor heading (H3) / labels</w:t>
            </w:r>
          </w:p>
        </w:tc>
        <w:tc>
          <w:tcPr>
            <w:tcW w:type="dxa" w:w="28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586A6D"/>
                <w:sz w:val="19"/>
                <w:szCs w:val="19"/>
              </w:rPr>
              <w:t xml:space="preserve">Slate</w:t>
            </w:r>
          </w:p>
        </w:tc>
        <w:tc>
          <w:tcPr>
            <w:tcW w:type="dxa" w:w="2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586A6D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#586A6D</w:t>
            </w:r>
          </w:p>
        </w:tc>
      </w:tr>
      <w:tr>
        <w:tc>
          <w:tcPr>
            <w:tcW w:type="dxa" w:w="3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Body text</w:t>
            </w:r>
          </w:p>
        </w:tc>
        <w:tc>
          <w:tcPr>
            <w:tcW w:type="dxa" w:w="28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A2D"/>
                <w:sz w:val="19"/>
                <w:szCs w:val="19"/>
              </w:rPr>
              <w:t xml:space="preserve">Ink</w:t>
            </w:r>
          </w:p>
        </w:tc>
        <w:tc>
          <w:tcPr>
            <w:tcW w:type="dxa" w:w="2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E2A2D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#1E2A2D</w:t>
            </w:r>
          </w:p>
        </w:tc>
      </w:tr>
      <w:tr>
        <w:tc>
          <w:tcPr>
            <w:tcW w:type="dxa" w:w="3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Secondary / lead text &amp; captions</w:t>
            </w:r>
          </w:p>
        </w:tc>
        <w:tc>
          <w:tcPr>
            <w:tcW w:type="dxa" w:w="28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586A6D"/>
                <w:sz w:val="19"/>
                <w:szCs w:val="19"/>
              </w:rPr>
              <w:t xml:space="preserve">Slate</w:t>
            </w:r>
          </w:p>
        </w:tc>
        <w:tc>
          <w:tcPr>
            <w:tcW w:type="dxa" w:w="2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586A6D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#586A6D</w:t>
            </w:r>
          </w:p>
        </w:tc>
      </w:tr>
      <w:tr>
        <w:tc>
          <w:tcPr>
            <w:tcW w:type="dxa" w:w="3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Primary button (fill)</w:t>
            </w:r>
          </w:p>
        </w:tc>
        <w:tc>
          <w:tcPr>
            <w:tcW w:type="dxa" w:w="28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Teal 700</w:t>
            </w:r>
          </w:p>
        </w:tc>
        <w:tc>
          <w:tcPr>
            <w:tcW w:type="dxa" w:w="2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white text</w:t>
            </w:r>
          </w:p>
        </w:tc>
      </w:tr>
      <w:tr>
        <w:tc>
          <w:tcPr>
            <w:tcW w:type="dxa" w:w="3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Primary CTA (fill)</w:t>
            </w:r>
          </w:p>
        </w:tc>
        <w:tc>
          <w:tcPr>
            <w:tcW w:type="dxa" w:w="28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E2683C"/>
                <w:sz w:val="19"/>
                <w:szCs w:val="19"/>
              </w:rPr>
              <w:t xml:space="preserve">Coral</w:t>
            </w:r>
          </w:p>
        </w:tc>
        <w:tc>
          <w:tcPr>
            <w:tcW w:type="dxa" w:w="2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E2683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white text</w:t>
            </w:r>
          </w:p>
        </w:tc>
      </w:tr>
      <w:tr>
        <w:tc>
          <w:tcPr>
            <w:tcW w:type="dxa" w:w="3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Secondary button / link</w:t>
            </w:r>
          </w:p>
        </w:tc>
        <w:tc>
          <w:tcPr>
            <w:tcW w:type="dxa" w:w="28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8C99"/>
                <w:sz w:val="19"/>
                <w:szCs w:val="19"/>
              </w:rPr>
              <w:t xml:space="preserve">Teal 500</w:t>
            </w:r>
          </w:p>
        </w:tc>
        <w:tc>
          <w:tcPr>
            <w:tcW w:type="dxa" w:w="2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2A8C99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#2A8C99</w:t>
            </w:r>
          </w:p>
        </w:tc>
      </w:tr>
      <w:tr>
        <w:tc>
          <w:tcPr>
            <w:tcW w:type="dxa" w:w="3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Table / section header fill</w:t>
            </w:r>
          </w:p>
        </w:tc>
        <w:tc>
          <w:tcPr>
            <w:tcW w:type="dxa" w:w="28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4525B"/>
                <w:sz w:val="19"/>
                <w:szCs w:val="19"/>
              </w:rPr>
              <w:t xml:space="preserve">Teal 700 (or Teal 100)</w:t>
            </w:r>
          </w:p>
        </w:tc>
        <w:tc>
          <w:tcPr>
            <w:tcW w:type="dxa" w:w="2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E4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A2D"/>
                <w:sz w:val="16"/>
                <w:szCs w:val="16"/>
              </w:rPr>
              <w:t xml:space="preserve">#E4F0F1</w:t>
            </w:r>
          </w:p>
        </w:tc>
      </w:tr>
      <w:tr>
        <w:tc>
          <w:tcPr>
            <w:tcW w:type="dxa" w:w="3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Differentiator badge</w:t>
            </w:r>
          </w:p>
        </w:tc>
        <w:tc>
          <w:tcPr>
            <w:tcW w:type="dxa" w:w="28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E8C5A"/>
                <w:sz w:val="19"/>
                <w:szCs w:val="19"/>
              </w:rPr>
              <w:t xml:space="preserve">Green on Green 100</w:t>
            </w:r>
          </w:p>
        </w:tc>
        <w:tc>
          <w:tcPr>
            <w:tcW w:type="dxa" w:w="2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2E8C5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#2E8C5A</w:t>
            </w:r>
          </w:p>
        </w:tc>
      </w:tr>
      <w:tr>
        <w:tc>
          <w:tcPr>
            <w:tcW w:type="dxa" w:w="3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Divider / border / input outline</w:t>
            </w:r>
          </w:p>
        </w:tc>
        <w:tc>
          <w:tcPr>
            <w:tcW w:type="dxa" w:w="28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586A6D"/>
                <w:sz w:val="19"/>
                <w:szCs w:val="19"/>
              </w:rPr>
              <w:t xml:space="preserve">Hairline</w:t>
            </w:r>
          </w:p>
        </w:tc>
        <w:tc>
          <w:tcPr>
            <w:tcW w:type="dxa" w:w="2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DCE5E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A2D"/>
                <w:sz w:val="16"/>
                <w:szCs w:val="16"/>
              </w:rPr>
              <w:t xml:space="preserve">#DCE5E6</w:t>
            </w:r>
          </w:p>
        </w:tc>
      </w:tr>
      <w:tr>
        <w:tc>
          <w:tcPr>
            <w:tcW w:type="dxa" w:w="3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App / page background</w:t>
            </w:r>
          </w:p>
        </w:tc>
        <w:tc>
          <w:tcPr>
            <w:tcW w:type="dxa" w:w="28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586A6D"/>
                <w:sz w:val="19"/>
                <w:szCs w:val="19"/>
              </w:rPr>
              <w:t xml:space="preserve">Canvas or White</w:t>
            </w:r>
          </w:p>
        </w:tc>
        <w:tc>
          <w:tcPr>
            <w:tcW w:type="dxa" w:w="2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F6FAF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A2D"/>
                <w:sz w:val="16"/>
                <w:szCs w:val="16"/>
              </w:rPr>
              <w:t xml:space="preserve">#F6FAFA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86A6D"/>
          <w:sz w:val="17"/>
          <w:szCs w:val="17"/>
        </w:rPr>
        <w:t xml:space="preserve">Figure 3. Element-to-token map. This is the part most teams reach for daily.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6E78"/>
          <w:sz w:val="30"/>
          <w:szCs w:val="30"/>
        </w:rPr>
        <w:t xml:space="preserve">5.  Typography</w:t>
      </w:r>
    </w:p>
    <w:p>
      <w:pPr>
        <w:spacing w:after="160" w:before="40" w:line="300"/>
      </w:pPr>
      <w:r>
        <w:rPr>
          <w:rFonts w:ascii="Arial" w:cs="Arial" w:eastAsia="Arial" w:hAnsi="Arial"/>
          <w:color w:val="586A6D"/>
          <w:sz w:val="21"/>
          <w:szCs w:val="21"/>
        </w:rPr>
        <w:t xml:space="preserve">One typeface family does everything. Clear hierarchy comes from size and weight, not from switching fonts.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A87"/>
          <w:sz w:val="24"/>
          <w:szCs w:val="24"/>
        </w:rPr>
        <w:t xml:space="preserve">5.1  Typefaces</w:t>
      </w:r>
    </w:p>
    <w:p>
      <w:pPr>
        <w:pStyle w:val="ListParagraph"/>
        <w:numPr>
          <w:ilvl w:val="0"/>
          <w:numId w:val="2"/>
        </w:numPr>
        <w:spacing w:after="90" w:line="282"/>
      </w:pPr>
      <w:r>
        <w:rPr>
          <w:rFonts w:ascii="Arial" w:cs="Arial" w:eastAsia="Arial" w:hAnsi="Arial"/>
          <w:b/>
          <w:bCs/>
          <w:color w:val="1C6E78"/>
          <w:sz w:val="21"/>
          <w:szCs w:val="21"/>
        </w:rPr>
        <w:t xml:space="preserve">Product UI (primary):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Inter. Chosen for excellent small-size legibility, a low-bandwidth variable-font build, broad language coverage (including the Latin set behind Swahili and other localisations) and tabular figures for expense tracking. Stack: Inter, “Segoe UI”, Roboto, system-ui, Arial, sans-serif.</w:t>
      </w:r>
    </w:p>
    <w:p>
      <w:pPr>
        <w:pStyle w:val="ListParagraph"/>
        <w:numPr>
          <w:ilvl w:val="0"/>
          <w:numId w:val="2"/>
        </w:numPr>
        <w:spacing w:after="90" w:line="282"/>
      </w:pPr>
      <w:r>
        <w:rPr>
          <w:rFonts w:ascii="Arial" w:cs="Arial" w:eastAsia="Arial" w:hAnsi="Arial"/>
          <w:b/>
          <w:bCs/>
          <w:color w:val="1C6E78"/>
          <w:sz w:val="21"/>
          <w:szCs w:val="21"/>
        </w:rPr>
        <w:t xml:space="preserve">Documents (Word / Google Docs):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Arial as the rendering-safe equivalent of Inter, so reports and specs match the product without font-substitution surprises. Calibri is an acceptable fallback.</w:t>
      </w:r>
    </w:p>
    <w:p>
      <w:pPr>
        <w:pStyle w:val="ListParagraph"/>
        <w:numPr>
          <w:ilvl w:val="0"/>
          <w:numId w:val="2"/>
        </w:numPr>
        <w:spacing w:after="90" w:line="282"/>
      </w:pPr>
      <w:r>
        <w:rPr>
          <w:rFonts w:ascii="Arial" w:cs="Arial" w:eastAsia="Arial" w:hAnsi="Arial"/>
          <w:b/>
          <w:bCs/>
          <w:color w:val="1C6E78"/>
          <w:sz w:val="21"/>
          <w:szCs w:val="21"/>
        </w:rPr>
        <w:t xml:space="preserve">Monospace (codes &amp; data):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Roboto Mono / system monospace for OTPs, IDs, hex values and anything that must align by character.</w:t>
      </w:r>
    </w:p>
    <w:p>
      <w:pPr>
        <w:spacing w:after="140" w:before="0" w:line="288"/>
      </w:pPr>
      <w:r>
        <w:rPr>
          <w:rFonts w:ascii="Arial" w:cs="Arial" w:eastAsia="Arial" w:hAnsi="Arial"/>
          <w:color w:val="1E2A2D"/>
          <w:sz w:val="21"/>
          <w:szCs w:val="21"/>
        </w:rPr>
        <w:t xml:space="preserve">Default character style: sentence case for everything except the wordmark; left-aligned; never justified. Default body line-height is 1.5; headings 1.2–1.3. Em dashes ( — ) and true smart quotes ( “ ” ‘ ’ ) throughout.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A87"/>
          <w:sz w:val="24"/>
          <w:szCs w:val="24"/>
        </w:rPr>
        <w:t xml:space="preserve">5.2  Type scale &amp; roles</w:t>
      </w:r>
    </w:p>
    <w:p>
      <w:pPr>
        <w:spacing w:after="140" w:before="0" w:line="288"/>
      </w:pPr>
      <w:r>
        <w:rPr>
          <w:rFonts w:ascii="Arial" w:cs="Arial" w:eastAsia="Arial" w:hAnsi="Arial"/>
          <w:color w:val="1E2A2D"/>
          <w:sz w:val="21"/>
          <w:szCs w:val="21"/>
        </w:rPr>
        <w:t xml:space="preserve">Document point sizes are shown first, with the equivalent product-UI pixel size in brackets. Weights map to Inter / Arial weights.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900"/>
        <w:gridCol w:w="2326"/>
      </w:tblGrid>
      <w:tr>
        <w:trPr>
          <w:tblHeader/>
        </w:trPr>
        <w:tc>
          <w:tcPr>
            <w:tcW w:type="dxa" w:w="2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 · Weight</w:t>
            </w:r>
          </w:p>
        </w:tc>
        <w:tc>
          <w:tcPr>
            <w:tcW w:type="dxa" w:w="1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(doc / UI)</w:t>
            </w:r>
          </w:p>
        </w:tc>
        <w:tc>
          <w:tcPr>
            <w:tcW w:type="dxa" w:w="23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shd w:fill="1C6E7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</w:tr>
      <w:tr>
        <w:tc>
          <w:tcPr>
            <w:tcW w:type="dxa" w:w="2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Display / cover title</w:t>
            </w:r>
          </w:p>
        </w:tc>
        <w:tc>
          <w:tcPr>
            <w:tcW w:type="dxa" w:w="2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Inter / Arial · Bold</w:t>
            </w:r>
          </w:p>
        </w:tc>
        <w:tc>
          <w:tcPr>
            <w:tcW w:type="dxa" w:w="1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28 pt (32 px)</w:t>
            </w:r>
          </w:p>
        </w:tc>
        <w:tc>
          <w:tcPr>
            <w:tcW w:type="dxa" w:w="23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C6E78"/>
                <w:sz w:val="19"/>
                <w:szCs w:val="19"/>
              </w:rPr>
              <w:t xml:space="preserve">Teal 700</w:t>
            </w:r>
          </w:p>
        </w:tc>
      </w:tr>
      <w:tr>
        <w:tc>
          <w:tcPr>
            <w:tcW w:type="dxa" w:w="2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H1 — section title</w:t>
            </w:r>
          </w:p>
        </w:tc>
        <w:tc>
          <w:tcPr>
            <w:tcW w:type="dxa" w:w="2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Bold</w:t>
            </w:r>
          </w:p>
        </w:tc>
        <w:tc>
          <w:tcPr>
            <w:tcW w:type="dxa" w:w="1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20–22 pt (24–28 px)</w:t>
            </w:r>
          </w:p>
        </w:tc>
        <w:tc>
          <w:tcPr>
            <w:tcW w:type="dxa" w:w="23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C6E78"/>
                <w:sz w:val="19"/>
                <w:szCs w:val="19"/>
              </w:rPr>
              <w:t xml:space="preserve">Teal 700</w:t>
            </w:r>
          </w:p>
        </w:tc>
      </w:tr>
      <w:tr>
        <w:tc>
          <w:tcPr>
            <w:tcW w:type="dxa" w:w="2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H2 — sub-heading</w:t>
            </w:r>
          </w:p>
        </w:tc>
        <w:tc>
          <w:tcPr>
            <w:tcW w:type="dxa" w:w="2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Bold / Semibold</w:t>
            </w:r>
          </w:p>
        </w:tc>
        <w:tc>
          <w:tcPr>
            <w:tcW w:type="dxa" w:w="1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16 pt (20 px)</w:t>
            </w:r>
          </w:p>
        </w:tc>
        <w:tc>
          <w:tcPr>
            <w:tcW w:type="dxa" w:w="23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E5A87"/>
                <w:sz w:val="19"/>
                <w:szCs w:val="19"/>
              </w:rPr>
              <w:t xml:space="preserve">Cornflower Blue</w:t>
            </w:r>
          </w:p>
        </w:tc>
      </w:tr>
      <w:tr>
        <w:tc>
          <w:tcPr>
            <w:tcW w:type="dxa" w:w="2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H3 — minor heading</w:t>
            </w:r>
          </w:p>
        </w:tc>
        <w:tc>
          <w:tcPr>
            <w:tcW w:type="dxa" w:w="2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Semibold</w:t>
            </w:r>
          </w:p>
        </w:tc>
        <w:tc>
          <w:tcPr>
            <w:tcW w:type="dxa" w:w="1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13 pt (16 px)</w:t>
            </w:r>
          </w:p>
        </w:tc>
        <w:tc>
          <w:tcPr>
            <w:tcW w:type="dxa" w:w="23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586A6D"/>
                <w:sz w:val="19"/>
                <w:szCs w:val="19"/>
              </w:rPr>
              <w:t xml:space="preserve">Slate</w:t>
            </w:r>
          </w:p>
        </w:tc>
      </w:tr>
      <w:tr>
        <w:tc>
          <w:tcPr>
            <w:tcW w:type="dxa" w:w="2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Lead / intro paragraph</w:t>
            </w:r>
          </w:p>
        </w:tc>
        <w:tc>
          <w:tcPr>
            <w:tcW w:type="dxa" w:w="2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Regular</w:t>
            </w:r>
          </w:p>
        </w:tc>
        <w:tc>
          <w:tcPr>
            <w:tcW w:type="dxa" w:w="1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12.5 pt (18 px)</w:t>
            </w:r>
          </w:p>
        </w:tc>
        <w:tc>
          <w:tcPr>
            <w:tcW w:type="dxa" w:w="23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586A6D"/>
                <w:sz w:val="19"/>
                <w:szCs w:val="19"/>
              </w:rPr>
              <w:t xml:space="preserve">Slate</w:t>
            </w:r>
          </w:p>
        </w:tc>
      </w:tr>
      <w:tr>
        <w:tc>
          <w:tcPr>
            <w:tcW w:type="dxa" w:w="2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Body</w:t>
            </w:r>
          </w:p>
        </w:tc>
        <w:tc>
          <w:tcPr>
            <w:tcW w:type="dxa" w:w="2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Regular</w:t>
            </w:r>
          </w:p>
        </w:tc>
        <w:tc>
          <w:tcPr>
            <w:tcW w:type="dxa" w:w="1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11 pt (16 px)</w:t>
            </w:r>
          </w:p>
        </w:tc>
        <w:tc>
          <w:tcPr>
            <w:tcW w:type="dxa" w:w="23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A2D"/>
                <w:sz w:val="19"/>
                <w:szCs w:val="19"/>
              </w:rPr>
              <w:t xml:space="preserve">Ink</w:t>
            </w:r>
          </w:p>
        </w:tc>
      </w:tr>
      <w:tr>
        <w:tc>
          <w:tcPr>
            <w:tcW w:type="dxa" w:w="2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Button / UI label</w:t>
            </w:r>
          </w:p>
        </w:tc>
        <w:tc>
          <w:tcPr>
            <w:tcW w:type="dxa" w:w="2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Semibold</w:t>
            </w:r>
          </w:p>
        </w:tc>
        <w:tc>
          <w:tcPr>
            <w:tcW w:type="dxa" w:w="1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10.5 pt (14 px)</w:t>
            </w:r>
          </w:p>
        </w:tc>
        <w:tc>
          <w:tcPr>
            <w:tcW w:type="dxa" w:w="23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586A6D"/>
                <w:sz w:val="19"/>
                <w:szCs w:val="19"/>
              </w:rPr>
              <w:t xml:space="preserve">White on fill</w:t>
            </w:r>
          </w:p>
        </w:tc>
      </w:tr>
      <w:tr>
        <w:tc>
          <w:tcPr>
            <w:tcW w:type="dxa" w:w="2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Caption / figure label</w:t>
            </w:r>
          </w:p>
        </w:tc>
        <w:tc>
          <w:tcPr>
            <w:tcW w:type="dxa" w:w="2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Italic</w:t>
            </w:r>
          </w:p>
        </w:tc>
        <w:tc>
          <w:tcPr>
            <w:tcW w:type="dxa" w:w="1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9 pt (13 px)</w:t>
            </w:r>
          </w:p>
        </w:tc>
        <w:tc>
          <w:tcPr>
            <w:tcW w:type="dxa" w:w="23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586A6D"/>
                <w:sz w:val="19"/>
                <w:szCs w:val="19"/>
              </w:rPr>
              <w:t xml:space="preserve">Slate</w:t>
            </w:r>
          </w:p>
        </w:tc>
      </w:tr>
      <w:tr>
        <w:tc>
          <w:tcPr>
            <w:tcW w:type="dxa" w:w="25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Fine print / meta</w:t>
            </w:r>
          </w:p>
        </w:tc>
        <w:tc>
          <w:tcPr>
            <w:tcW w:type="dxa" w:w="23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Regular</w:t>
            </w:r>
          </w:p>
        </w:tc>
        <w:tc>
          <w:tcPr>
            <w:tcW w:type="dxa" w:w="1900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A2D"/>
                <w:sz w:val="19"/>
                <w:szCs w:val="19"/>
              </w:rPr>
              <w:t xml:space="preserve">8 pt (12 px)</w:t>
            </w:r>
          </w:p>
        </w:tc>
        <w:tc>
          <w:tcPr>
            <w:tcW w:type="dxa" w:w="2326"/>
            <w:tcBorders>
              <w:top w:val="single" w:color="DCE5E6" w:sz="4"/>
              <w:left w:val="single" w:color="DCE5E6" w:sz="4"/>
              <w:bottom w:val="single" w:color="DCE5E6" w:sz="4"/>
              <w:right w:val="single" w:color="DCE5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8A999B"/>
                <w:sz w:val="19"/>
                <w:szCs w:val="19"/>
              </w:rPr>
              <w:t xml:space="preserve">Muted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86A6D"/>
          <w:sz w:val="17"/>
          <w:szCs w:val="17"/>
        </w:rPr>
        <w:t xml:space="preserve">Figure 4. The type scale. Hierarchy is driven by size, weight and colour — the family never changes.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A87"/>
          <w:sz w:val="24"/>
          <w:szCs w:val="24"/>
        </w:rPr>
        <w:t xml:space="preserve">5.3  Specimen</w:t>
      </w:r>
    </w:p>
    <w:p>
      <w:pPr>
        <w:spacing w:after="140" w:before="0" w:line="288"/>
      </w:pPr>
      <w:r>
        <w:rPr>
          <w:rFonts w:ascii="Arial" w:cs="Arial" w:eastAsia="Arial" w:hAnsi="Arial"/>
          <w:color w:val="1E2A2D"/>
          <w:sz w:val="21"/>
          <w:szCs w:val="21"/>
        </w:rPr>
        <w:t xml:space="preserve">The roles above, rendered:</w:t>
      </w:r>
    </w:p>
    <w:p>
      <w:pPr>
        <w:spacing w:after="60" w:before="60"/>
      </w:pPr>
      <w:r>
        <w:rPr>
          <w:rFonts w:ascii="Arial" w:cs="Arial" w:eastAsia="Arial" w:hAnsi="Arial"/>
          <w:color w:val="8A999B"/>
          <w:sz w:val="15"/>
          <w:szCs w:val="15"/>
        </w:rPr>
        <w:t xml:space="preserve">Cover / Display   </w:t>
      </w:r>
      <w:r>
        <w:rPr>
          <w:rFonts w:ascii="Arial" w:cs="Arial" w:eastAsia="Arial" w:hAnsi="Arial"/>
          <w:b/>
          <w:bCs/>
          <w:color w:val="1C6E78"/>
          <w:sz w:val="44"/>
          <w:szCs w:val="44"/>
        </w:rPr>
        <w:t xml:space="preserve">OmniKin</w:t>
      </w:r>
    </w:p>
    <w:p>
      <w:pPr>
        <w:spacing w:after="60" w:before="60"/>
      </w:pPr>
      <w:r>
        <w:rPr>
          <w:rFonts w:ascii="Arial" w:cs="Arial" w:eastAsia="Arial" w:hAnsi="Arial"/>
          <w:color w:val="8A999B"/>
          <w:sz w:val="15"/>
          <w:szCs w:val="15"/>
        </w:rPr>
        <w:t xml:space="preserve">H1   </w:t>
      </w:r>
      <w:r>
        <w:rPr>
          <w:rFonts w:ascii="Arial" w:cs="Arial" w:eastAsia="Arial" w:hAnsi="Arial"/>
          <w:b/>
          <w:bCs/>
          <w:color w:val="1C6E78"/>
          <w:sz w:val="30"/>
          <w:szCs w:val="30"/>
        </w:rPr>
        <w:t xml:space="preserve">A shared family calendar</w:t>
      </w:r>
    </w:p>
    <w:p>
      <w:pPr>
        <w:spacing w:after="60" w:before="60"/>
      </w:pPr>
      <w:r>
        <w:rPr>
          <w:rFonts w:ascii="Arial" w:cs="Arial" w:eastAsia="Arial" w:hAnsi="Arial"/>
          <w:color w:val="8A999B"/>
          <w:sz w:val="15"/>
          <w:szCs w:val="15"/>
        </w:rPr>
        <w:t xml:space="preserve">H2   </w:t>
      </w:r>
      <w:r>
        <w:rPr>
          <w:rFonts w:ascii="Arial" w:cs="Arial" w:eastAsia="Arial" w:hAnsi="Arial"/>
          <w:b/>
          <w:bCs/>
          <w:color w:val="2E5A87"/>
          <w:sz w:val="24"/>
          <w:szCs w:val="24"/>
        </w:rPr>
        <w:t xml:space="preserve">Out-of-stock intelligence</w:t>
      </w:r>
    </w:p>
    <w:p>
      <w:pPr>
        <w:spacing w:after="60" w:before="60"/>
      </w:pPr>
      <w:r>
        <w:rPr>
          <w:rFonts w:ascii="Arial" w:cs="Arial" w:eastAsia="Arial" w:hAnsi="Arial"/>
          <w:color w:val="8A999B"/>
          <w:sz w:val="15"/>
          <w:szCs w:val="15"/>
        </w:rPr>
        <w:t xml:space="preserve">Lead   </w:t>
      </w:r>
      <w:r>
        <w:rPr>
          <w:rFonts w:ascii="Arial" w:cs="Arial" w:eastAsia="Arial" w:hAnsi="Arial"/>
          <w:color w:val="586A6D"/>
          <w:sz w:val="21"/>
          <w:szCs w:val="21"/>
        </w:rPr>
        <w:t xml:space="preserve">One place that keeps the whole household on the same page.</w:t>
      </w:r>
    </w:p>
    <w:p>
      <w:pPr>
        <w:spacing w:after="60" w:before="60"/>
      </w:pPr>
      <w:r>
        <w:rPr>
          <w:rFonts w:ascii="Arial" w:cs="Arial" w:eastAsia="Arial" w:hAnsi="Arial"/>
          <w:color w:val="8A999B"/>
          <w:sz w:val="15"/>
          <w:szCs w:val="15"/>
        </w:rPr>
        <w:t xml:space="preserve">Body 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Each household is a private shared space members join with role-appropriate access.</w:t>
      </w:r>
    </w:p>
    <w:p>
      <w:pPr>
        <w:spacing w:after="60" w:before="60"/>
      </w:pPr>
      <w:r>
        <w:rPr>
          <w:rFonts w:ascii="Arial" w:cs="Arial" w:eastAsia="Arial" w:hAnsi="Arial"/>
          <w:color w:val="8A999B"/>
          <w:sz w:val="15"/>
          <w:szCs w:val="15"/>
        </w:rPr>
        <w:t xml:space="preserve">Link   </w:t>
      </w:r>
      <w:r>
        <w:rPr>
          <w:rFonts w:ascii="Arial" w:cs="Arial" w:eastAsia="Arial" w:hAnsi="Arial"/>
          <w:color w:val="2A8C99"/>
          <w:sz w:val="21"/>
          <w:szCs w:val="21"/>
          <w:u w:val="single"/>
        </w:rPr>
        <w:t xml:space="preserve">View privacy dashboard</w:t>
      </w:r>
    </w:p>
    <w:p>
      <w:pPr>
        <w:spacing w:after="60" w:before="60"/>
      </w:pPr>
      <w:r>
        <w:rPr>
          <w:rFonts w:ascii="Arial" w:cs="Arial" w:eastAsia="Arial" w:hAnsi="Arial"/>
          <w:color w:val="8A999B"/>
          <w:sz w:val="15"/>
          <w:szCs w:val="15"/>
        </w:rPr>
        <w:t xml:space="preserve">Caption   </w:t>
      </w:r>
      <w:r>
        <w:rPr>
          <w:rFonts w:ascii="Arial" w:cs="Arial" w:eastAsia="Arial" w:hAnsi="Arial"/>
          <w:i/>
          <w:iCs/>
          <w:color w:val="586A6D"/>
          <w:sz w:val="17"/>
          <w:szCs w:val="17"/>
        </w:rPr>
        <w:t xml:space="preserve">Figure 5. Privacy-scoped event visibility.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6E78"/>
          <w:sz w:val="30"/>
          <w:szCs w:val="30"/>
        </w:rPr>
        <w:t xml:space="preserve">6.  Default text &amp; component styles</w:t>
      </w:r>
    </w:p>
    <w:p>
      <w:pPr>
        <w:spacing w:after="160" w:before="40" w:line="300"/>
      </w:pPr>
      <w:r>
        <w:rPr>
          <w:rFonts w:ascii="Arial" w:cs="Arial" w:eastAsia="Arial" w:hAnsi="Arial"/>
          <w:color w:val="586A6D"/>
          <w:sz w:val="21"/>
          <w:szCs w:val="21"/>
        </w:rPr>
        <w:t xml:space="preserve">The baseline rules every screen and document inherits unless a role above overrides them.</w:t>
      </w:r>
    </w:p>
    <w:p>
      <w:pPr>
        <w:pStyle w:val="ListParagraph"/>
        <w:numPr>
          <w:ilvl w:val="0"/>
          <w:numId w:val="2"/>
        </w:numPr>
        <w:spacing w:after="90" w:line="282"/>
      </w:pPr>
      <w:r>
        <w:rPr>
          <w:rFonts w:ascii="Arial" w:cs="Arial" w:eastAsia="Arial" w:hAnsi="Arial"/>
          <w:b/>
          <w:bCs/>
          <w:color w:val="1C6E78"/>
          <w:sz w:val="21"/>
          <w:szCs w:val="21"/>
        </w:rPr>
        <w:t xml:space="preserve">Default paragraph: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Arial / Inter Regular, 11 pt (16 px), Ink #1E2A2D, line-height 1.5, left-aligned, 8–10 pt space after. No first-line indents.</w:t>
      </w:r>
    </w:p>
    <w:p>
      <w:pPr>
        <w:pStyle w:val="ListParagraph"/>
        <w:numPr>
          <w:ilvl w:val="0"/>
          <w:numId w:val="2"/>
        </w:numPr>
        <w:spacing w:after="90" w:line="282"/>
      </w:pPr>
      <w:r>
        <w:rPr>
          <w:rFonts w:ascii="Arial" w:cs="Arial" w:eastAsia="Arial" w:hAnsi="Arial"/>
          <w:b/>
          <w:bCs/>
          <w:color w:val="1C6E78"/>
          <w:sz w:val="21"/>
          <w:szCs w:val="21"/>
        </w:rPr>
        <w:t xml:space="preserve">Emphasis: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bold uses Ink or Teal 800 for lead-in labels; italics for captions and figure references only. Never underline for emphasis — underline means link.</w:t>
      </w:r>
    </w:p>
    <w:p>
      <w:pPr>
        <w:pStyle w:val="ListParagraph"/>
        <w:numPr>
          <w:ilvl w:val="0"/>
          <w:numId w:val="2"/>
        </w:numPr>
        <w:spacing w:after="90" w:line="282"/>
      </w:pPr>
      <w:r>
        <w:rPr>
          <w:rFonts w:ascii="Arial" w:cs="Arial" w:eastAsia="Arial" w:hAnsi="Arial"/>
          <w:b/>
          <w:bCs/>
          <w:color w:val="1C6E78"/>
          <w:sz w:val="21"/>
          <w:szCs w:val="21"/>
        </w:rPr>
        <w:t xml:space="preserve">Links: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Teal 500 #2A8C99, underline on hover/press; visited links keep the same colour (no purple).</w:t>
      </w:r>
    </w:p>
    <w:p>
      <w:pPr>
        <w:pStyle w:val="ListParagraph"/>
        <w:numPr>
          <w:ilvl w:val="0"/>
          <w:numId w:val="2"/>
        </w:numPr>
        <w:spacing w:after="90" w:line="282"/>
      </w:pPr>
      <w:r>
        <w:rPr>
          <w:rFonts w:ascii="Arial" w:cs="Arial" w:eastAsia="Arial" w:hAnsi="Arial"/>
          <w:b/>
          <w:bCs/>
          <w:color w:val="1C6E78"/>
          <w:sz w:val="21"/>
          <w:szCs w:val="21"/>
        </w:rPr>
        <w:t xml:space="preserve">Lists: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teal bullet glyph, 0.25” hanging indent; numbered lists use the same indent with a period.</w:t>
      </w:r>
    </w:p>
    <w:p>
      <w:pPr>
        <w:pStyle w:val="ListParagraph"/>
        <w:numPr>
          <w:ilvl w:val="0"/>
          <w:numId w:val="2"/>
        </w:numPr>
        <w:spacing w:after="90" w:line="282"/>
      </w:pPr>
      <w:r>
        <w:rPr>
          <w:rFonts w:ascii="Arial" w:cs="Arial" w:eastAsia="Arial" w:hAnsi="Arial"/>
          <w:b/>
          <w:bCs/>
          <w:color w:val="1C6E78"/>
          <w:sz w:val="21"/>
          <w:szCs w:val="21"/>
        </w:rPr>
        <w:t xml:space="preserve">Inputs: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white fill, Hairline #DCE5E6 1px border, Teal 500 focus ring, Error #C9453B for invalid state with a message in the same colour.</w:t>
      </w:r>
    </w:p>
    <w:p>
      <w:pPr>
        <w:pStyle w:val="ListParagraph"/>
        <w:numPr>
          <w:ilvl w:val="0"/>
          <w:numId w:val="2"/>
        </w:numPr>
        <w:spacing w:after="90" w:line="282"/>
      </w:pPr>
      <w:r>
        <w:rPr>
          <w:rFonts w:ascii="Arial" w:cs="Arial" w:eastAsia="Arial" w:hAnsi="Arial"/>
          <w:b/>
          <w:bCs/>
          <w:color w:val="1C6E78"/>
          <w:sz w:val="21"/>
          <w:szCs w:val="21"/>
        </w:rPr>
        <w:t xml:space="preserve">Cards &amp; panels: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white surface on Canvas background, Hairline border, 8–12 px radius, soft shadow; section/info panels use Teal 100 fill.</w:t>
      </w:r>
    </w:p>
    <w:p>
      <w:pPr>
        <w:pStyle w:val="ListParagraph"/>
        <w:numPr>
          <w:ilvl w:val="0"/>
          <w:numId w:val="2"/>
        </w:numPr>
        <w:spacing w:after="90" w:line="282"/>
      </w:pPr>
      <w:r>
        <w:rPr>
          <w:rFonts w:ascii="Arial" w:cs="Arial" w:eastAsia="Arial" w:hAnsi="Arial"/>
          <w:b/>
          <w:bCs/>
          <w:color w:val="1C6E78"/>
          <w:sz w:val="21"/>
          <w:szCs w:val="21"/>
        </w:rPr>
        <w:t xml:space="preserve">Tables:  </w:t>
      </w:r>
      <w:r>
        <w:rPr>
          <w:rFonts w:ascii="Arial" w:cs="Arial" w:eastAsia="Arial" w:hAnsi="Arial"/>
          <w:color w:val="1E2A2D"/>
          <w:sz w:val="21"/>
          <w:szCs w:val="21"/>
        </w:rPr>
        <w:t xml:space="preserve">Teal 700 header with white text (or Teal 100 for a lighter look), Hairline cell borders, Canvas zebra striping, 8/14 px cell padding.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6E78"/>
          <w:sz w:val="30"/>
          <w:szCs w:val="30"/>
        </w:rPr>
        <w:t xml:space="preserve">7.  Accessibility &amp; guardrails</w:t>
      </w:r>
    </w:p>
    <w:p>
      <w:pPr>
        <w:pStyle w:val="ListParagraph"/>
        <w:numPr>
          <w:ilvl w:val="0"/>
          <w:numId w:val="2"/>
        </w:numPr>
        <w:spacing w:after="80" w:line="282"/>
      </w:pPr>
      <w:r>
        <w:rPr>
          <w:rFonts w:ascii="Arial" w:cs="Arial" w:eastAsia="Arial" w:hAnsi="Arial"/>
          <w:color w:val="1E2A2D"/>
          <w:sz w:val="21"/>
          <w:szCs w:val="21"/>
        </w:rPr>
        <w:t xml:space="preserve">Maintain WCAG AA contrast: Teal 700, Teal 800, Cornflower Blue, Ink, Coral, Green and Error all clear AA for normal text on white (Cornflower Blue ≈ 7:1). Teal 300, Teal 100 and Muted are for large text, borders or fills only — never body text.</w:t>
      </w:r>
    </w:p>
    <w:p>
      <w:pPr>
        <w:pStyle w:val="ListParagraph"/>
        <w:numPr>
          <w:ilvl w:val="0"/>
          <w:numId w:val="2"/>
        </w:numPr>
        <w:spacing w:after="80" w:line="282"/>
      </w:pPr>
      <w:r>
        <w:rPr>
          <w:rFonts w:ascii="Arial" w:cs="Arial" w:eastAsia="Arial" w:hAnsi="Arial"/>
          <w:color w:val="1E2A2D"/>
          <w:sz w:val="21"/>
          <w:szCs w:val="21"/>
        </w:rPr>
        <w:t xml:space="preserve">Never rely on colour alone to carry meaning — pair functional colours with an icon or label (important for accessibility and for printed / low-colour devices).</w:t>
      </w:r>
    </w:p>
    <w:p>
      <w:pPr>
        <w:pStyle w:val="ListParagraph"/>
        <w:numPr>
          <w:ilvl w:val="0"/>
          <w:numId w:val="2"/>
        </w:numPr>
        <w:spacing w:after="80" w:line="282"/>
      </w:pPr>
      <w:r>
        <w:rPr>
          <w:rFonts w:ascii="Arial" w:cs="Arial" w:eastAsia="Arial" w:hAnsi="Arial"/>
          <w:color w:val="1E2A2D"/>
          <w:sz w:val="21"/>
          <w:szCs w:val="21"/>
        </w:rPr>
        <w:t xml:space="preserve">Keep Coral rare: it loses its “act now” power if it appears more than once or twice per screen.</w:t>
      </w:r>
    </w:p>
    <w:p>
      <w:pPr>
        <w:pStyle w:val="ListParagraph"/>
        <w:numPr>
          <w:ilvl w:val="0"/>
          <w:numId w:val="2"/>
        </w:numPr>
        <w:spacing w:after="80" w:line="282"/>
      </w:pPr>
      <w:r>
        <w:rPr>
          <w:rFonts w:ascii="Arial" w:cs="Arial" w:eastAsia="Arial" w:hAnsi="Arial"/>
          <w:color w:val="1E2A2D"/>
          <w:sz w:val="21"/>
          <w:szCs w:val="21"/>
        </w:rPr>
        <w:t xml:space="preserve">No ad-style visual noise, no gradients on text, no more than two decorative accent colours in one view (Cornflower Blue is structural for sub-heads, not a decorative accent) — restraint is the brand.</w:t>
      </w:r>
    </w:p>
    <w:p>
      <w:pPr>
        <w:pStyle w:val="ListParagraph"/>
        <w:numPr>
          <w:ilvl w:val="0"/>
          <w:numId w:val="2"/>
        </w:numPr>
        <w:spacing w:after="80" w:line="282"/>
      </w:pPr>
      <w:r>
        <w:rPr>
          <w:rFonts w:ascii="Arial" w:cs="Arial" w:eastAsia="Arial" w:hAnsi="Arial"/>
          <w:color w:val="1E2A2D"/>
          <w:sz w:val="21"/>
          <w:szCs w:val="21"/>
        </w:rPr>
        <w:t xml:space="preserve">Assets stay lightweight (SVG icons, variable fonts, compressed images) so the system performs on low-end devices, in line with the African-market strategy.</w:t>
      </w:r>
    </w:p>
    <w:p>
      <w:pPr>
        <w:spacing w:after="0" w:before="240"/>
      </w:pPr>
      <w:r>
        <w:rPr>
          <w:rFonts w:ascii="Arial" w:cs="Arial" w:eastAsia="Arial" w:hAnsi="Arial"/>
          <w:i/>
          <w:iCs/>
          <w:color w:val="586A6D"/>
          <w:sz w:val="19"/>
          <w:szCs w:val="19"/>
        </w:rPr>
        <w:t xml:space="preserve">One palette. One type system. Applied the same way every time — that consistency is what makes OmniKin read as trustworthy.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CE5E6" w:sz="4" w:space="1"/>
      </w:pBdr>
      <w:spacing w:after="60" w:before="0"/>
    </w:pPr>
    <w:r>
      <w:rPr>
        <w:rFonts w:ascii="Arial" w:cs="Arial" w:eastAsia="Arial" w:hAnsi="Arial"/>
      </w:rPr>
      <w:t xml:space="preserve"/>
    </w:r>
  </w:p>
  <w:p>
    <w:pPr>
      <w:tabs>
        <w:tab w:val="right" w:pos="9026"/>
      </w:tabs>
    </w:pPr>
    <w:r>
      <w:rPr>
        <w:rFonts w:ascii="Arial" w:cs="Arial" w:eastAsia="Arial" w:hAnsi="Arial"/>
        <w:color w:val="8A999B"/>
        <w:sz w:val="15"/>
        <w:szCs w:val="15"/>
      </w:rPr>
      <w:t xml:space="preserve">OmniKin Style Guide —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A999B"/>
        <w:sz w:val="15"/>
        <w:szCs w:val="15"/>
      </w:rPr>
      <w:t xml:space="preserve">Page </w:t>
    </w:r>
    <w:r>
      <w:rPr>
        <w:rFonts w:ascii="Arial" w:cs="Arial" w:eastAsia="Arial" w:hAnsi="Arial"/>
        <w:color w:val="8A999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C6E78"/>
        <w:sz w:val="16"/>
        <w:szCs w:val="16"/>
      </w:rPr>
      <w:t xml:space="preserve">OmniKin</w:t>
    </w:r>
    <w:r>
      <w:rPr>
        <w:rFonts w:ascii="Arial" w:cs="Arial" w:eastAsia="Arial" w:hAnsi="Arial"/>
        <w:color w:val="8A999B"/>
        <w:sz w:val="16"/>
        <w:szCs w:val="16"/>
      </w:rPr>
      <w:t xml:space="preserve">  ·  Style Guide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A999B"/>
        <w:sz w:val="16"/>
        <w:szCs w:val="16"/>
      </w:rPr>
      <w:t xml:space="preserve">The all-in-one family organiser</w:t>
    </w:r>
  </w:p>
  <w:p>
    <w:pPr>
      <w:pBdr>
        <w:bottom w:val="single" w:color="DCE5E6" w:sz="4" w:space="1"/>
      </w:pBdr>
      <w:spacing w:after="0" w:before="0"/>
    </w:pPr>
    <w:r>
      <w:rPr>
        <w:rFonts w:ascii="Arial" w:cs="Arial" w:eastAsia="Arial" w:hAnsi="Arial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A8C9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C6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5A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OmniKin Style Guide</dc:title>
  <dc:creator>OmniKin</dc:creator>
  <cp:lastModifiedBy>Un-named</cp:lastModifiedBy>
  <cp:revision>1</cp:revision>
  <dcterms:created xsi:type="dcterms:W3CDTF">2026-06-04T08:11:27.584Z</dcterms:created>
  <dcterms:modified xsi:type="dcterms:W3CDTF">2026-06-04T08:11:27.599Z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