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Pr>
          <w:rFonts w:ascii="Arial" w:cs="Arial" w:eastAsia="Arial" w:hAnsi="Arial"/>
          <w:b w:val="1"/>
          <w:bCs w:val="1"/>
          <w:color w:val="1f4e79"/>
          <w:sz w:val="40"/>
          <w:szCs w:val="40"/>
          <w:rtl w:val="0"/>
        </w:rPr>
        <w:t xml:space="preserve">Computational Morphogenic Runtime (CMR):</w:t>
      </w:r>
      <w:r>
        <w:rPr>
          <w:rtl w:val="0"/>
        </w:rPr>
      </w:r>
    </w:p>
    <w:p w:rsidR="00000000" w:rsidDel="00000000" w:rsidP="00000000" w:rsidRDefault="00000000" w:rsidRPr="00000000" w14:paraId="00000002">
      <w:pPr>
        <w:spacing w:after="120" w:lineRule="auto"/>
        <w:jc w:val="center"/>
        <w:rPr/>
      </w:pPr>
      <w:r>
        <w:rPr>
          <w:rFonts w:ascii="Arial" w:cs="Arial" w:eastAsia="Arial" w:hAnsi="Arial"/>
          <w:b w:val="1"/>
          <w:bCs w:val="1"/>
          <w:color w:val="2e74b5"/>
          <w:sz w:val="30"/>
          <w:szCs w:val="30"/>
          <w:rtl w:val="0"/>
        </w:rPr>
        <w:t xml:space="preserve">A Systems-Level Framework for Controlled Regenerative State Transitions in Adult Mammals</w:t>
      </w:r>
      <w:r>
        <w:rPr>
          <w:rtl w:val="0"/>
        </w:rPr>
      </w:r>
    </w:p>
    <w:p w:rsidR="00000000" w:rsidDel="00000000" w:rsidP="00000000" w:rsidRDefault="00000000" w:rsidRPr="00000000" w14:paraId="00000003">
      <w:pPr>
        <w:spacing w:after="80" w:lineRule="auto"/>
        <w:jc w:val="center"/>
        <w:rPr/>
      </w:pPr>
      <w:r>
        <w:rPr>
          <w:rFonts w:ascii="Arial" w:cs="Arial" w:eastAsia="Arial" w:hAnsi="Arial"/>
          <w:i w:val="1"/>
          <w:iCs w:val="1"/>
          <w:sz w:val="22"/>
          <w:szCs w:val="22"/>
          <w:rtl w:val="0"/>
        </w:rPr>
        <w:t xml:space="preserve">Evgeny A. Kuznetsov</w:t>
      </w:r>
      <w:r>
        <w:rPr>
          <w:rtl w:val="0"/>
        </w:rPr>
      </w:r>
    </w:p>
    <w:p w:rsidR="00000000" w:rsidDel="00000000" w:rsidP="00000000" w:rsidRDefault="00000000" w:rsidRPr="00000000" w14:paraId="00000004">
      <w:pPr>
        <w:spacing w:after="400" w:lineRule="auto"/>
        <w:jc w:val="center"/>
        <w:rPr/>
      </w:pPr>
      <w:r>
        <w:rPr>
          <w:rFonts w:ascii="Arial" w:cs="Arial" w:eastAsia="Arial" w:hAnsi="Arial"/>
          <w:color w:val="808080"/>
          <w:sz w:val="20"/>
          <w:szCs w:val="20"/>
          <w:rtl w:val="0"/>
        </w:rPr>
        <w:t xml:space="preserve">Preprint. Not peer-reviewed. bioRxiv, 2026.</w:t>
      </w:r>
      <w:r>
        <w:rPr>
          <w:rtl w:val="0"/>
        </w:rPr>
      </w:r>
    </w:p>
    <w:p w:rsidR="00000000" w:rsidDel="00000000" w:rsidP="00000000" w:rsidRDefault="00000000" w:rsidRPr="00000000" w14:paraId="00000005">
      <w:pPr>
        <w:pStyle w:val="Heading1"/>
        <w:rPr/>
      </w:pPr>
      <w:r>
        <w:rPr>
          <w:rFonts w:ascii="Arial" w:cs="Arial" w:eastAsia="Arial" w:hAnsi="Arial"/>
          <w:b w:val="1"/>
          <w:bCs w:val="1"/>
          <w:sz w:val="28"/>
          <w:szCs w:val="28"/>
          <w:rtl w:val="0"/>
        </w:rPr>
        <w:t xml:space="preserve">1. ABSTRACT</w:t>
      </w:r>
      <w:r>
        <w:rPr>
          <w:rtl w:val="0"/>
        </w:rPr>
      </w:r>
    </w:p>
    <w:p w:rsidR="00000000" w:rsidDel="00000000" w:rsidP="00000000" w:rsidRDefault="00000000" w:rsidRPr="00000000" w14:paraId="00000006">
      <w:pPr>
        <w:spacing w:after="160" w:lineRule="auto"/>
        <w:rPr/>
      </w:pPr>
      <w:r>
        <w:rPr>
          <w:rFonts w:ascii="Arial" w:cs="Arial" w:eastAsia="Arial" w:hAnsi="Arial"/>
          <w:sz w:val="22"/>
          <w:szCs w:val="22"/>
          <w:rtl w:val="0"/>
        </w:rPr>
        <w:t xml:space="preserve">We propose that regeneration in adult mammals is not an absent property of terminally differentiated tissue, but a latent computational state transition that requires coordinated activation across five mechanistic layers. The Computational Morphogenic Runtime (CMR) framework formalizes this as five laws: Permission (transient release of epigenetic stability-lock), Coordinates (bioelectric and positional addressing), Synchronization (neural phase-locking of the regenerative domain), Sandboxed Growth (spatially constrained permissive niche), and Timed Termination (enforced autonomous shutdown). Each law is supported by independent experimental evidence. Their simultaneous orchestration has not previously been formalized or tested as a unified protocol. CMR reframes regenerative biology from signal discovery to state orchestration, and provides falsifiable predictions and a preclinical roadmap for adult mammalian digit regeneration.</w:t>
      </w:r>
      <w:r>
        <w:rPr>
          <w:rtl w:val="0"/>
        </w:rPr>
      </w:r>
    </w:p>
    <w:p w:rsidR="00000000" w:rsidDel="00000000" w:rsidP="00000000" w:rsidRDefault="00000000" w:rsidRPr="00000000" w14:paraId="00000007">
      <w:pPr>
        <w:spacing w:after="200" w:lineRule="auto"/>
        <w:rPr/>
      </w:pPr>
      <w:r>
        <w:rPr>
          <w:rtl w:val="0"/>
        </w:rPr>
      </w:r>
    </w:p>
    <w:p w:rsidR="00000000" w:rsidDel="00000000" w:rsidP="00000000" w:rsidRDefault="00000000" w:rsidRPr="00000000" w14:paraId="00000008">
      <w:pPr>
        <w:pStyle w:val="Heading1"/>
        <w:rPr/>
      </w:pPr>
      <w:r>
        <w:rPr>
          <w:rFonts w:ascii="Arial" w:cs="Arial" w:eastAsia="Arial" w:hAnsi="Arial"/>
          <w:b w:val="1"/>
          <w:bCs w:val="1"/>
          <w:sz w:val="28"/>
          <w:szCs w:val="28"/>
          <w:rtl w:val="0"/>
        </w:rPr>
        <w:t xml:space="preserve">2. INTRODUCTION</w:t>
      </w:r>
      <w:r>
        <w:rPr>
          <w:rtl w:val="0"/>
        </w:rPr>
      </w:r>
    </w:p>
    <w:p w:rsidR="00000000" w:rsidDel="00000000" w:rsidP="00000000" w:rsidRDefault="00000000" w:rsidRPr="00000000" w14:paraId="00000009">
      <w:pPr>
        <w:spacing w:after="160" w:lineRule="auto"/>
        <w:rPr/>
      </w:pPr>
      <w:r>
        <w:rPr>
          <w:rFonts w:ascii="Arial" w:cs="Arial" w:eastAsia="Arial" w:hAnsi="Arial"/>
          <w:b w:val="1"/>
          <w:bCs w:val="1"/>
          <w:sz w:val="22"/>
          <w:szCs w:val="22"/>
          <w:rtl w:val="0"/>
        </w:rPr>
        <w:t xml:space="preserve">The Problem</w:t>
      </w:r>
      <w:r>
        <w:rPr>
          <w:rtl w:val="0"/>
        </w:rPr>
      </w:r>
    </w:p>
    <w:p w:rsidR="00000000" w:rsidDel="00000000" w:rsidP="00000000" w:rsidRDefault="00000000" w:rsidRPr="00000000" w14:paraId="0000000A">
      <w:pPr>
        <w:spacing w:after="160" w:lineRule="auto"/>
        <w:rPr/>
      </w:pPr>
      <w:r>
        <w:rPr>
          <w:rFonts w:ascii="Arial" w:cs="Arial" w:eastAsia="Arial" w:hAnsi="Arial"/>
          <w:sz w:val="22"/>
          <w:szCs w:val="22"/>
          <w:rtl w:val="0"/>
        </w:rPr>
        <w:t xml:space="preserve">Contemporary regenerative biology has produced extensive characterization of individual molecular signals: growth factors, transcription factor cascades, immune mediators, and bioelectric gradients. However, the field lacks a unifying systems-level architecture that explains why these signals, individually insufficient, might produce robust regeneration when properly orchestrated.</w:t>
      </w:r>
      <w:r>
        <w:rPr>
          <w:rtl w:val="0"/>
        </w:rPr>
      </w:r>
    </w:p>
    <w:p w:rsidR="00000000" w:rsidDel="00000000" w:rsidP="00000000" w:rsidRDefault="00000000" w:rsidRPr="00000000" w14:paraId="0000000B">
      <w:pPr>
        <w:spacing w:after="160" w:lineRule="auto"/>
        <w:rPr/>
      </w:pPr>
      <w:r>
        <w:rPr>
          <w:rFonts w:ascii="Arial" w:cs="Arial" w:eastAsia="Arial" w:hAnsi="Arial"/>
          <w:sz w:val="22"/>
          <w:szCs w:val="22"/>
          <w:rtl w:val="0"/>
        </w:rPr>
        <w:t xml:space="preserve">Adult mammals exhibit sharply limited regenerative capacity compared to urodele amphibians (Ambystoma mexicanum) and planaria (Schmidtea mediterranea). This limitation has been attributed variously to immune surveillance, oncogenic suppression, fibrotic sealing, and epigenetic stability. We argue these are not competing explanations but parallel components of a single multi-layer stability-lock, and that regeneration requires their coordinated transient release within a spatially defined domain.</w:t>
      </w:r>
      <w:r>
        <w:rPr>
          <w:rtl w:val="0"/>
        </w:rPr>
      </w:r>
    </w:p>
    <w:p w:rsidR="00000000" w:rsidDel="00000000" w:rsidP="00000000" w:rsidRDefault="00000000" w:rsidRPr="00000000" w14:paraId="0000000C">
      <w:pPr>
        <w:spacing w:after="160" w:lineRule="auto"/>
        <w:rPr/>
      </w:pPr>
      <w:r>
        <w:rPr>
          <w:rFonts w:ascii="Arial" w:cs="Arial" w:eastAsia="Arial" w:hAnsi="Arial"/>
          <w:b w:val="1"/>
          <w:bCs w:val="1"/>
          <w:sz w:val="22"/>
          <w:szCs w:val="22"/>
          <w:rtl w:val="0"/>
        </w:rPr>
        <w:t xml:space="preserve">Central Hypothesis</w:t>
      </w:r>
      <w:r>
        <w:rPr>
          <w:rtl w:val="0"/>
        </w:rPr>
      </w:r>
    </w:p>
    <w:p w:rsidR="00000000" w:rsidDel="00000000" w:rsidP="00000000" w:rsidRDefault="00000000" w:rsidRPr="00000000" w14:paraId="0000000D">
      <w:pPr>
        <w:spacing w:after="160" w:lineRule="auto"/>
        <w:rPr/>
      </w:pPr>
      <w:r>
        <w:rPr>
          <w:rFonts w:ascii="Arial" w:cs="Arial" w:eastAsia="Arial" w:hAnsi="Arial"/>
          <w:sz w:val="22"/>
          <w:szCs w:val="22"/>
          <w:rtl w:val="0"/>
        </w:rPr>
        <w:t xml:space="preserve">Adult mammalian tissue retains a complete latent morphogenetic program encoded in the genome and preserved in positional epigenetic memory of somatic cells (Rinn et al., 2008). Regeneration does not require introduction of new information. It requires temporary de-repression of existing positional information within a spatially constrained, neurally synchronized, immunologically choreographed, and autonomously terminating domain.</w:t>
      </w:r>
      <w:r>
        <w:rPr>
          <w:rtl w:val="0"/>
        </w:rPr>
      </w:r>
    </w:p>
    <w:p w:rsidR="00000000" w:rsidDel="00000000" w:rsidP="00000000" w:rsidRDefault="00000000" w:rsidRPr="00000000" w14:paraId="0000000E">
      <w:pPr>
        <w:spacing w:after="160" w:lineRule="auto"/>
        <w:rPr/>
      </w:pPr>
      <w:r>
        <w:rPr>
          <w:rFonts w:ascii="Arial" w:cs="Arial" w:eastAsia="Arial" w:hAnsi="Arial"/>
          <w:i w:val="1"/>
          <w:iCs w:val="1"/>
          <w:sz w:val="22"/>
          <w:szCs w:val="22"/>
          <w:rtl w:val="0"/>
        </w:rPr>
        <w:t xml:space="preserve">Formal statement: Regeneration = transient, addressed, synchronized, sandboxed, and self-terminating computational state transition of a multicellular tissue system.</w:t>
      </w:r>
      <w:r>
        <w:rPr>
          <w:rtl w:val="0"/>
        </w:rPr>
      </w:r>
    </w:p>
    <w:p w:rsidR="00000000" w:rsidDel="00000000" w:rsidP="00000000" w:rsidRDefault="00000000" w:rsidRPr="00000000" w14:paraId="0000000F">
      <w:pPr>
        <w:spacing w:after="200" w:lineRule="auto"/>
        <w:rPr/>
      </w:pPr>
      <w:r>
        <w:rPr>
          <w:rtl w:val="0"/>
        </w:rPr>
      </w:r>
    </w:p>
    <w:p w:rsidR="00000000" w:rsidDel="00000000" w:rsidP="00000000" w:rsidRDefault="00000000" w:rsidRPr="00000000" w14:paraId="00000AA0">
      <w:pPr>
        <w:pStyle w:val="Heading1"/>
        <w:rPr/>
      </w:pPr>
      <w:r>
        <w:rPr>
          <w:rFonts w:ascii="Arial" w:cs="Arial" w:eastAsia="Arial" w:hAnsi="Arial"/>
          <w:b w:val="1"/>
          <w:bCs w:val="1"/>
          <w:sz w:val="28"/>
          <w:szCs w:val="28"/>
          <w:rtl w:val="0"/>
        </w:rPr>
        <w:t xml:space="preserve">3. ARC: FORMAL MATHEMATICAL FRAMEWORK</w:t>
      </w:r>
    </w:p>
    <w:p w:rsidR="00000000" w:rsidDel="00000000" w:rsidP="00000000" w:rsidRDefault="00000000" w14:paraId="00000AA1">
      <w:pPr>
        <w:rPr/>
      </w:pPr>
      <w:r>
        <w:rPr>
          <w:rFonts w:ascii="Arial" w:cs="Arial" w:eastAsia="Arial" w:hAnsi="Arial"/>
          <w:sz w:val="24"/>
          <w:szCs w:val="24"/>
          <w:rtl w:val="0"/>
        </w:rPr>
        <w:t xml:space="preserve">The five laws of ARC are formalized as a dynamical system operating on a five-dimensional state space. This formalization converts ARC from a conceptual framework into a falsifiable theory in systems biology: it generates specific quantitative predictions, defines attractor geometry, and specifies the conditions under which each experimental group (Section 8) constitutes a critical test.</w:t>
      </w:r>
    </w:p>
    <w:p w:rsidR="00000000" w:rsidDel="00000000" w:rsidP="00000000" w:rsidRDefault="00000000" w14:paraId="00000AA2">
      <w:pPr>
        <w:pStyle w:val="Heading2"/>
        <w:rPr/>
      </w:pPr>
      <w:r>
        <w:rPr>
          <w:rFonts w:ascii="Arial" w:cs="Arial" w:eastAsia="Arial" w:hAnsi="Arial"/>
          <w:b w:val="1"/>
          <w:sz w:val="26"/>
          <w:szCs w:val="26"/>
          <w:rtl w:val="0"/>
        </w:rPr>
        <w:t xml:space="preserve">3.1 State Vector</w:t>
      </w:r>
    </w:p>
    <w:p w:rsidR="00000000" w:rsidDel="00000000" w:rsidP="00000000" w:rsidRDefault="00000000" w14:paraId="00000AA3">
      <w:pPr>
        <w:rPr/>
      </w:pPr>
      <w:r>
        <w:rPr>
          <w:rFonts w:ascii="Arial" w:cs="Arial" w:eastAsia="Arial" w:hAnsi="Arial"/>
          <w:sz w:val="24"/>
          <w:szCs w:val="24"/>
          <w:rtl w:val="0"/>
        </w:rPr>
        <w:t xml:space="preserve">The state of the regenerative domain at time t is described by a vector in the unit hypercube:</w:t>
      </w:r>
    </w:p>
    <w:p w:rsidR="00000000" w:rsidDel="00000000" w:rsidP="00000000" w:rsidRDefault="00000000" w14:paraId="00000AA4">
      <w:pPr>
        <w:ind w:left="720"/>
        <w:rPr/>
      </w:pPr>
      <w:r>
        <w:rPr>
          <w:rFonts w:ascii="Courier New" w:cs="Courier New" w:eastAsia="Courier New" w:hAnsi="Courier New"/>
          <w:sz w:val="22"/>
          <w:szCs w:val="22"/>
          <w:rtl w:val="0"/>
        </w:rPr>
        <w:t xml:space="preserve">x(t) = ( P(t), C(t), S(t), B(t), T(t) )  ∈  [0,1]⁵</w:t>
      </w:r>
    </w:p>
    <w:p w:rsidR="00000000" w:rsidDel="00000000" w:rsidP="00000000" w:rsidRDefault="00000000" w14:paraId="00000AA5">
      <w:pPr>
        <w:rPr/>
      </w:pPr>
      <w:r>
        <w:rPr>
          <w:rFonts w:ascii="Arial" w:cs="Arial" w:eastAsia="Arial" w:hAnsi="Arial"/>
          <w:sz w:val="24"/>
          <w:szCs w:val="24"/>
          <w:rtl w:val="0"/>
        </w:rPr>
        <w:t xml:space="preserve">where each component encodes the activation level (0 = absent, 1 = fully active) of one ARC law: P(t) = Permission (degree of epigenetic stability-lock release); C(t) = Coordinates (quality of Vmem and positional addressing); S(t) = NeuralSync (phase coherence of the neural synchronization signal); B(t) = Sandbox (integrity of the spatial domain boundary); T(t) = Termination readiness (activation state of shutdown mechanisms). All components are dimensionless and normalized to [0,1] via their respective operational definitions (Section 4).</w:t>
      </w:r>
    </w:p>
    <w:p w:rsidR="00000000" w:rsidDel="00000000" w:rsidP="00000000" w:rsidRDefault="00000000" w14:paraId="00000AA6">
      <w:pPr>
        <w:pStyle w:val="Heading2"/>
        <w:rPr/>
      </w:pPr>
      <w:r>
        <w:rPr>
          <w:rFonts w:ascii="Arial" w:cs="Arial" w:eastAsia="Arial" w:hAnsi="Arial"/>
          <w:b w:val="1"/>
          <w:sz w:val="26"/>
          <w:szCs w:val="26"/>
          <w:rtl w:val="0"/>
        </w:rPr>
        <w:t xml:space="preserve">3.2 Order Parameter Φ(t)</w:t>
      </w:r>
    </w:p>
    <w:p w:rsidR="00000000" w:rsidDel="00000000" w:rsidP="00000000" w:rsidRDefault="00000000" w14:paraId="00000AA7">
      <w:pPr>
        <w:rPr/>
      </w:pPr>
      <w:r>
        <w:rPr>
          <w:rFonts w:ascii="Arial" w:cs="Arial" w:eastAsia="Arial" w:hAnsi="Arial"/>
          <w:sz w:val="24"/>
          <w:szCs w:val="24"/>
          <w:rtl w:val="0"/>
        </w:rPr>
        <w:t xml:space="preserve">The regenerative order parameter is defined as a weighted multiplicative gate across all five layers:</w:t>
      </w:r>
    </w:p>
    <w:p w:rsidR="00000000" w:rsidDel="00000000" w:rsidP="00000000" w:rsidRDefault="00000000" w14:paraId="00000AA8">
      <w:pPr>
        <w:ind w:left="720"/>
        <w:rPr/>
      </w:pPr>
      <w:r>
        <w:rPr>
          <w:rFonts w:ascii="Courier New" w:cs="Courier New" w:eastAsia="Courier New" w:hAnsi="Courier New"/>
          <w:sz w:val="22"/>
          <w:szCs w:val="22"/>
          <w:rtl w:val="0"/>
        </w:rPr>
        <w:t xml:space="preserve">Φ(t) = P(t)𝛼 · C(t)𝛽 · S(t)𝛾 · B(t)𝛿 · T(t)𝜀</w:t>
      </w:r>
    </w:p>
    <w:p w:rsidR="00000000" w:rsidDel="00000000" w:rsidP="00000000" w:rsidRDefault="00000000" w14:paraId="00000AA9">
      <w:pPr>
        <w:rPr/>
      </w:pPr>
      <w:r>
        <w:rPr>
          <w:rFonts w:ascii="Arial" w:cs="Arial" w:eastAsia="Arial" w:hAnsi="Arial"/>
          <w:sz w:val="24"/>
          <w:szCs w:val="24"/>
          <w:rtl w:val="0"/>
        </w:rPr>
        <w:t xml:space="preserve">where α, β, γ, δ, ε ∈ (0,1] are layer-specific exponents encoding relative contribution. The multiplicative structure is not arbitrary: it enforces the AND-logic of the five laws. If any single component approaches zero, Φ(t) → 0 regardless of the state of remaining layers. This is the formal expression of the central architectural claim: no partial activation of ARC is sufficient.</w:t>
      </w:r>
    </w:p>
    <w:p w:rsidR="00000000" w:rsidDel="00000000" w:rsidP="00000000" w:rsidRDefault="00000000" w14:paraId="00000AAA">
      <w:pPr>
        <w:rPr/>
      </w:pPr>
      <w:r>
        <w:rPr>
          <w:rFonts w:ascii="Arial" w:cs="Arial" w:eastAsia="Arial" w:hAnsi="Arial"/>
          <w:sz w:val="24"/>
          <w:szCs w:val="24"/>
          <w:rtl w:val="0"/>
        </w:rPr>
        <w:t xml:space="preserve">The regenerative state condition is:</w:t>
      </w:r>
    </w:p>
    <w:p w:rsidR="00000000" w:rsidDel="00000000" w:rsidP="00000000" w:rsidRDefault="00000000" w14:paraId="00000AAB">
      <w:pPr>
        <w:ind w:left="720"/>
        <w:rPr/>
      </w:pPr>
      <w:r>
        <w:rPr>
          <w:rFonts w:ascii="Courier New" w:cs="Courier New" w:eastAsia="Courier New" w:hAnsi="Courier New"/>
          <w:sz w:val="22"/>
          <w:szCs w:val="22"/>
          <w:rtl w:val="0"/>
        </w:rPr>
        <w:t xml:space="preserve">RegenerativeState(t)  ⟺  Φ(t) &gt; Φ*</w:t>
      </w:r>
    </w:p>
    <w:p w:rsidR="00000000" w:rsidDel="00000000" w:rsidP="00000000" w:rsidRDefault="00000000" w14:paraId="00000AAC">
      <w:pPr>
        <w:rPr/>
      </w:pPr>
      <w:r>
        <w:rPr>
          <w:rFonts w:ascii="Arial" w:cs="Arial" w:eastAsia="Arial" w:hAnsi="Arial"/>
          <w:sz w:val="24"/>
          <w:szCs w:val="24"/>
          <w:rtl w:val="0"/>
        </w:rPr>
        <w:t xml:space="preserve">where Φ* is the critical threshold (estimated empirically from Group 4 vs. control comparisons; preliminary estimate Φ* ≈ 0.35 assuming equal exponents). The exponents α–ε are free parameters to be fit from Groups 1–3 and used to predict Groups 4–5 without additional fitting. If the model requires re-fitting on Group 4 data, it is falsified as a predictive theory (see Section 7, Prediction P4).</w:t>
      </w:r>
    </w:p>
    <w:p w:rsidR="00000000" w:rsidDel="00000000" w:rsidP="00000000" w:rsidRDefault="00000000" w14:paraId="00000AAD">
      <w:pPr>
        <w:pStyle w:val="Heading2"/>
        <w:rPr/>
      </w:pPr>
      <w:r>
        <w:rPr>
          <w:rFonts w:ascii="Arial" w:cs="Arial" w:eastAsia="Arial" w:hAnsi="Arial"/>
          <w:b w:val="1"/>
          <w:sz w:val="26"/>
          <w:szCs w:val="26"/>
          <w:rtl w:val="0"/>
        </w:rPr>
        <w:t xml:space="preserve">3.3 Layer Dynamics (ODE Skeleton)</w:t>
      </w:r>
    </w:p>
    <w:p w:rsidR="00000000" w:rsidDel="00000000" w:rsidP="00000000" w:rsidRDefault="00000000" w14:paraId="00000AAE">
      <w:pPr>
        <w:rPr/>
      </w:pPr>
      <w:r>
        <w:rPr>
          <w:rFonts w:ascii="Arial" w:cs="Arial" w:eastAsia="Arial" w:hAnsi="Arial"/>
          <w:sz w:val="24"/>
          <w:szCs w:val="24"/>
          <w:rtl w:val="0"/>
        </w:rPr>
        <w:t xml:space="preserve">Each layer has independent dynamics driven by protocol inputs uᵢ(t) and natural decay constants λᵢ. Cross-layer coupling terms encode biological dependencies between laws:</w:t>
      </w:r>
    </w:p>
    <w:p w:rsidR="00000000" w:rsidDel="00000000" w:rsidP="00000000" w:rsidRDefault="00000000" w14:paraId="00000AAF">
      <w:pPr>
        <w:ind w:left="720"/>
        <w:rPr/>
      </w:pPr>
      <w:r>
        <w:rPr>
          <w:rFonts w:ascii="Courier New" w:cs="Courier New" w:eastAsia="Courier New" w:hAnsi="Courier New"/>
          <w:sz w:val="22"/>
          <w:szCs w:val="22"/>
          <w:rtl w:val="0"/>
        </w:rPr>
        <w:t xml:space="preserve">dP/dt = uₚ(t) − λₚ·P + σₚ·S·C</w:t>
      </w:r>
    </w:p>
    <w:p w:rsidR="00000000" w:rsidDel="00000000" w:rsidP="00000000" w:rsidRDefault="00000000" w14:paraId="00000AB0">
      <w:pPr>
        <w:ind w:left="720"/>
        <w:rPr/>
      </w:pPr>
      <w:r>
        <w:rPr>
          <w:rFonts w:ascii="Courier New" w:cs="Courier New" w:eastAsia="Courier New" w:hAnsi="Courier New"/>
          <w:sz w:val="22"/>
          <w:szCs w:val="22"/>
          <w:rtl w:val="0"/>
        </w:rPr>
        <w:t xml:space="preserve">dC/dt = uᴄ(t) − λᴄ·C</w:t>
      </w:r>
    </w:p>
    <w:p w:rsidR="00000000" w:rsidDel="00000000" w:rsidP="00000000" w:rsidRDefault="00000000" w14:paraId="00000AB1">
      <w:pPr>
        <w:ind w:left="720"/>
        <w:rPr/>
      </w:pPr>
      <w:r>
        <w:rPr>
          <w:rFonts w:ascii="Courier New" w:cs="Courier New" w:eastAsia="Courier New" w:hAnsi="Courier New"/>
          <w:sz w:val="22"/>
          <w:szCs w:val="22"/>
          <w:rtl w:val="0"/>
        </w:rPr>
        <w:t xml:space="preserve">dS/dt = uₛ(t)·S·(1−S) + κ·ρₙₑʳʳᵉ(t) − λₛ·S</w:t>
      </w:r>
    </w:p>
    <w:p w:rsidR="00000000" w:rsidDel="00000000" w:rsidP="00000000" w:rsidRDefault="00000000" w14:paraId="00000AB2">
      <w:pPr>
        <w:ind w:left="720"/>
        <w:rPr/>
      </w:pPr>
      <w:r>
        <w:rPr>
          <w:rFonts w:ascii="Courier New" w:cs="Courier New" w:eastAsia="Courier New" w:hAnsi="Courier New"/>
          <w:sz w:val="22"/>
          <w:szCs w:val="22"/>
          <w:rtl w:val="0"/>
        </w:rPr>
        <w:t xml:space="preserve">dB/dt = −μᴃ(t)·B + uᴃ</w:t>
      </w:r>
    </w:p>
    <w:p w:rsidR="00000000" w:rsidDel="00000000" w:rsidP="00000000" w:rsidRDefault="00000000" w14:paraId="00000AB3">
      <w:pPr>
        <w:ind w:left="720"/>
        <w:rPr/>
      </w:pPr>
      <w:r>
        <w:rPr>
          <w:rFonts w:ascii="Courier New" w:cs="Courier New" w:eastAsia="Courier New" w:hAnsi="Courier New"/>
          <w:sz w:val="22"/>
          <w:szCs w:val="22"/>
          <w:rtl w:val="0"/>
        </w:rPr>
        <w:t xml:space="preserve">dT/dt = λᵀ·(1−P) + κᵀ·Φ·𝟙[t &gt; t₂₈]</w:t>
      </w:r>
    </w:p>
    <w:p w:rsidR="00000000" w:rsidDel="00000000" w:rsidP="00000000" w:rsidRDefault="00000000" w14:paraId="00000AB4">
      <w:pPr>
        <w:rPr/>
      </w:pPr>
      <w:r>
        <w:rPr>
          <w:rFonts w:ascii="Arial" w:cs="Arial" w:eastAsia="Arial" w:hAnsi="Arial"/>
          <w:sz w:val="24"/>
          <w:szCs w:val="24"/>
          <w:rtl w:val="0"/>
        </w:rPr>
        <w:t xml:space="preserve">The S-equation is nonlinear (logistic): above the critical nerve density ρc, synchronization enters a self-sustaining regime. This constitutes a bifurcation, not a gradual process. The C-equation is linear and fully externally controlled (electrode). The T-equation accumulates autonomously as P recovers, implementing the self-terminating property of the runtime. The cross-coupling term σₚ·S·C in the P-equation formalizes the prerequisite ordering of ARC: synchronization and coordinates must be established before permission is opened, because they are required to maintain it.</w:t>
      </w:r>
    </w:p>
    <w:p w:rsidR="00000000" w:rsidDel="00000000" w:rsidP="00000000" w:rsidRDefault="00000000" w14:paraId="00000AB5">
      <w:pPr>
        <w:pStyle w:val="Heading2"/>
        <w:rPr/>
      </w:pPr>
      <w:r>
        <w:rPr>
          <w:rFonts w:ascii="Arial" w:cs="Arial" w:eastAsia="Arial" w:hAnsi="Arial"/>
          <w:b w:val="1"/>
          <w:sz w:val="26"/>
          <w:szCs w:val="26"/>
          <w:rtl w:val="0"/>
        </w:rPr>
        <w:t xml:space="preserve">3.4 Attractor Geometry</w:t>
      </w:r>
    </w:p>
    <w:p w:rsidR="00000000" w:rsidDel="00000000" w:rsidP="00000000" w:rsidRDefault="00000000" w14:paraId="00000AB6">
      <w:pPr>
        <w:rPr/>
      </w:pPr>
      <w:r>
        <w:rPr>
          <w:rFonts w:ascii="Arial" w:cs="Arial" w:eastAsia="Arial" w:hAnsi="Arial"/>
          <w:sz w:val="24"/>
          <w:szCs w:val="24"/>
          <w:rtl w:val="0"/>
        </w:rPr>
        <w:t xml:space="preserve">The phase space [0,1]⁵ contains three biologically distinct attractors. The Fibrosis attractor (x*ᴼ = {P→0, C→0}) is the default resting state of adult differentiated tissue: stability-lock intact, no permissive growth signals. This is the state from which ARC must transiently escape. The Dysplasia attractor (x*ᴷ = {P→1, T→0}) is reached when permission is active but termination has failed: unaddressed, non-terminating growth. This is cancer in the ARC formalism—not a new biological entity, but the existing Dysplasia attractor into which the system falls when T→0 under active P. Formally:</w:t>
      </w:r>
    </w:p>
    <w:p w:rsidR="00000000" w:rsidDel="00000000" w:rsidP="00000000" w:rsidRDefault="00000000" w14:paraId="00000AB7">
      <w:pPr>
        <w:ind w:left="720"/>
        <w:rPr/>
      </w:pPr>
      <w:r>
        <w:rPr>
          <w:rFonts w:ascii="Courier New" w:cs="Courier New" w:eastAsia="Courier New" w:hAnsi="Courier New"/>
          <w:sz w:val="22"/>
          <w:szCs w:val="22"/>
          <w:rtl w:val="0"/>
        </w:rPr>
        <w:t xml:space="preserve">limₜ→∞ T(t) = 0  ⟹  x(t) → x*ᴷ</w:t>
      </w:r>
    </w:p>
    <w:p w:rsidR="00000000" w:rsidDel="00000000" w:rsidP="00000000" w:rsidRDefault="00000000" w14:paraId="00000AB8">
      <w:pPr>
        <w:rPr/>
      </w:pPr>
      <w:r>
        <w:rPr>
          <w:rFonts w:ascii="Arial" w:cs="Arial" w:eastAsia="Arial" w:hAnsi="Arial"/>
          <w:sz w:val="24"/>
          <w:szCs w:val="24"/>
          <w:rtl w:val="0"/>
        </w:rPr>
        <w:t xml:space="preserve">The Regenerative corridor (x*ᴿ) is not a fixed-point attractor but a transient trajectory through [0,1]⁵ satisfying Φ(t) &gt; Φ* for a bounded interval, after which the system exits to the Normal differentiated state x*ᴻ = {P→0, T→1}. This transience is architectural, not incidental: the corridor is narrow because it requires simultaneous satisfaction of all five inequalities xᵢ(t) &gt; θᵢ. The failure mode of any single layer is deterministic collapse to either Fibrosis (if P fails to activate) or Dysplasia (if T fails to terminate). The preclinical protocol Groups 1–5 are designed to map the basin boundaries of all three attractors.</w:t>
      </w:r>
    </w:p>
    <w:p w:rsidR="00000000" w:rsidDel="00000000" w:rsidP="00000000" w:rsidRDefault="00000000" w14:paraId="00000AB9">
      <w:pPr>
        <w:pStyle w:val="Heading2"/>
        <w:rPr/>
      </w:pPr>
      <w:r>
        <w:rPr>
          <w:rFonts w:ascii="Arial" w:cs="Arial" w:eastAsia="Arial" w:hAnsi="Arial"/>
          <w:b w:val="1"/>
          <w:sz w:val="26"/>
          <w:szCs w:val="26"/>
          <w:rtl w:val="0"/>
        </w:rPr>
        <w:t xml:space="preserve">3.5 Neural Synchronization: Kuramoto Formalism</w:t>
      </w:r>
    </w:p>
    <w:p w:rsidR="00000000" w:rsidDel="00000000" w:rsidP="00000000" w:rsidRDefault="00000000" w14:paraId="00000ABA">
      <w:pPr>
        <w:rPr/>
      </w:pPr>
      <w:r>
        <w:rPr>
          <w:rFonts w:ascii="Arial" w:cs="Arial" w:eastAsia="Arial" w:hAnsi="Arial"/>
          <w:sz w:val="24"/>
          <w:szCs w:val="24"/>
          <w:rtl w:val="0"/>
        </w:rPr>
        <w:t xml:space="preserve">The S(t) component is formalized through Kuramoto-like coupled oscillator dynamics across N cells in the regenerative domain:</w:t>
      </w:r>
    </w:p>
    <w:p w:rsidR="00000000" w:rsidDel="00000000" w:rsidP="00000000" w:rsidRDefault="00000000" w14:paraId="00000ABB">
      <w:pPr>
        <w:ind w:left="720"/>
        <w:rPr/>
      </w:pPr>
      <w:r>
        <w:rPr>
          <w:rFonts w:ascii="Courier New" w:cs="Courier New" w:eastAsia="Courier New" w:hAnsi="Courier New"/>
          <w:sz w:val="22"/>
          <w:szCs w:val="22"/>
          <w:rtl w:val="0"/>
        </w:rPr>
        <w:t xml:space="preserve">dφᵢ/dt = ωᵢ + (K/N) ∑ⱼ₌₁ᴻ sin(φⱼ − φᵢ)</w:t>
      </w:r>
    </w:p>
    <w:p w:rsidR="00000000" w:rsidDel="00000000" w:rsidP="00000000" w:rsidRDefault="00000000" w14:paraId="00000ABC">
      <w:pPr>
        <w:ind w:left="720"/>
        <w:rPr/>
      </w:pPr>
      <w:r>
        <w:rPr>
          <w:rFonts w:ascii="Courier New" w:cs="Courier New" w:eastAsia="Courier New" w:hAnsi="Courier New"/>
          <w:sz w:val="22"/>
          <w:szCs w:val="22"/>
          <w:rtl w:val="0"/>
        </w:rPr>
        <w:t xml:space="preserve">r(t) = |1/N · ∑ⱼ e^(iφⱼ)|  ∈  [0,1]</w:t>
      </w:r>
    </w:p>
    <w:p w:rsidR="00000000" w:rsidDel="00000000" w:rsidP="00000000" w:rsidRDefault="00000000" w14:paraId="00000ABD">
      <w:pPr>
        <w:rPr/>
      </w:pPr>
      <w:r>
        <w:rPr>
          <w:rFonts w:ascii="Arial" w:cs="Arial" w:eastAsia="Arial" w:hAnsi="Arial"/>
          <w:sz w:val="24"/>
          <w:szCs w:val="24"/>
          <w:rtl w:val="0"/>
        </w:rPr>
        <w:t xml:space="preserve">where φᵢ is the phase of cell i, ωᵢ is its natural oscillation frequency, K is the neural coupling strength (proportional to nerve density ρ), and r(t) ≡ S(t) is the order parameter measuring population synchrony. The model predicts a second-order phase transition at critical coupling Kᴄ = 2/πg(0), where g(ω) is the distribution of natural cell frequencies. Below the critical nerve density ρc corresponding to Kᴄ, the system remains in the incoherent state r→0 regardless of BDNF dose. This is a sharp threshold, not a gradient—the key prediction distinguishing ARC synchronization theory from a simple dose-response model (Section 7, Prediction P1). Denervation drives K→0, which drives r→0, which drives S(t)→0, which drives Φ(t)→0 independently of all other layers. This formalizes why neural synchronization is a prerequisite and not a cofactor.</w:t>
      </w:r>
    </w:p>
    <w:p w:rsidR="00000000" w:rsidDel="00000000" w:rsidP="00000000" w:rsidRDefault="00000000" w14:paraId="00000ABE">
      <w:pPr>
        <w:pStyle w:val="Heading2"/>
        <w:rPr/>
      </w:pPr>
      <w:r>
        <w:rPr>
          <w:rFonts w:ascii="Arial" w:cs="Arial" w:eastAsia="Arial" w:hAnsi="Arial"/>
          <w:b w:val="1"/>
          <w:sz w:val="26"/>
          <w:szCs w:val="26"/>
          <w:rtl w:val="0"/>
        </w:rPr>
        <w:t xml:space="preserve">3.6 Falsifiable Predictions from the Formalism</w:t>
      </w:r>
    </w:p>
    <w:p w:rsidR="00000000" w:rsidDel="00000000" w:rsidP="00000000" w:rsidRDefault="00000000" w14:paraId="00000ABF">
      <w:pPr>
        <w:rPr/>
      </w:pPr>
      <w:r>
        <w:rPr>
          <w:rFonts w:ascii="Arial" w:cs="Arial" w:eastAsia="Arial" w:hAnsi="Arial"/>
          <w:sz w:val="24"/>
          <w:szCs w:val="24"/>
          <w:rtl w:val="0"/>
        </w:rPr>
        <w:t xml:space="preserve">The mathematical formalism generates five predictions that are quantitatively sharper than those derivable from the verbal framework alone:</w:t>
      </w:r>
    </w:p>
    <w:p w:rsidR="00000000" w:rsidDel="00000000" w:rsidP="00000000" w:rsidRDefault="00000000" w14:paraId="00000AC0">
      <w:pPr>
        <w:ind w:left="360"/>
        <w:rPr/>
      </w:pPr>
      <w:r>
        <w:rPr>
          <w:rFonts w:ascii="Arial" w:cs="Arial" w:eastAsia="Arial" w:hAnsi="Arial"/>
          <w:sz w:val="24"/>
          <w:szCs w:val="24"/>
          <w:rtl w:val="0"/>
        </w:rPr>
        <w:t xml:space="preserve">P1 (Synchronization threshold). The S-layer transition is a second-order phase transition. Below critical nerve density ρc, blastema formation is absent (not merely reduced). Group 2 histology at Day 7 is the critical test: gradual reduction in Sox2+/Prrx1+ cells would falsify the Kuramoto model and require an alternative S-layer formalism.</w:t>
      </w:r>
    </w:p>
    <w:p w:rsidR="00000000" w:rsidDel="00000000" w:rsidP="00000000" w:rsidRDefault="00000000" w14:paraId="00000AC1">
      <w:pPr>
        <w:ind w:left="360"/>
        <w:rPr/>
      </w:pPr>
      <w:r>
        <w:rPr>
          <w:rFonts w:ascii="Arial" w:cs="Arial" w:eastAsia="Arial" w:hAnsi="Arial"/>
          <w:sz w:val="24"/>
          <w:szCs w:val="24"/>
          <w:rtl w:val="0"/>
        </w:rPr>
        <w:t xml:space="preserve">P2 (Multiplicative necessity). Φ(t) &gt; Φ* is necessary and sufficient for RegenerativeState. Any single-layer activation produces Φ ≈ 0. Groups 1–3 provide direct tests of the necessity claim. If any single layer produces complete regeneration, the multiplicative model is falsified.</w:t>
      </w:r>
    </w:p>
    <w:p w:rsidR="00000000" w:rsidDel="00000000" w:rsidP="00000000" w:rsidRDefault="00000000" w14:paraId="00000AC2">
      <w:pPr>
        <w:ind w:left="360"/>
        <w:rPr/>
      </w:pPr>
      <w:r>
        <w:rPr>
          <w:rFonts w:ascii="Arial" w:cs="Arial" w:eastAsia="Arial" w:hAnsi="Arial"/>
          <w:sz w:val="24"/>
          <w:szCs w:val="24"/>
          <w:rtl w:val="0"/>
        </w:rPr>
        <w:t xml:space="preserve">P3 (Termination determinism). T(t)→0 under active P deterministically drives x(t) to the Dysplasia attractor. Group 5 (extended p53 inhibition, 7 days) tests this prediction. Absence of dysplasia in Group 5 would indicate that p53 is not the critical T-component and would require revision of the T-layer model.</w:t>
      </w:r>
    </w:p>
    <w:p w:rsidR="00000000" w:rsidDel="00000000" w:rsidP="00000000" w:rsidRDefault="00000000" w14:paraId="00000AC3">
      <w:pPr>
        <w:ind w:left="360"/>
        <w:rPr/>
      </w:pPr>
      <w:r>
        <w:rPr>
          <w:rFonts w:ascii="Arial" w:cs="Arial" w:eastAsia="Arial" w:hAnsi="Arial"/>
          <w:sz w:val="24"/>
          <w:szCs w:val="24"/>
          <w:rtl w:val="0"/>
        </w:rPr>
        <w:t xml:space="preserve">P4 (Predictive parameter fit). Exponents α–ε fit from Groups 1–3 must predict Groups 4–5 outcomes without re-fitting. If additional fitting is required, Φ(t) is a descriptive function, not a predictive model.</w:t>
      </w:r>
    </w:p>
    <w:p w:rsidR="00000000" w:rsidDel="00000000" w:rsidP="00000000" w:rsidRDefault="00000000" w14:paraId="00000AC4">
      <w:pPr>
        <w:ind w:left="360"/>
        <w:rPr/>
      </w:pPr>
      <w:r>
        <w:rPr>
          <w:rFonts w:ascii="Arial" w:cs="Arial" w:eastAsia="Arial" w:hAnsi="Arial"/>
          <w:sz w:val="24"/>
          <w:szCs w:val="24"/>
          <w:rtl w:val="0"/>
        </w:rPr>
        <w:t xml:space="preserve">P5 (Kuramoto critical dose). The Kuramoto formalism predicts a specific minimum BDNF dose corresponding to Kᴄ = 2/πg(0), not a dose range. If the BDNF response is graded rather than threshold, the Kuramoto model requires replacement with a continuous coupling model for the S-layer.</w:t>
      </w:r>
    </w:p>
    <w:p w:rsidR="00000000" w:rsidDel="00000000" w:rsidP="00000000" w:rsidRDefault="00000000" w14:paraId="00000AC5">
      <w:pPr>
        <w:rPr/>
      </w:pPr>
      <w:r>
        <w:rPr>
          <w:rFonts w:ascii="Arial" w:cs="Arial" w:eastAsia="Arial" w:hAnsi="Arial"/>
          <w:sz w:val="24"/>
          <w:szCs w:val="24"/>
          <w:rtl w:val="0"/>
        </w:rPr>
        <w:t xml:space="preserve">These predictions are not restatements of the verbal framework. They are additional quantitative claims introduced by the mathematical formalism that were not present in the original five-law description. Their experimental resolution in the preclinical protocol (Section 8) will determine whether ARC requires revision at the formalism level or only at the parameter level.</w:t>
      </w:r>
    </w:p>
    <w:p w:rsidR="00000000" w:rsidDel="00000000" w:rsidP="00000000" w:rsidRDefault="00000000" w14:paraId="00000AC6">
      <w:pPr>
        <w:pStyle w:val="Heading1"/>
        <w:rPr/>
      </w:pPr>
      <w:r>
        <w:rPr>
          <w:rFonts w:ascii="Arial" w:cs="Arial" w:eastAsia="Arial" w:hAnsi="Arial"/>
          <w:b w:val="1"/>
          <w:bCs w:val="1"/>
          <w:sz w:val="28"/>
          <w:szCs w:val="28"/>
          <w:rtl w:val="0"/>
        </w:rPr>
        <w:t xml:space="preserve">4. THE FIVE LAWS OF ARC</w:t>
      </w:r>
    </w:p>
    <w:p w:rsidR="00000000" w:rsidDel="00000000" w:rsidP="00000000" w:rsidRDefault="00000000" w:rsidRPr="00000000" w14:paraId="00000010">
      <w:pPr>
        <w:pStyle w:val="Heading1"/>
        <w:rPr/>
      </w:pPr>
      <w:r>
        <w:rPr>
          <w:rFonts w:ascii="Arial" w:cs="Arial" w:eastAsia="Arial" w:hAnsi="Arial"/>
          <w:b w:val="1"/>
          <w:bCs w:val="1"/>
          <w:sz w:val="28"/>
          <w:szCs w:val="28"/>
          <w:rtl w:val="0"/>
        </w:rPr>
        <w:t xml:space="preserve">3. THE FIVE LAWS OF CMR</w:t>
      </w:r>
      <w:r>
        <w:rPr>
          <w:rtl w:val="0"/>
        </w:rPr>
      </w:r>
    </w:p>
    <w:p w:rsidR="00000000" w:rsidDel="00000000" w:rsidP="00000000" w:rsidRDefault="00000000" w:rsidRPr="00000000" w14:paraId="00000011">
      <w:pPr>
        <w:pStyle w:val="Heading2"/>
        <w:rPr/>
      </w:pPr>
      <w:r>
        <w:rPr>
          <w:rFonts w:ascii="Arial" w:cs="Arial" w:eastAsia="Arial" w:hAnsi="Arial"/>
          <w:b w:val="1"/>
          <w:bCs w:val="1"/>
          <w:sz w:val="24"/>
          <w:szCs w:val="24"/>
          <w:rtl w:val="0"/>
        </w:rPr>
        <w:t xml:space="preserve">3.1 Law of Permission</w:t>
      </w:r>
      <w:r>
        <w:rPr>
          <w:rtl w:val="0"/>
        </w:rPr>
      </w:r>
    </w:p>
    <w:p w:rsidR="00000000" w:rsidDel="00000000" w:rsidP="00000000" w:rsidRDefault="00000000" w:rsidRPr="00000000" w14:paraId="00000012">
      <w:pPr>
        <w:spacing w:after="160" w:lineRule="auto"/>
        <w:rPr/>
      </w:pPr>
      <w:r>
        <w:rPr>
          <w:rFonts w:ascii="Arial" w:cs="Arial" w:eastAsia="Arial" w:hAnsi="Arial"/>
          <w:sz w:val="22"/>
          <w:szCs w:val="22"/>
          <w:rtl w:val="0"/>
        </w:rPr>
        <w:t xml:space="preserve">Adult tissue cannot enter a regenerative state without transient release of epigenetic stability-lock. This lock is maintained by p53 activity, chromatin compaction via HDAC complexes, and DNA methylation patterns that preserve cell identity and suppress proliferative gene programs.</w:t>
      </w:r>
      <w:r>
        <w:rPr>
          <w:rtl w:val="0"/>
        </w:rPr>
      </w:r>
    </w:p>
    <w:p w:rsidR="00000000" w:rsidDel="00000000" w:rsidP="00000000" w:rsidRDefault="00000000" w:rsidRPr="00000000" w14:paraId="00000013">
      <w:pPr>
        <w:spacing w:after="160" w:lineRule="auto"/>
        <w:rPr/>
      </w:pPr>
      <w:r>
        <w:rPr>
          <w:rFonts w:ascii="Arial" w:cs="Arial" w:eastAsia="Arial" w:hAnsi="Arial"/>
          <w:sz w:val="22"/>
          <w:szCs w:val="22"/>
          <w:rtl w:val="0"/>
        </w:rPr>
        <w:t xml:space="preserve">Mechanistic basis: Yang et al. (2023, Cell) demonstrated that loss of epigenetic information is a causal driver of mammalian aging, and that OSK-mediated partial reprogramming restores youthful methylation patterns and regenerative competence in retinal ganglion cells (Lu et al., 2020, Nature) without inducing pluripotency or oncogenesis when applied transiently.</w:t>
      </w:r>
      <w:r>
        <w:rPr>
          <w:rtl w:val="0"/>
        </w:rPr>
      </w:r>
    </w:p>
    <w:p w:rsidR="00000000" w:rsidDel="00000000" w:rsidP="00000000" w:rsidRDefault="00000000" w:rsidRPr="00000000" w14:paraId="00000014">
      <w:pPr>
        <w:spacing w:after="160" w:lineRule="auto"/>
        <w:rPr/>
      </w:pPr>
      <w:r>
        <w:rPr>
          <w:rFonts w:ascii="Arial" w:cs="Arial" w:eastAsia="Arial" w:hAnsi="Arial"/>
          <w:sz w:val="22"/>
          <w:szCs w:val="22"/>
          <w:rtl w:val="0"/>
        </w:rPr>
        <w:t xml:space="preserve">Operational implication: Transient p53 inhibition (pifithrin-alpha or chemical analogues) combined with HDAC inhibition (valproic acid, local delivery) for &lt;72 hours induces a repair-competence state. This is not dedifferentiation to pluripotency. It is de-repression of latent positional information.</w:t>
      </w:r>
      <w:r>
        <w:rPr>
          <w:rtl w:val="0"/>
        </w:rPr>
      </w:r>
    </w:p>
    <w:p w:rsidR="00000000" w:rsidDel="00000000" w:rsidP="00000000" w:rsidRDefault="00000000" w:rsidRPr="00000000" w14:paraId="00000015">
      <w:pPr>
        <w:pStyle w:val="Heading2"/>
        <w:rPr/>
      </w:pPr>
      <w:r>
        <w:rPr>
          <w:rFonts w:ascii="Arial" w:cs="Arial" w:eastAsia="Arial" w:hAnsi="Arial"/>
          <w:b w:val="1"/>
          <w:bCs w:val="1"/>
          <w:sz w:val="24"/>
          <w:szCs w:val="24"/>
          <w:rtl w:val="0"/>
        </w:rPr>
        <w:t xml:space="preserve">3.2 Law of Coordinates</w:t>
      </w:r>
      <w:r>
        <w:rPr>
          <w:rtl w:val="0"/>
        </w:rPr>
      </w:r>
    </w:p>
    <w:p w:rsidR="00000000" w:rsidDel="00000000" w:rsidP="00000000" w:rsidRDefault="00000000" w:rsidRPr="00000000" w14:paraId="00000016">
      <w:pPr>
        <w:spacing w:after="160" w:lineRule="auto"/>
        <w:rPr/>
      </w:pPr>
      <w:r>
        <w:rPr>
          <w:rFonts w:ascii="Arial" w:cs="Arial" w:eastAsia="Arial" w:hAnsi="Arial"/>
          <w:sz w:val="22"/>
          <w:szCs w:val="22"/>
          <w:rtl w:val="0"/>
        </w:rPr>
        <w:t xml:space="preserve">Morphogenesis requires a spatial addressing system. In embryogenesis, this is provided by bioelectric gradients (transmembrane voltage, Vmem) and positional signals (HOX gene expression, retinoic acid gradients). Adult tissue retains these systems in latent form.</w:t>
      </w:r>
      <w:r>
        <w:rPr>
          <w:rtl w:val="0"/>
        </w:rPr>
      </w:r>
    </w:p>
    <w:p w:rsidR="00000000" w:rsidDel="00000000" w:rsidP="00000000" w:rsidRDefault="00000000" w:rsidRPr="00000000" w14:paraId="00000017">
      <w:pPr>
        <w:spacing w:after="160" w:lineRule="auto"/>
        <w:rPr/>
      </w:pPr>
      <w:r>
        <w:rPr>
          <w:rFonts w:ascii="Arial" w:cs="Arial" w:eastAsia="Arial" w:hAnsi="Arial"/>
          <w:sz w:val="22"/>
          <w:szCs w:val="22"/>
          <w:rtl w:val="0"/>
        </w:rPr>
        <w:t xml:space="preserve">Mechanistic basis: Levin and colleagues (2021, Cell; 2023, iScience) demonstrated that endogenous Vmem distributions function as morphogenetic information storage, controlling gene expression and enabling cell collectives to execute large-scale patterning decisions. Rinn et al. (2008) showed that dermal fibroblasts in adult humans retain positional HOX expression corresponding to their anatomical origin, confirming that positional memory persists into adulthood.</w:t>
      </w:r>
      <w:r>
        <w:rPr>
          <w:rtl w:val="0"/>
        </w:rPr>
      </w:r>
    </w:p>
    <w:p w:rsidR="00000000" w:rsidDel="00000000" w:rsidP="00000000" w:rsidRDefault="00000000" w:rsidRPr="00000000" w14:paraId="00000018">
      <w:pPr>
        <w:spacing w:after="160" w:lineRule="auto"/>
        <w:rPr/>
      </w:pPr>
      <w:r>
        <w:rPr>
          <w:rFonts w:ascii="Arial" w:cs="Arial" w:eastAsia="Arial" w:hAnsi="Arial"/>
          <w:sz w:val="22"/>
          <w:szCs w:val="22"/>
          <w:rtl w:val="0"/>
        </w:rPr>
        <w:t xml:space="preserve">Operational implication: An externally applied Vmem gradient via low-current electrode (10-100 microamperes, DC) provides spatial coordinates to the regenerative domain. Combined with local retinoic acid gradient delivery, this re-activates the proximo-distal positional addressing system without introducing exogenous genetic information.</w:t>
      </w:r>
      <w:r>
        <w:rPr>
          <w:rtl w:val="0"/>
        </w:rPr>
      </w:r>
    </w:p>
    <w:p w:rsidR="00000000" w:rsidDel="00000000" w:rsidP="00000000" w:rsidRDefault="00000000" w:rsidRPr="00000000" w14:paraId="00000019">
      <w:pPr>
        <w:pStyle w:val="Heading2"/>
        <w:rPr/>
      </w:pPr>
      <w:r>
        <w:rPr>
          <w:rFonts w:ascii="Arial" w:cs="Arial" w:eastAsia="Arial" w:hAnsi="Arial"/>
          <w:b w:val="1"/>
          <w:bCs w:val="1"/>
          <w:sz w:val="24"/>
          <w:szCs w:val="24"/>
          <w:rtl w:val="0"/>
        </w:rPr>
        <w:t xml:space="preserve">3.3 Law of Synchronization</w:t>
      </w:r>
      <w:r>
        <w:rPr>
          <w:rtl w:val="0"/>
        </w:rPr>
      </w:r>
    </w:p>
    <w:p w:rsidR="00000000" w:rsidDel="00000000" w:rsidP="00000000" w:rsidRDefault="00000000" w:rsidRPr="00000000" w14:paraId="0000001A">
      <w:pPr>
        <w:spacing w:after="160" w:lineRule="auto"/>
        <w:rPr/>
      </w:pPr>
      <w:r>
        <w:rPr>
          <w:rFonts w:ascii="Arial" w:cs="Arial" w:eastAsia="Arial" w:hAnsi="Arial"/>
          <w:sz w:val="22"/>
          <w:szCs w:val="22"/>
          <w:rtl w:val="0"/>
        </w:rPr>
        <w:t xml:space="preserve">The peripheral nervous system functions as a phase-locking synchronization bus for the regenerative domain. Denervation experiments in axolotl (Kumar et al., 2000), Xenopus (Murugan et al., 2022, Science Advances), and peripheral nerve regeneration studies in mammals consistently demonstrate that nerve-derived signals are required not merely as trophic support but as temporal coordinators of growth rate, vascular timing, and positional coherence.</w:t>
      </w:r>
      <w:r>
        <w:rPr>
          <w:rtl w:val="0"/>
        </w:rPr>
      </w:r>
    </w:p>
    <w:p w:rsidR="00000000" w:rsidDel="00000000" w:rsidP="00000000" w:rsidRDefault="00000000" w:rsidRPr="00000000" w14:paraId="0000001B">
      <w:pPr>
        <w:spacing w:after="160" w:lineRule="auto"/>
        <w:rPr/>
      </w:pPr>
      <w:r>
        <w:rPr>
          <w:rFonts w:ascii="Arial" w:cs="Arial" w:eastAsia="Arial" w:hAnsi="Arial"/>
          <w:sz w:val="22"/>
          <w:szCs w:val="22"/>
          <w:rtl w:val="0"/>
        </w:rPr>
        <w:t xml:space="preserve">Mechanistic basis: Without intact innervation, blastema formation either fails or produces structurally disorganized tissue. The neural contribution appears to function as a low-frequency oscillatory synchronization signal, coordinating otherwise asynchronous cellular programs across the domain. BDNF and NGF release from Schwann cells and macrophages at the injury site links neural activity to immune phenotype switching (M1 to M2) and subsequent vascular growth.</w:t>
      </w:r>
      <w:r>
        <w:rPr>
          <w:rtl w:val="0"/>
        </w:rPr>
      </w:r>
    </w:p>
    <w:p w:rsidR="00000000" w:rsidDel="00000000" w:rsidP="00000000" w:rsidRDefault="00000000" w:rsidRPr="00000000" w14:paraId="0000001C">
      <w:pPr>
        <w:spacing w:after="160" w:lineRule="auto"/>
        <w:rPr/>
      </w:pPr>
      <w:r>
        <w:rPr>
          <w:rFonts w:ascii="Arial" w:cs="Arial" w:eastAsia="Arial" w:hAnsi="Arial"/>
          <w:sz w:val="22"/>
          <w:szCs w:val="22"/>
          <w:rtl w:val="0"/>
        </w:rPr>
        <w:t xml:space="preserve">Operational implication: Neural synchronization must be established BEFORE the regenerative runtime is initiated. BDNF/NGF delivery to the peri-neural zone at T-7 days prior to the main protocol is a prerequisite, not a cofactor. Protocol initiation proceeds only after confirmed nerve density recovery (PGP9.5 immunohistochemistry).</w:t>
      </w:r>
      <w:r>
        <w:rPr>
          <w:rtl w:val="0"/>
        </w:rPr>
      </w:r>
    </w:p>
    <w:p w:rsidR="00000000" w:rsidDel="00000000" w:rsidP="00000000" w:rsidRDefault="00000000" w:rsidRPr="00000000" w14:paraId="0000001D">
      <w:pPr>
        <w:pStyle w:val="Heading2"/>
        <w:rPr/>
      </w:pPr>
      <w:r>
        <w:rPr>
          <w:rFonts w:ascii="Arial" w:cs="Arial" w:eastAsia="Arial" w:hAnsi="Arial"/>
          <w:b w:val="1"/>
          <w:bCs w:val="1"/>
          <w:sz w:val="24"/>
          <w:szCs w:val="24"/>
          <w:rtl w:val="0"/>
        </w:rPr>
        <w:t xml:space="preserve">3.4 Law of Sandboxed Growth</w:t>
      </w:r>
      <w:r>
        <w:rPr>
          <w:rtl w:val="0"/>
        </w:rPr>
      </w:r>
    </w:p>
    <w:p w:rsidR="00000000" w:rsidDel="00000000" w:rsidP="00000000" w:rsidRDefault="00000000" w:rsidRPr="00000000" w14:paraId="0000001E">
      <w:pPr>
        <w:spacing w:after="160" w:lineRule="auto"/>
        <w:rPr/>
      </w:pPr>
      <w:r>
        <w:rPr>
          <w:rFonts w:ascii="Arial" w:cs="Arial" w:eastAsia="Arial" w:hAnsi="Arial"/>
          <w:sz w:val="22"/>
          <w:szCs w:val="22"/>
          <w:rtl w:val="0"/>
        </w:rPr>
        <w:t xml:space="preserve">Regeneration requires spatial confinement. Without defined domain boundaries, permissive growth signals produce hyperplasia, fibrosis, or morphologically incorrect structures. The blastema in axolotl and the fracture callus in mammals represent naturally occurring sandboxed domains: physically bounded, transiently permissive, and positionally addressed zones of morphogenetic activity.</w:t>
      </w:r>
      <w:r>
        <w:rPr>
          <w:rtl w:val="0"/>
        </w:rPr>
      </w:r>
    </w:p>
    <w:p w:rsidR="00000000" w:rsidDel="00000000" w:rsidP="00000000" w:rsidRDefault="00000000" w:rsidRPr="00000000" w14:paraId="0000001F">
      <w:pPr>
        <w:spacing w:after="160" w:lineRule="auto"/>
        <w:rPr/>
      </w:pPr>
      <w:r>
        <w:rPr>
          <w:rFonts w:ascii="Arial" w:cs="Arial" w:eastAsia="Arial" w:hAnsi="Arial"/>
          <w:sz w:val="22"/>
          <w:szCs w:val="22"/>
          <w:rtl w:val="0"/>
        </w:rPr>
        <w:t xml:space="preserve">Mechanistic basis: Levin (2009, Seminars in Cell and Developmental Biology) showed that bioelectric gradients define morphogenetic field boundaries with higher spatial precision than chemical gradients alone. Badylak et al. (2005-2022) demonstrated that ECM scaffolds with defined degradation kinetics guide M2 macrophage polarization and subsequent tissue remodeling in spatially constrained zones.</w:t>
      </w:r>
      <w:r>
        <w:rPr>
          <w:rtl w:val="0"/>
        </w:rPr>
      </w:r>
    </w:p>
    <w:p w:rsidR="00000000" w:rsidDel="00000000" w:rsidP="00000000" w:rsidRDefault="00000000" w:rsidRPr="00000000" w14:paraId="00000020">
      <w:pPr>
        <w:spacing w:after="160" w:lineRule="auto"/>
        <w:rPr/>
      </w:pPr>
      <w:r>
        <w:rPr>
          <w:rFonts w:ascii="Arial" w:cs="Arial" w:eastAsia="Arial" w:hAnsi="Arial"/>
          <w:sz w:val="22"/>
          <w:szCs w:val="22"/>
          <w:rtl w:val="0"/>
        </w:rPr>
        <w:t xml:space="preserve">Operational implication: The sandbox is constructed from three independently validated components: (1) a biodegradable PLGA scaffold with spatially programmed gradient degradation (periphery by day 14, center by day 28) providing mechanical containment; (2) a bioelectric boundary via electrode array calibrated to scaffold fiducial markers (&lt;500 micrometer precision), creating a Vmem-permission gradient; and (3) TGF-beta3 applied to the domain perimeter, maintaining fibrosis-lock outside while preserving permissive state inside.</w:t>
      </w:r>
      <w:r>
        <w:rPr>
          <w:rtl w:val="0"/>
        </w:rPr>
      </w:r>
    </w:p>
    <w:p w:rsidR="00000000" w:rsidDel="00000000" w:rsidP="00000000" w:rsidRDefault="00000000" w:rsidRPr="00000000" w14:paraId="00000021">
      <w:pPr>
        <w:pStyle w:val="Heading2"/>
        <w:rPr/>
      </w:pPr>
      <w:r>
        <w:rPr>
          <w:rFonts w:ascii="Arial" w:cs="Arial" w:eastAsia="Arial" w:hAnsi="Arial"/>
          <w:b w:val="1"/>
          <w:bCs w:val="1"/>
          <w:sz w:val="24"/>
          <w:szCs w:val="24"/>
          <w:rtl w:val="0"/>
        </w:rPr>
        <w:t xml:space="preserve">3.5 Law of Timed Termination</w:t>
      </w:r>
      <w:r>
        <w:rPr>
          <w:rtl w:val="0"/>
        </w:rPr>
      </w:r>
    </w:p>
    <w:p w:rsidR="00000000" w:rsidDel="00000000" w:rsidP="00000000" w:rsidRDefault="00000000" w:rsidRPr="00000000" w14:paraId="00000022">
      <w:pPr>
        <w:spacing w:after="160" w:lineRule="auto"/>
        <w:rPr/>
      </w:pPr>
      <w:r>
        <w:rPr>
          <w:rFonts w:ascii="Arial" w:cs="Arial" w:eastAsia="Arial" w:hAnsi="Arial"/>
          <w:sz w:val="22"/>
          <w:szCs w:val="22"/>
          <w:rtl w:val="0"/>
        </w:rPr>
        <w:t xml:space="preserve">Every regenerative runtime must terminate autonomously. This is the most critical law. Failure of termination is the mechanism of cancer. The difference between regeneration and neoplasia is not the growth machinery used but the presence or absence of termination signals.</w:t>
      </w:r>
      <w:r>
        <w:rPr>
          <w:rtl w:val="0"/>
        </w:rPr>
      </w:r>
    </w:p>
    <w:p w:rsidR="00000000" w:rsidDel="00000000" w:rsidP="00000000" w:rsidRDefault="00000000" w:rsidRPr="00000000" w14:paraId="00000023">
      <w:pPr>
        <w:spacing w:after="160" w:lineRule="auto"/>
        <w:rPr/>
      </w:pPr>
      <w:r>
        <w:rPr>
          <w:rFonts w:ascii="Arial" w:cs="Arial" w:eastAsia="Arial" w:hAnsi="Arial"/>
          <w:sz w:val="22"/>
          <w:szCs w:val="22"/>
          <w:rtl w:val="0"/>
        </w:rPr>
        <w:t xml:space="preserve">Mechanistic basis: Contact inhibition (Hippo pathway, YAP/TAZ deactivation upon confluence) provides cell-intrinsic termination. p53 recovery upon cessation of inhibitors re-establishes oncogenic surveillance. Scaffold degradation removes the mechanical permissive signal. Vmem normalization upon electrode removal eliminates the bioelectric addressing signal. Each shutdown mechanism is independent; their overlap provides redundancy.</w:t>
      </w:r>
      <w:r>
        <w:rPr>
          <w:rtl w:val="0"/>
        </w:rPr>
      </w:r>
    </w:p>
    <w:p w:rsidR="00000000" w:rsidDel="00000000" w:rsidP="00000000" w:rsidRDefault="00000000" w:rsidRPr="00000000" w14:paraId="00000024">
      <w:pPr>
        <w:spacing w:after="160" w:lineRule="auto"/>
        <w:rPr/>
      </w:pPr>
      <w:r>
        <w:rPr>
          <w:rFonts w:ascii="Arial" w:cs="Arial" w:eastAsia="Arial" w:hAnsi="Arial"/>
          <w:sz w:val="22"/>
          <w:szCs w:val="22"/>
          <w:rtl w:val="0"/>
        </w:rPr>
        <w:t xml:space="preserve">Oncogenic risk management: Personalized mRNA vaccination against patient-specific neoantigens (BioNTech/Moderna platform, Phase III 2024) combined with CAR-T cells targeted to Ki-67-high/p21-low proliferative signature provides active immune surveillance throughout the protocol. The key insight is that oncogenic risk is not eliminated by suppression but rendered operationally negligible by surveillance that responds faster than clonal expansion.</w:t>
      </w:r>
      <w:r>
        <w:rPr>
          <w:rtl w:val="0"/>
        </w:rPr>
      </w:r>
    </w:p>
    <w:p w:rsidR="00000000" w:rsidDel="00000000" w:rsidP="00000000" w:rsidRDefault="00000000" w:rsidRPr="00000000" w14:paraId="00000025">
      <w:pPr>
        <w:spacing w:after="200" w:lineRule="auto"/>
        <w:rPr/>
      </w:pPr>
      <w:r>
        <w:rPr>
          <w:rtl w:val="0"/>
        </w:rPr>
      </w:r>
    </w:p>
    <w:p w:rsidR="00000000" w:rsidDel="00000000" w:rsidP="00000000" w:rsidRDefault="00000000" w:rsidRPr="00000000" w14:paraId="00000026">
      <w:pPr>
        <w:pStyle w:val="Heading1"/>
        <w:rPr/>
      </w:pPr>
      <w:r>
        <w:rPr>
          <w:rFonts w:ascii="Arial" w:cs="Arial" w:eastAsia="Arial" w:hAnsi="Arial"/>
          <w:b w:val="1"/>
          <w:bCs w:val="1"/>
          <w:sz w:val="28"/>
          <w:szCs w:val="28"/>
          <w:rtl w:val="0"/>
        </w:rPr>
        <w:t xml:space="preserve">4. RETROSPECTIVE EVIDENCE</w:t>
      </w:r>
      <w:r>
        <w:rPr>
          <w:rtl w:val="0"/>
        </w:rPr>
      </w:r>
    </w:p>
    <w:p w:rsidR="00000000" w:rsidDel="00000000" w:rsidP="00000000" w:rsidRDefault="00000000" w:rsidRPr="00000000" w14:paraId="00000027">
      <w:pPr>
        <w:spacing w:after="160" w:lineRule="auto"/>
        <w:rPr/>
      </w:pPr>
      <w:r>
        <w:rPr>
          <w:rFonts w:ascii="Arial" w:cs="Arial" w:eastAsia="Arial" w:hAnsi="Arial"/>
          <w:sz w:val="22"/>
          <w:szCs w:val="22"/>
          <w:rtl w:val="0"/>
        </w:rPr>
        <w:t xml:space="preserve">Each law of CMR is independently supported by existing experimental literature. The following table summarizes key evidence across model organisms and tissue types.</w:t>
      </w:r>
      <w:r>
        <w:rPr>
          <w:rtl w:val="0"/>
        </w:rPr>
      </w:r>
    </w:p>
    <w:p w:rsidR="00000000" w:rsidDel="00000000" w:rsidP="00000000" w:rsidRDefault="00000000" w:rsidRPr="00000000" w14:paraId="00000028">
      <w:pPr>
        <w:spacing w:after="200" w:lineRule="auto"/>
        <w:rPr/>
      </w:pPr>
      <w:r>
        <w:rPr>
          <w:rtl w:val="0"/>
        </w:rPr>
      </w:r>
    </w:p>
    <w:tbl>
      <w:tblPr>
        <w:tblStyle w:val="Table1"/>
        <w:tblW w:w="8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500"/>
        <w:gridCol w:w="1500"/>
        <w:gridCol w:w="2000"/>
        <w:gridCol w:w="900"/>
        <w:tblGridChange w:id="0">
          <w:tblGrid>
            <w:gridCol w:w="1600"/>
            <w:gridCol w:w="2500"/>
            <w:gridCol w:w="1500"/>
            <w:gridCol w:w="2000"/>
            <w:gridCol w:w="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9">
            <w:pPr>
              <w:rPr/>
            </w:pPr>
            <w:r>
              <w:rPr>
                <w:rFonts w:ascii="Arial" w:cs="Arial" w:eastAsia="Arial" w:hAnsi="Arial"/>
                <w:b w:val="1"/>
                <w:bCs w:val="1"/>
                <w:color w:val="ffffff"/>
                <w:sz w:val="20"/>
                <w:szCs w:val="20"/>
                <w:rtl w:val="0"/>
              </w:rPr>
              <w:t xml:space="preserve">CMR Law</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A">
            <w:pPr>
              <w:rPr/>
            </w:pPr>
            <w:r>
              <w:rPr>
                <w:rFonts w:ascii="Arial" w:cs="Arial" w:eastAsia="Arial" w:hAnsi="Arial"/>
                <w:b w:val="1"/>
                <w:bCs w:val="1"/>
                <w:color w:val="ffffff"/>
                <w:sz w:val="20"/>
                <w:szCs w:val="20"/>
                <w:rtl w:val="0"/>
              </w:rPr>
              <w:t xml:space="preserve">Key Evidence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B">
            <w:pPr>
              <w:rPr/>
            </w:pPr>
            <w:r>
              <w:rPr>
                <w:rFonts w:ascii="Arial" w:cs="Arial" w:eastAsia="Arial" w:hAnsi="Arial"/>
                <w:b w:val="1"/>
                <w:bCs w:val="1"/>
                <w:color w:val="ffffff"/>
                <w:sz w:val="20"/>
                <w:szCs w:val="20"/>
                <w:rtl w:val="0"/>
              </w:rPr>
              <w:t xml:space="preserve">Model</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C">
            <w:pPr>
              <w:rPr/>
            </w:pPr>
            <w:r>
              <w:rPr>
                <w:rFonts w:ascii="Arial" w:cs="Arial" w:eastAsia="Arial" w:hAnsi="Arial"/>
                <w:b w:val="1"/>
                <w:bCs w:val="1"/>
                <w:color w:val="ffffff"/>
                <w:sz w:val="20"/>
                <w:szCs w:val="20"/>
                <w:rtl w:val="0"/>
              </w:rPr>
              <w:t xml:space="preserve">Reference</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rPr/>
            </w:pPr>
            <w:r>
              <w:rPr>
                <w:rFonts w:ascii="Arial" w:cs="Arial" w:eastAsia="Arial" w:hAnsi="Arial"/>
                <w:b w:val="1"/>
                <w:bCs w:val="1"/>
                <w:color w:val="ffffff"/>
                <w:sz w:val="20"/>
                <w:szCs w:val="20"/>
                <w:rtl w:val="0"/>
              </w:rPr>
              <w:t xml:space="preserve">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Pr>
                <w:rFonts w:ascii="Arial" w:cs="Arial" w:eastAsia="Arial" w:hAnsi="Arial"/>
                <w:sz w:val="20"/>
                <w:szCs w:val="20"/>
                <w:rtl w:val="0"/>
              </w:rPr>
              <w:t xml:space="preserve">Permission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Pr>
                <w:rFonts w:ascii="Arial" w:cs="Arial" w:eastAsia="Arial" w:hAnsi="Arial"/>
                <w:sz w:val="20"/>
                <w:szCs w:val="20"/>
                <w:rtl w:val="0"/>
              </w:rPr>
              <w:t xml:space="preserve">OSK restores methylation, axon regeneration without oncogenesis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Pr>
                <w:rFonts w:ascii="Arial" w:cs="Arial" w:eastAsia="Arial" w:hAnsi="Arial"/>
                <w:sz w:val="20"/>
                <w:szCs w:val="20"/>
                <w:rtl w:val="0"/>
              </w:rPr>
              <w:t xml:space="preserve">Mouse retinal ganglion cells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Pr>
                <w:rFonts w:ascii="Arial" w:cs="Arial" w:eastAsia="Arial" w:hAnsi="Arial"/>
                <w:sz w:val="20"/>
                <w:szCs w:val="20"/>
                <w:rtl w:val="0"/>
              </w:rPr>
              <w:t xml:space="preserve">Lu et al. 2020, Nature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Pr>
                <w:rFonts w:ascii="Arial" w:cs="Arial" w:eastAsia="Arial" w:hAnsi="Arial"/>
                <w:sz w:val="20"/>
                <w:szCs w:val="20"/>
                <w:rtl w:val="0"/>
              </w:rPr>
              <w:t xml:space="preserve">Confirmed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Pr>
                <w:rFonts w:ascii="Arial" w:cs="Arial" w:eastAsia="Arial" w:hAnsi="Arial"/>
                <w:sz w:val="20"/>
                <w:szCs w:val="20"/>
                <w:rtl w:val="0"/>
              </w:rPr>
              <w:t xml:space="preserve">Permission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Pr>
                <w:rFonts w:ascii="Arial" w:cs="Arial" w:eastAsia="Arial" w:hAnsi="Arial"/>
                <w:sz w:val="20"/>
                <w:szCs w:val="20"/>
                <w:rtl w:val="0"/>
              </w:rPr>
              <w:t xml:space="preserve">Loss of epigenetic information as cause of mammalian aging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Pr>
                <w:rFonts w:ascii="Arial" w:cs="Arial" w:eastAsia="Arial" w:hAnsi="Arial"/>
                <w:sz w:val="20"/>
                <w:szCs w:val="20"/>
                <w:rtl w:val="0"/>
              </w:rPr>
              <w:t xml:space="preserve">Mouse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Pr>
                <w:rFonts w:ascii="Arial" w:cs="Arial" w:eastAsia="Arial" w:hAnsi="Arial"/>
                <w:sz w:val="20"/>
                <w:szCs w:val="20"/>
                <w:rtl w:val="0"/>
              </w:rPr>
              <w:t xml:space="preserve">Yang et al. 2023, Cell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Pr>
                <w:rFonts w:ascii="Arial" w:cs="Arial" w:eastAsia="Arial" w:hAnsi="Arial"/>
                <w:sz w:val="20"/>
                <w:szCs w:val="20"/>
                <w:rtl w:val="0"/>
              </w:rPr>
              <w:t xml:space="preserve">Confirmed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Pr>
                <w:rFonts w:ascii="Arial" w:cs="Arial" w:eastAsia="Arial" w:hAnsi="Arial"/>
                <w:sz w:val="20"/>
                <w:szCs w:val="20"/>
                <w:rtl w:val="0"/>
              </w:rPr>
              <w:t xml:space="preserve">Permission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Pr>
                <w:rFonts w:ascii="Arial" w:cs="Arial" w:eastAsia="Arial" w:hAnsi="Arial"/>
                <w:sz w:val="20"/>
                <w:szCs w:val="20"/>
                <w:rtl w:val="0"/>
              </w:rPr>
              <w:t xml:space="preserve">Partial OSKM reverses age phenotypes in skeletal muscle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Pr>
                <w:rFonts w:ascii="Arial" w:cs="Arial" w:eastAsia="Arial" w:hAnsi="Arial"/>
                <w:sz w:val="20"/>
                <w:szCs w:val="20"/>
                <w:rtl w:val="0"/>
              </w:rPr>
              <w:t xml:space="preserve">Mouse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Pr>
                <w:rFonts w:ascii="Arial" w:cs="Arial" w:eastAsia="Arial" w:hAnsi="Arial"/>
                <w:sz w:val="20"/>
                <w:szCs w:val="20"/>
                <w:rtl w:val="0"/>
              </w:rPr>
              <w:t xml:space="preserve">Cipriano/Sinclair 2023, Nat Aging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Pr>
                <w:rFonts w:ascii="Arial" w:cs="Arial" w:eastAsia="Arial" w:hAnsi="Arial"/>
                <w:sz w:val="20"/>
                <w:szCs w:val="20"/>
                <w:rtl w:val="0"/>
              </w:rPr>
              <w:t xml:space="preserve">Confirmed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Pr>
                <w:rFonts w:ascii="Arial" w:cs="Arial" w:eastAsia="Arial" w:hAnsi="Arial"/>
                <w:sz w:val="20"/>
                <w:szCs w:val="20"/>
                <w:rtl w:val="0"/>
              </w:rPr>
              <w:t xml:space="preserve">Coordinates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Pr>
                <w:rFonts w:ascii="Arial" w:cs="Arial" w:eastAsia="Arial" w:hAnsi="Arial"/>
                <w:sz w:val="20"/>
                <w:szCs w:val="20"/>
                <w:rtl w:val="0"/>
              </w:rPr>
              <w:t xml:space="preserve">Vmem gradients control large-scale patterning decisions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Pr>
                <w:rFonts w:ascii="Arial" w:cs="Arial" w:eastAsia="Arial" w:hAnsi="Arial"/>
                <w:sz w:val="20"/>
                <w:szCs w:val="20"/>
                <w:rtl w:val="0"/>
              </w:rPr>
              <w:t xml:space="preserve">Planaria, Xenopus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Pr>
                <w:rFonts w:ascii="Arial" w:cs="Arial" w:eastAsia="Arial" w:hAnsi="Arial"/>
                <w:sz w:val="20"/>
                <w:szCs w:val="20"/>
                <w:rtl w:val="0"/>
              </w:rPr>
              <w:t xml:space="preserve">Levin 2021, Cell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Pr>
                <w:rFonts w:ascii="Arial" w:cs="Arial" w:eastAsia="Arial" w:hAnsi="Arial"/>
                <w:sz w:val="20"/>
                <w:szCs w:val="20"/>
                <w:rtl w:val="0"/>
              </w:rPr>
              <w:t xml:space="preserve">Confirmed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Pr>
                <w:rFonts w:ascii="Arial" w:cs="Arial" w:eastAsia="Arial" w:hAnsi="Arial"/>
                <w:sz w:val="20"/>
                <w:szCs w:val="20"/>
                <w:rtl w:val="0"/>
              </w:rPr>
              <w:t xml:space="preserve">Coordinates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Pr>
                <w:rFonts w:ascii="Arial" w:cs="Arial" w:eastAsia="Arial" w:hAnsi="Arial"/>
                <w:sz w:val="20"/>
                <w:szCs w:val="20"/>
                <w:rtl w:val="0"/>
              </w:rPr>
              <w:t xml:space="preserve">Bioelectric correction of anatomical polarity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Pr>
                <w:rFonts w:ascii="Arial" w:cs="Arial" w:eastAsia="Arial" w:hAnsi="Arial"/>
                <w:sz w:val="20"/>
                <w:szCs w:val="20"/>
                <w:rtl w:val="0"/>
              </w:rPr>
              <w:t xml:space="preserve">Planaria</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Pr>
                <w:rFonts w:ascii="Arial" w:cs="Arial" w:eastAsia="Arial" w:hAnsi="Arial"/>
                <w:sz w:val="20"/>
                <w:szCs w:val="20"/>
                <w:rtl w:val="0"/>
              </w:rPr>
              <w:t xml:space="preserve">Levin lab 2007-2024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Pr>
                <w:rFonts w:ascii="Arial" w:cs="Arial" w:eastAsia="Arial" w:hAnsi="Arial"/>
                <w:sz w:val="20"/>
                <w:szCs w:val="20"/>
                <w:rtl w:val="0"/>
              </w:rPr>
              <w:t xml:space="preserve">Confirmed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Pr>
                <w:rFonts w:ascii="Arial" w:cs="Arial" w:eastAsia="Arial" w:hAnsi="Arial"/>
                <w:sz w:val="20"/>
                <w:szCs w:val="20"/>
                <w:rtl w:val="0"/>
              </w:rPr>
              <w:t xml:space="preserve">Coordinates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Pr>
                <w:rFonts w:ascii="Arial" w:cs="Arial" w:eastAsia="Arial" w:hAnsi="Arial"/>
                <w:sz w:val="20"/>
                <w:szCs w:val="20"/>
                <w:rtl w:val="0"/>
              </w:rPr>
              <w:t xml:space="preserve">HOX positional memory in adult human fibroblasts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Pr>
                <w:rFonts w:ascii="Arial" w:cs="Arial" w:eastAsia="Arial" w:hAnsi="Arial"/>
                <w:sz w:val="20"/>
                <w:szCs w:val="20"/>
                <w:rtl w:val="0"/>
              </w:rPr>
              <w:t xml:space="preserve">Human skin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Pr>
                <w:rFonts w:ascii="Arial" w:cs="Arial" w:eastAsia="Arial" w:hAnsi="Arial"/>
                <w:sz w:val="20"/>
                <w:szCs w:val="20"/>
                <w:rtl w:val="0"/>
              </w:rPr>
              <w:t xml:space="preserve">Rinn et al. 2008</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Pr>
                <w:rFonts w:ascii="Arial" w:cs="Arial" w:eastAsia="Arial" w:hAnsi="Arial"/>
                <w:sz w:val="20"/>
                <w:szCs w:val="20"/>
                <w:rtl w:val="0"/>
              </w:rPr>
              <w:t xml:space="preserve">Confirmed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Pr>
                <w:rFonts w:ascii="Arial" w:cs="Arial" w:eastAsia="Arial" w:hAnsi="Arial"/>
                <w:sz w:val="20"/>
                <w:szCs w:val="20"/>
                <w:rtl w:val="0"/>
              </w:rPr>
              <w:t xml:space="preserve">Synchronization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Pr>
                <w:rFonts w:ascii="Arial" w:cs="Arial" w:eastAsia="Arial" w:hAnsi="Arial"/>
                <w:sz w:val="20"/>
                <w:szCs w:val="20"/>
                <w:rtl w:val="0"/>
              </w:rPr>
              <w:t xml:space="preserve">Denervation collapses blastema pattern fidelity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Pr>
                <w:rFonts w:ascii="Arial" w:cs="Arial" w:eastAsia="Arial" w:hAnsi="Arial"/>
                <w:sz w:val="20"/>
                <w:szCs w:val="20"/>
                <w:rtl w:val="0"/>
              </w:rPr>
              <w:t xml:space="preserve">Axolotl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Pr>
                <w:rFonts w:ascii="Arial" w:cs="Arial" w:eastAsia="Arial" w:hAnsi="Arial"/>
                <w:sz w:val="20"/>
                <w:szCs w:val="20"/>
                <w:rtl w:val="0"/>
              </w:rPr>
              <w:t xml:space="preserve">Kumar et al. 2000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Pr>
                <w:rFonts w:ascii="Arial" w:cs="Arial" w:eastAsia="Arial" w:hAnsi="Arial"/>
                <w:sz w:val="20"/>
                <w:szCs w:val="20"/>
                <w:rtl w:val="0"/>
              </w:rPr>
              <w:t xml:space="preserve">Confirmed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Pr>
                <w:rFonts w:ascii="Arial" w:cs="Arial" w:eastAsia="Arial" w:hAnsi="Arial"/>
                <w:sz w:val="20"/>
                <w:szCs w:val="20"/>
                <w:rtl w:val="0"/>
              </w:rPr>
              <w:t xml:space="preserve">Synchronization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Pr>
                <w:rFonts w:ascii="Arial" w:cs="Arial" w:eastAsia="Arial" w:hAnsi="Arial"/>
                <w:sz w:val="20"/>
                <w:szCs w:val="20"/>
                <w:rtl w:val="0"/>
              </w:rPr>
              <w:t xml:space="preserve">Wearable bioreactor + multi-drug: limb regeneration adult Xenopus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Pr>
                <w:rFonts w:ascii="Arial" w:cs="Arial" w:eastAsia="Arial" w:hAnsi="Arial"/>
                <w:sz w:val="20"/>
                <w:szCs w:val="20"/>
                <w:rtl w:val="0"/>
              </w:rPr>
              <w:t xml:space="preserve">Xenopus laevis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Pr>
                <w:rFonts w:ascii="Arial" w:cs="Arial" w:eastAsia="Arial" w:hAnsi="Arial"/>
                <w:sz w:val="20"/>
                <w:szCs w:val="20"/>
                <w:rtl w:val="0"/>
              </w:rPr>
              <w:t xml:space="preserve">Murugan et al. 2022, Sci Adv</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Pr>
                <w:rFonts w:ascii="Arial" w:cs="Arial" w:eastAsia="Arial" w:hAnsi="Arial"/>
                <w:sz w:val="20"/>
                <w:szCs w:val="20"/>
                <w:rtl w:val="0"/>
              </w:rPr>
              <w:t xml:space="preserve">Confirmed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Pr>
                <w:rFonts w:ascii="Arial" w:cs="Arial" w:eastAsia="Arial" w:hAnsi="Arial"/>
                <w:sz w:val="20"/>
                <w:szCs w:val="20"/>
                <w:rtl w:val="0"/>
              </w:rPr>
              <w:t xml:space="preserve">Synchronization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Pr>
                <w:rFonts w:ascii="Arial" w:cs="Arial" w:eastAsia="Arial" w:hAnsi="Arial"/>
                <w:sz w:val="20"/>
                <w:szCs w:val="20"/>
                <w:rtl w:val="0"/>
              </w:rPr>
              <w:t xml:space="preserve">Sensory DRG neurons produce FGF9/TGFb1/SHH in phases; denervation = defective mesenchymal proliferation + osteodifferentiation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Pr>
                <w:rFonts w:ascii="Arial" w:cs="Arial" w:eastAsia="Arial" w:hAnsi="Arial"/>
                <w:sz w:val="20"/>
                <w:szCs w:val="20"/>
                <w:rtl w:val="0"/>
              </w:rPr>
              <w:t xml:space="preserve">Mouse bone fracture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Pr>
                <w:rFonts w:ascii="Arial" w:cs="Arial" w:eastAsia="Arial" w:hAnsi="Arial"/>
                <w:sz w:val="20"/>
                <w:szCs w:val="20"/>
                <w:rtl w:val="0"/>
              </w:rPr>
              <w:t xml:space="preserve">Xu et al. 2026, Science 391:eadr9608</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Pr>
                <w:rFonts w:ascii="Arial" w:cs="Arial" w:eastAsia="Arial" w:hAnsi="Arial"/>
                <w:sz w:val="20"/>
                <w:szCs w:val="20"/>
                <w:rtl w:val="0"/>
              </w:rPr>
              <w:t xml:space="preserve">Confirmed 2026</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Pr>
                <w:rFonts w:ascii="Arial" w:cs="Arial" w:eastAsia="Arial" w:hAnsi="Arial"/>
                <w:sz w:val="20"/>
                <w:szCs w:val="20"/>
                <w:rtl w:val="0"/>
              </w:rPr>
              <w:t xml:space="preserve">Sandboxed Growth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Pr>
                <w:rFonts w:ascii="Arial" w:cs="Arial" w:eastAsia="Arial" w:hAnsi="Arial"/>
                <w:sz w:val="20"/>
                <w:szCs w:val="20"/>
                <w:rtl w:val="0"/>
              </w:rPr>
              <w:t xml:space="preserve">ECM scaffold + M2 polarization: structured tissue remodeling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Pr>
                <w:rFonts w:ascii="Arial" w:cs="Arial" w:eastAsia="Arial" w:hAnsi="Arial"/>
                <w:sz w:val="20"/>
                <w:szCs w:val="20"/>
                <w:rtl w:val="0"/>
              </w:rPr>
              <w:t xml:space="preserve">Multiple mammalian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Pr>
                <w:rFonts w:ascii="Arial" w:cs="Arial" w:eastAsia="Arial" w:hAnsi="Arial"/>
                <w:sz w:val="20"/>
                <w:szCs w:val="20"/>
                <w:rtl w:val="0"/>
              </w:rPr>
              <w:t xml:space="preserve">Badylak et al. 2005-2022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Pr>
                <w:rFonts w:ascii="Arial" w:cs="Arial" w:eastAsia="Arial" w:hAnsi="Arial"/>
                <w:sz w:val="20"/>
                <w:szCs w:val="20"/>
                <w:rtl w:val="0"/>
              </w:rPr>
              <w:t xml:space="preserve">Confirmed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Pr>
                <w:rFonts w:ascii="Arial" w:cs="Arial" w:eastAsia="Arial" w:hAnsi="Arial"/>
                <w:sz w:val="20"/>
                <w:szCs w:val="20"/>
                <w:rtl w:val="0"/>
              </w:rPr>
              <w:t xml:space="preserve">Sandboxed Growth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Pr>
                <w:rFonts w:ascii="Arial" w:cs="Arial" w:eastAsia="Arial" w:hAnsi="Arial"/>
                <w:sz w:val="20"/>
                <w:szCs w:val="20"/>
                <w:rtl w:val="0"/>
              </w:rPr>
              <w:t xml:space="preserve">Fracture callus = natural transient regenerative niche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Pr>
                <w:rFonts w:ascii="Arial" w:cs="Arial" w:eastAsia="Arial" w:hAnsi="Arial"/>
                <w:sz w:val="20"/>
                <w:szCs w:val="20"/>
                <w:rtl w:val="0"/>
              </w:rPr>
              <w:t xml:space="preserve">Mouse, Human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Pr>
                <w:rFonts w:ascii="Arial" w:cs="Arial" w:eastAsia="Arial" w:hAnsi="Arial"/>
                <w:sz w:val="20"/>
                <w:szCs w:val="20"/>
                <w:rtl w:val="0"/>
              </w:rPr>
              <w:t xml:space="preserve">Multiple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sz w:val="20"/>
                <w:szCs w:val="20"/>
                <w:rtl w:val="0"/>
              </w:rPr>
              <w:t xml:space="preserve">Confirmed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Pr>
                <w:rFonts w:ascii="Arial" w:cs="Arial" w:eastAsia="Arial" w:hAnsi="Arial"/>
                <w:sz w:val="20"/>
                <w:szCs w:val="20"/>
                <w:rtl w:val="0"/>
              </w:rPr>
              <w:t xml:space="preserve">Timed Termination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sz w:val="20"/>
                <w:szCs w:val="20"/>
                <w:rtl w:val="0"/>
              </w:rPr>
              <w:t xml:space="preserve">Transient OSK: regeneration without dysplasia when time-limited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sz w:val="20"/>
                <w:szCs w:val="20"/>
                <w:rtl w:val="0"/>
              </w:rPr>
              <w:t xml:space="preserve">Mouse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Pr>
                <w:rFonts w:ascii="Arial" w:cs="Arial" w:eastAsia="Arial" w:hAnsi="Arial"/>
                <w:sz w:val="20"/>
                <w:szCs w:val="20"/>
                <w:rtl w:val="0"/>
              </w:rPr>
              <w:t xml:space="preserve">Lu et al. 2020, Nature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sz w:val="20"/>
                <w:szCs w:val="20"/>
                <w:rtl w:val="0"/>
              </w:rPr>
              <w:t xml:space="preserve">Confirmed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sz w:val="20"/>
                <w:szCs w:val="20"/>
                <w:rtl w:val="0"/>
              </w:rPr>
              <w:t xml:space="preserve">Timed Termination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Pr>
                <w:rFonts w:ascii="Arial" w:cs="Arial" w:eastAsia="Arial" w:hAnsi="Arial"/>
                <w:sz w:val="20"/>
                <w:szCs w:val="20"/>
                <w:rtl w:val="0"/>
              </w:rPr>
              <w:t xml:space="preserve">mRNA cancer vaccine: immune surveillance of proliferative cells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rPr/>
            </w:pPr>
            <w:r>
              <w:rPr>
                <w:rFonts w:ascii="Arial" w:cs="Arial" w:eastAsia="Arial" w:hAnsi="Arial"/>
                <w:sz w:val="20"/>
                <w:szCs w:val="20"/>
                <w:rtl w:val="0"/>
              </w:rPr>
              <w:t xml:space="preserve">Human Phase III</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Pr>
                <w:rFonts w:ascii="Arial" w:cs="Arial" w:eastAsia="Arial" w:hAnsi="Arial"/>
                <w:sz w:val="20"/>
                <w:szCs w:val="20"/>
                <w:rtl w:val="0"/>
              </w:rPr>
              <w:t xml:space="preserve">BioNTech/Moderna 2024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Pr>
                <w:rFonts w:ascii="Arial" w:cs="Arial" w:eastAsia="Arial" w:hAnsi="Arial"/>
                <w:sz w:val="20"/>
                <w:szCs w:val="20"/>
                <w:rtl w:val="0"/>
              </w:rPr>
              <w:t xml:space="preserve">Clinical</w:t>
            </w:r>
            <w:r>
              <w:rPr>
                <w:rtl w:val="0"/>
              </w:rPr>
            </w:r>
          </w:p>
        </w:tc>
      </w:tr>
    </w:tbl>
    <w:p w:rsidR="00000000" w:rsidDel="00000000" w:rsidP="00000000" w:rsidRDefault="00000000" w:rsidRPr="00000000" w14:paraId="0000006F">
      <w:pPr>
        <w:spacing w:after="200" w:lineRule="auto"/>
        <w:rPr/>
      </w:pPr>
      <w:r>
        <w:rPr>
          <w:rtl w:val="0"/>
        </w:rPr>
      </w:r>
    </w:p>
    <w:p w:rsidR="00000000" w:rsidDel="00000000" w:rsidP="00000000" w:rsidRDefault="00000000" w:rsidRPr="00000000" w14:paraId="00000070">
      <w:pPr>
        <w:spacing w:after="160" w:lineRule="auto"/>
        <w:rPr/>
      </w:pPr>
      <w:r>
        <w:rPr>
          <w:rFonts w:ascii="Arial" w:cs="Arial" w:eastAsia="Arial" w:hAnsi="Arial"/>
          <w:sz w:val="22"/>
          <w:szCs w:val="22"/>
          <w:rtl w:val="0"/>
        </w:rPr>
        <w:t xml:space="preserve">Critical gap: No existing study has simultaneously activated all five layers within a unified protocol in adult mammals. CMR is the first framework to propose and operationalize this orchestration.</w:t>
      </w:r>
      <w:r>
        <w:rPr>
          <w:rtl w:val="0"/>
        </w:rPr>
      </w:r>
    </w:p>
    <w:p w:rsidR="00000000" w:rsidDel="00000000" w:rsidP="00000000" w:rsidRDefault="00000000" w:rsidRPr="00000000" w14:paraId="00000071">
      <w:pPr>
        <w:spacing w:after="200" w:lineRule="auto"/>
        <w:rPr/>
      </w:pPr>
      <w:r>
        <w:rPr>
          <w:rtl w:val="0"/>
        </w:rPr>
      </w:r>
    </w:p>
    <w:p w:rsidR="00000000" w:rsidDel="00000000" w:rsidP="00000000" w:rsidRDefault="00000000" w:rsidRPr="00000000" w14:paraId="00000072">
      <w:pPr>
        <w:pStyle w:val="Heading1"/>
        <w:rPr/>
      </w:pPr>
      <w:r>
        <w:rPr>
          <w:rFonts w:ascii="Arial" w:cs="Arial" w:eastAsia="Arial" w:hAnsi="Arial"/>
          <w:b w:val="1"/>
          <w:bCs w:val="1"/>
          <w:sz w:val="28"/>
          <w:szCs w:val="28"/>
          <w:rtl w:val="0"/>
        </w:rPr>
        <w:t xml:space="preserve">5. CMR ARCHITECTURE</w:t>
      </w:r>
      <w:r>
        <w:rPr>
          <w:rtl w:val="0"/>
        </w:rPr>
      </w:r>
    </w:p>
    <w:p w:rsidR="00000000" w:rsidDel="00000000" w:rsidP="00000000" w:rsidRDefault="00000000" w:rsidRPr="00000000" w14:paraId="00000073">
      <w:pPr>
        <w:spacing w:after="160" w:lineRule="auto"/>
        <w:rPr/>
      </w:pPr>
      <w:r>
        <w:rPr>
          <w:rFonts w:ascii="Arial" w:cs="Arial" w:eastAsia="Arial" w:hAnsi="Arial"/>
          <w:sz w:val="22"/>
          <w:szCs w:val="22"/>
          <w:rtl w:val="0"/>
        </w:rPr>
        <w:t xml:space="preserve">The complete CMR operational stack for adult mammalian distal phalanx regeneration is structured as follows. Component sequence is non-negotiable: synchronization must precede permission; sandbox must precede permission gate opening; termination layer must be active before permission gate opens.</w:t>
      </w:r>
      <w:r>
        <w:rPr>
          <w:rtl w:val="0"/>
        </w:rPr>
      </w:r>
    </w:p>
    <w:p w:rsidR="00000000" w:rsidDel="00000000" w:rsidP="00000000" w:rsidRDefault="00000000" w:rsidRPr="00000000" w14:paraId="00000074">
      <w:pPr>
        <w:spacing w:after="200" w:lineRule="auto"/>
        <w:rPr/>
      </w:pPr>
      <w:r>
        <w:rPr>
          <w:rtl w:val="0"/>
        </w:rPr>
      </w:r>
    </w:p>
    <w:tbl>
      <w:tblPr>
        <w:tblStyle w:val="Table2"/>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2500"/>
        <w:gridCol w:w="1000"/>
        <w:gridCol w:w="1460"/>
        <w:tblGridChange w:id="0">
          <w:tblGrid>
            <w:gridCol w:w="1400"/>
            <w:gridCol w:w="2000"/>
            <w:gridCol w:w="2500"/>
            <w:gridCol w:w="1000"/>
            <w:gridCol w:w="1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b w:val="1"/>
                <w:bCs w:val="1"/>
                <w:color w:val="ffffff"/>
                <w:sz w:val="20"/>
                <w:szCs w:val="20"/>
                <w:rtl w:val="0"/>
              </w:rPr>
              <w:t xml:space="preserve">Layer</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b w:val="1"/>
                <w:bCs w:val="1"/>
                <w:color w:val="ffffff"/>
                <w:sz w:val="20"/>
                <w:szCs w:val="20"/>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7">
            <w:pPr>
              <w:rPr/>
            </w:pPr>
            <w:r>
              <w:rPr>
                <w:rFonts w:ascii="Arial" w:cs="Arial" w:eastAsia="Arial" w:hAnsi="Arial"/>
                <w:b w:val="1"/>
                <w:bCs w:val="1"/>
                <w:color w:val="ffffff"/>
                <w:sz w:val="20"/>
                <w:szCs w:val="20"/>
                <w:rtl w:val="0"/>
              </w:rPr>
              <w:t xml:space="preserve">Mechanism</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b w:val="1"/>
                <w:bCs w:val="1"/>
                <w:color w:val="ffffff"/>
                <w:sz w:val="20"/>
                <w:szCs w:val="20"/>
                <w:rtl w:val="0"/>
              </w:rPr>
              <w:t xml:space="preserve">Timing</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b w:val="1"/>
                <w:bCs w:val="1"/>
                <w:color w:val="ffffff"/>
                <w:sz w:val="20"/>
                <w:szCs w:val="20"/>
                <w:rtl w:val="0"/>
              </w:rPr>
              <w:t xml:space="preserve">Clinical Status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Pr>
                <w:rFonts w:ascii="Arial" w:cs="Arial" w:eastAsia="Arial" w:hAnsi="Arial"/>
                <w:sz w:val="20"/>
                <w:szCs w:val="20"/>
                <w:rtl w:val="0"/>
              </w:rPr>
              <w:t xml:space="preserve">Pre-requisite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Pr>
                <w:rFonts w:ascii="Arial" w:cs="Arial" w:eastAsia="Arial" w:hAnsi="Arial"/>
                <w:sz w:val="20"/>
                <w:szCs w:val="20"/>
                <w:rtl w:val="0"/>
              </w:rPr>
              <w:t xml:space="preserve">BDNF/NGF perineural delivery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Pr>
                <w:rFonts w:ascii="Arial" w:cs="Arial" w:eastAsia="Arial" w:hAnsi="Arial"/>
                <w:sz w:val="20"/>
                <w:szCs w:val="20"/>
                <w:rtl w:val="0"/>
              </w:rPr>
              <w:t xml:space="preserve">Maximize nerve density; establish synchronization bus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Pr>
                <w:rFonts w:ascii="Arial" w:cs="Arial" w:eastAsia="Arial" w:hAnsi="Arial"/>
                <w:sz w:val="20"/>
                <w:szCs w:val="20"/>
                <w:rtl w:val="0"/>
              </w:rPr>
              <w:t xml:space="preserve">Day -7</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Pr>
                <w:rFonts w:ascii="Arial" w:cs="Arial" w:eastAsia="Arial" w:hAnsi="Arial"/>
                <w:sz w:val="20"/>
                <w:szCs w:val="20"/>
                <w:rtl w:val="0"/>
              </w:rPr>
              <w:t xml:space="preserve">Preclinical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sz w:val="20"/>
                <w:szCs w:val="20"/>
                <w:rtl w:val="0"/>
              </w:rPr>
              <w:t xml:space="preserve">Pre-requisite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Pr>
                <w:rFonts w:ascii="Arial" w:cs="Arial" w:eastAsia="Arial" w:hAnsi="Arial"/>
                <w:sz w:val="20"/>
                <w:szCs w:val="20"/>
                <w:rtl w:val="0"/>
              </w:rPr>
              <w:t xml:space="preserve">mRNA neoantigen vaccination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Pr>
                <w:rFonts w:ascii="Arial" w:cs="Arial" w:eastAsia="Arial" w:hAnsi="Arial"/>
                <w:sz w:val="20"/>
                <w:szCs w:val="20"/>
                <w:rtl w:val="0"/>
              </w:rPr>
              <w:t xml:space="preserve">Immune surveillance priming against proliferative signature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Pr>
                <w:rFonts w:ascii="Arial" w:cs="Arial" w:eastAsia="Arial" w:hAnsi="Arial"/>
                <w:sz w:val="20"/>
                <w:szCs w:val="20"/>
                <w:rtl w:val="0"/>
              </w:rPr>
              <w:t xml:space="preserve">Day -14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Pr>
                <w:rFonts w:ascii="Arial" w:cs="Arial" w:eastAsia="Arial" w:hAnsi="Arial"/>
                <w:sz w:val="20"/>
                <w:szCs w:val="20"/>
                <w:rtl w:val="0"/>
              </w:rPr>
              <w:t xml:space="preserve">Phase III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Pr>
                <w:rFonts w:ascii="Arial" w:cs="Arial" w:eastAsia="Arial" w:hAnsi="Arial"/>
                <w:sz w:val="20"/>
                <w:szCs w:val="20"/>
                <w:rtl w:val="0"/>
              </w:rPr>
              <w:t xml:space="preserve">Pre-requisite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Pr>
                <w:rFonts w:ascii="Arial" w:cs="Arial" w:eastAsia="Arial" w:hAnsi="Arial"/>
                <w:sz w:val="20"/>
                <w:szCs w:val="20"/>
                <w:rtl w:val="0"/>
              </w:rPr>
              <w:t xml:space="preserve">CAR-T Ki-67/p21 targeting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sz w:val="20"/>
                <w:szCs w:val="20"/>
                <w:rtl w:val="0"/>
              </w:rPr>
              <w:t xml:space="preserve">Active surveillance ready before permission gate opens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sz w:val="20"/>
                <w:szCs w:val="20"/>
                <w:rtl w:val="0"/>
              </w:rPr>
              <w:t xml:space="preserve">Day -7</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Pr>
                <w:rFonts w:ascii="Arial" w:cs="Arial" w:eastAsia="Arial" w:hAnsi="Arial"/>
                <w:sz w:val="20"/>
                <w:szCs w:val="20"/>
                <w:rtl w:val="0"/>
              </w:rPr>
              <w:t xml:space="preserve">Preclinical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Pr>
                <w:rFonts w:ascii="Arial" w:cs="Arial" w:eastAsia="Arial" w:hAnsi="Arial"/>
                <w:sz w:val="20"/>
                <w:szCs w:val="20"/>
                <w:rtl w:val="0"/>
              </w:rPr>
              <w:t xml:space="preserve">Sandbox</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Pr>
                <w:rFonts w:ascii="Arial" w:cs="Arial" w:eastAsia="Arial" w:hAnsi="Arial"/>
                <w:sz w:val="20"/>
                <w:szCs w:val="20"/>
                <w:rtl w:val="0"/>
              </w:rPr>
              <w:t xml:space="preserve">PLGA gradient scaffold placement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Pr>
                <w:rFonts w:ascii="Arial" w:cs="Arial" w:eastAsia="Arial" w:hAnsi="Arial"/>
                <w:sz w:val="20"/>
                <w:szCs w:val="20"/>
                <w:rtl w:val="0"/>
              </w:rPr>
              <w:t xml:space="preserve">Mechanical containment with programmed decay kinetics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Pr>
                <w:rFonts w:ascii="Arial" w:cs="Arial" w:eastAsia="Arial" w:hAnsi="Arial"/>
                <w:sz w:val="20"/>
                <w:szCs w:val="20"/>
                <w:rtl w:val="0"/>
              </w:rPr>
              <w:t xml:space="preserve">Day 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Pr>
                <w:rFonts w:ascii="Arial" w:cs="Arial" w:eastAsia="Arial" w:hAnsi="Arial"/>
                <w:sz w:val="20"/>
                <w:szCs w:val="20"/>
                <w:rtl w:val="0"/>
              </w:rPr>
              <w:t xml:space="preserve">Clinical (orthopedics)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Pr>
                <w:rFonts w:ascii="Arial" w:cs="Arial" w:eastAsia="Arial" w:hAnsi="Arial"/>
                <w:sz w:val="20"/>
                <w:szCs w:val="20"/>
                <w:rtl w:val="0"/>
              </w:rPr>
              <w:t xml:space="preserve">Sandbox</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Pr>
                <w:rFonts w:ascii="Arial" w:cs="Arial" w:eastAsia="Arial" w:hAnsi="Arial"/>
                <w:sz w:val="20"/>
                <w:szCs w:val="20"/>
                <w:rtl w:val="0"/>
              </w:rPr>
              <w:t xml:space="preserve">TGF-beta3 perimeter application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sz w:val="20"/>
                <w:szCs w:val="20"/>
                <w:rtl w:val="0"/>
              </w:rPr>
              <w:t xml:space="preserve">Fibrosis-lock maintained outside domain boundary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Pr>
                <w:rFonts w:ascii="Arial" w:cs="Arial" w:eastAsia="Arial" w:hAnsi="Arial"/>
                <w:sz w:val="20"/>
                <w:szCs w:val="20"/>
                <w:rtl w:val="0"/>
              </w:rPr>
              <w:t xml:space="preserve">Day 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Pr>
                <w:rFonts w:ascii="Arial" w:cs="Arial" w:eastAsia="Arial" w:hAnsi="Arial"/>
                <w:sz w:val="20"/>
                <w:szCs w:val="20"/>
                <w:rtl w:val="0"/>
              </w:rPr>
              <w:t xml:space="preserve">Preclinical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Pr>
                <w:rFonts w:ascii="Arial" w:cs="Arial" w:eastAsia="Arial" w:hAnsi="Arial"/>
                <w:sz w:val="20"/>
                <w:szCs w:val="20"/>
                <w:rtl w:val="0"/>
              </w:rPr>
              <w:t xml:space="preserve">Coordinates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sz w:val="20"/>
                <w:szCs w:val="20"/>
                <w:rtl w:val="0"/>
              </w:rPr>
              <w:t xml:space="preserve">Electrode array activation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sz w:val="20"/>
                <w:szCs w:val="20"/>
                <w:rtl w:val="0"/>
              </w:rPr>
              <w:t xml:space="preserve">Vmem gradient = spatial coordinate system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sz w:val="20"/>
                <w:szCs w:val="20"/>
                <w:rtl w:val="0"/>
              </w:rPr>
              <w:t xml:space="preserve">Day 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sz w:val="20"/>
                <w:szCs w:val="20"/>
                <w:rtl w:val="0"/>
              </w:rPr>
              <w:t xml:space="preserve">Clinical (bone/nerve)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sz w:val="20"/>
                <w:szCs w:val="20"/>
                <w:rtl w:val="0"/>
              </w:rPr>
              <w:t xml:space="preserve">Coordinates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sz w:val="20"/>
                <w:szCs w:val="20"/>
                <w:rtl w:val="0"/>
              </w:rPr>
              <w:t xml:space="preserve">Retinoic acid gradient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sz w:val="20"/>
                <w:szCs w:val="20"/>
                <w:rtl w:val="0"/>
              </w:rPr>
              <w:t xml:space="preserve">Proximo-distal HOX addressing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Pr>
                <w:rFonts w:ascii="Arial" w:cs="Arial" w:eastAsia="Arial" w:hAnsi="Arial"/>
                <w:sz w:val="20"/>
                <w:szCs w:val="20"/>
                <w:rtl w:val="0"/>
              </w:rPr>
              <w:t xml:space="preserve">Day 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Pr>
                <w:rFonts w:ascii="Arial" w:cs="Arial" w:eastAsia="Arial" w:hAnsi="Arial"/>
                <w:sz w:val="20"/>
                <w:szCs w:val="20"/>
                <w:rtl w:val="0"/>
              </w:rPr>
              <w:t xml:space="preserve">Preclinical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sz w:val="20"/>
                <w:szCs w:val="20"/>
                <w:rtl w:val="0"/>
              </w:rPr>
              <w:t xml:space="preserve">Permission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sz w:val="20"/>
                <w:szCs w:val="20"/>
                <w:rtl w:val="0"/>
              </w:rPr>
              <w:t xml:space="preserve">Pifithrin-alpha local delivery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sz w:val="20"/>
                <w:szCs w:val="20"/>
                <w:rtl w:val="0"/>
              </w:rPr>
              <w:t xml:space="preserve">Transient p53 inhibition &lt;72h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sz w:val="20"/>
                <w:szCs w:val="20"/>
                <w:rtl w:val="0"/>
              </w:rPr>
              <w:t xml:space="preserve">Day 0-3</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sz w:val="20"/>
                <w:szCs w:val="20"/>
                <w:rtl w:val="0"/>
              </w:rPr>
              <w:t xml:space="preserve">Preclinical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sz w:val="20"/>
                <w:szCs w:val="20"/>
                <w:rtl w:val="0"/>
              </w:rPr>
              <w:t xml:space="preserve">Permission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sz w:val="20"/>
                <w:szCs w:val="20"/>
                <w:rtl w:val="0"/>
              </w:rPr>
              <w:t xml:space="preserve">Valproic acid local delivery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Pr>
                <w:rFonts w:ascii="Arial" w:cs="Arial" w:eastAsia="Arial" w:hAnsi="Arial"/>
                <w:sz w:val="20"/>
                <w:szCs w:val="20"/>
                <w:rtl w:val="0"/>
              </w:rPr>
              <w:t xml:space="preserve">HDAC inhibition, de-repression of positional memory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Pr>
                <w:rFonts w:ascii="Arial" w:cs="Arial" w:eastAsia="Arial" w:hAnsi="Arial"/>
                <w:sz w:val="20"/>
                <w:szCs w:val="20"/>
                <w:rtl w:val="0"/>
              </w:rPr>
              <w:t xml:space="preserve">Day 0-5</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Pr>
                <w:rFonts w:ascii="Arial" w:cs="Arial" w:eastAsia="Arial" w:hAnsi="Arial"/>
                <w:sz w:val="20"/>
                <w:szCs w:val="20"/>
                <w:rtl w:val="0"/>
              </w:rPr>
              <w:t xml:space="preserve">Clinical (CNS)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Pr>
                <w:rFonts w:ascii="Arial" w:cs="Arial" w:eastAsia="Arial" w:hAnsi="Arial"/>
                <w:sz w:val="20"/>
                <w:szCs w:val="20"/>
                <w:rtl w:val="0"/>
              </w:rPr>
              <w:t xml:space="preserve">Execution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Pr>
                <w:rFonts w:ascii="Arial" w:cs="Arial" w:eastAsia="Arial" w:hAnsi="Arial"/>
                <w:sz w:val="20"/>
                <w:szCs w:val="20"/>
                <w:rtl w:val="0"/>
              </w:rPr>
              <w:t xml:space="preserve">Endogenous morphogenetic program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sz w:val="20"/>
                <w:szCs w:val="20"/>
                <w:rtl w:val="0"/>
              </w:rPr>
              <w:t xml:space="preserve">Genome-encoded topology executed by de-repressed cells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sz w:val="20"/>
                <w:szCs w:val="20"/>
                <w:rtl w:val="0"/>
              </w:rPr>
              <w:t xml:space="preserve">Day 0-28</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Pr>
                <w:rFonts w:ascii="Arial" w:cs="Arial" w:eastAsia="Arial" w:hAnsi="Arial"/>
                <w:sz w:val="20"/>
                <w:szCs w:val="20"/>
                <w:rtl w:val="0"/>
              </w:rPr>
              <w:t xml:space="preserve">N/A (intrinsic)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Pr>
                <w:rFonts w:ascii="Arial" w:cs="Arial" w:eastAsia="Arial" w:hAnsi="Arial"/>
                <w:sz w:val="20"/>
                <w:szCs w:val="20"/>
                <w:rtl w:val="0"/>
              </w:rPr>
              <w:t xml:space="preserve">Termination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Pr>
                <w:rFonts w:ascii="Arial" w:cs="Arial" w:eastAsia="Arial" w:hAnsi="Arial"/>
                <w:sz w:val="20"/>
                <w:szCs w:val="20"/>
                <w:rtl w:val="0"/>
              </w:rPr>
              <w:t xml:space="preserve">Electrode removal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Pr>
                <w:rFonts w:ascii="Arial" w:cs="Arial" w:eastAsia="Arial" w:hAnsi="Arial"/>
                <w:sz w:val="20"/>
                <w:szCs w:val="20"/>
                <w:rtl w:val="0"/>
              </w:rPr>
              <w:t xml:space="preserve">Vmem normalization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Pr>
                <w:rFonts w:ascii="Arial" w:cs="Arial" w:eastAsia="Arial" w:hAnsi="Arial"/>
                <w:sz w:val="20"/>
                <w:szCs w:val="20"/>
                <w:rtl w:val="0"/>
              </w:rPr>
              <w:t xml:space="preserve">Day 28</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Pr>
                <w:rFonts w:ascii="Arial" w:cs="Arial" w:eastAsia="Arial" w:hAnsi="Arial"/>
                <w:sz w:val="20"/>
                <w:szCs w:val="20"/>
                <w:rtl w:val="0"/>
              </w:rPr>
              <w:t xml:space="preserve">Trivial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Pr>
                <w:rFonts w:ascii="Arial" w:cs="Arial" w:eastAsia="Arial" w:hAnsi="Arial"/>
                <w:sz w:val="20"/>
                <w:szCs w:val="20"/>
                <w:rtl w:val="0"/>
              </w:rPr>
              <w:t xml:space="preserve">Termination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Pr>
                <w:rFonts w:ascii="Arial" w:cs="Arial" w:eastAsia="Arial" w:hAnsi="Arial"/>
                <w:sz w:val="20"/>
                <w:szCs w:val="20"/>
                <w:rtl w:val="0"/>
              </w:rPr>
              <w:t xml:space="preserve">Scaffold central degradation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Pr>
                <w:rFonts w:ascii="Arial" w:cs="Arial" w:eastAsia="Arial" w:hAnsi="Arial"/>
                <w:sz w:val="20"/>
                <w:szCs w:val="20"/>
                <w:rtl w:val="0"/>
              </w:rPr>
              <w:t xml:space="preserve">Mechanical constraint released after ECM maturation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Pr>
                <w:rFonts w:ascii="Arial" w:cs="Arial" w:eastAsia="Arial" w:hAnsi="Arial"/>
                <w:sz w:val="20"/>
                <w:szCs w:val="20"/>
                <w:rtl w:val="0"/>
              </w:rPr>
              <w:t xml:space="preserve">Day 28</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Pr>
                <w:rFonts w:ascii="Arial" w:cs="Arial" w:eastAsia="Arial" w:hAnsi="Arial"/>
                <w:sz w:val="20"/>
                <w:szCs w:val="20"/>
                <w:rtl w:val="0"/>
              </w:rPr>
              <w:t xml:space="preserve">Programmed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Pr>
                <w:rFonts w:ascii="Arial" w:cs="Arial" w:eastAsia="Arial" w:hAnsi="Arial"/>
                <w:sz w:val="20"/>
                <w:szCs w:val="20"/>
                <w:rtl w:val="0"/>
              </w:rPr>
              <w:t xml:space="preserve">Termination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Pr>
                <w:rFonts w:ascii="Arial" w:cs="Arial" w:eastAsia="Arial" w:hAnsi="Arial"/>
                <w:sz w:val="20"/>
                <w:szCs w:val="20"/>
                <w:rtl w:val="0"/>
              </w:rPr>
              <w:t xml:space="preserve">p53 autonomous recovery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Pr>
                <w:rFonts w:ascii="Arial" w:cs="Arial" w:eastAsia="Arial" w:hAnsi="Arial"/>
                <w:sz w:val="20"/>
                <w:szCs w:val="20"/>
                <w:rtl w:val="0"/>
              </w:rPr>
              <w:t xml:space="preserve">Oncogenic surveillance restored as differentiation completes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Pr>
                <w:rFonts w:ascii="Arial" w:cs="Arial" w:eastAsia="Arial" w:hAnsi="Arial"/>
                <w:sz w:val="20"/>
                <w:szCs w:val="20"/>
                <w:rtl w:val="0"/>
              </w:rPr>
              <w:t xml:space="preserve">Day 3 onward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Pr>
                <w:rFonts w:ascii="Arial" w:cs="Arial" w:eastAsia="Arial" w:hAnsi="Arial"/>
                <w:sz w:val="20"/>
                <w:szCs w:val="20"/>
                <w:rtl w:val="0"/>
              </w:rPr>
              <w:t xml:space="preserve">Intrinsic</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Pr>
                <w:rFonts w:ascii="Arial" w:cs="Arial" w:eastAsia="Arial" w:hAnsi="Arial"/>
                <w:sz w:val="20"/>
                <w:szCs w:val="20"/>
                <w:rtl w:val="0"/>
              </w:rPr>
              <w:t xml:space="preserve">Termination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Pr>
                <w:rFonts w:ascii="Arial" w:cs="Arial" w:eastAsia="Arial" w:hAnsi="Arial"/>
                <w:sz w:val="20"/>
                <w:szCs w:val="20"/>
                <w:rtl w:val="0"/>
              </w:rPr>
              <w:t xml:space="preserve">CAR-T sweep</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Pr>
                <w:rFonts w:ascii="Arial" w:cs="Arial" w:eastAsia="Arial" w:hAnsi="Arial"/>
                <w:sz w:val="20"/>
                <w:szCs w:val="20"/>
                <w:rtl w:val="0"/>
              </w:rPr>
              <w:t xml:space="preserve">Clearance of any residual Ki-67-high cells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Pr>
                <w:rFonts w:ascii="Arial" w:cs="Arial" w:eastAsia="Arial" w:hAnsi="Arial"/>
                <w:sz w:val="20"/>
                <w:szCs w:val="20"/>
                <w:rtl w:val="0"/>
              </w:rPr>
              <w:t xml:space="preserve">Days 28, 35, 42, 58</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Pr>
                <w:rFonts w:ascii="Arial" w:cs="Arial" w:eastAsia="Arial" w:hAnsi="Arial"/>
                <w:sz w:val="20"/>
                <w:szCs w:val="20"/>
                <w:rtl w:val="0"/>
              </w:rPr>
              <w:t xml:space="preserve">Preclinical</w:t>
            </w:r>
            <w:r>
              <w:rPr>
                <w:rtl w:val="0"/>
              </w:rPr>
            </w:r>
          </w:p>
        </w:tc>
      </w:tr>
    </w:tbl>
    <w:p w:rsidR="00000000" w:rsidDel="00000000" w:rsidP="00000000" w:rsidRDefault="00000000" w:rsidRPr="00000000" w14:paraId="000000C0">
      <w:pPr>
        <w:spacing w:after="200" w:lineRule="auto"/>
        <w:rPr/>
      </w:pPr>
      <w:r>
        <w:rPr>
          <w:rtl w:val="0"/>
        </w:rPr>
      </w:r>
    </w:p>
    <w:p w:rsidR="00000000" w:rsidDel="00000000" w:rsidP="00000000" w:rsidRDefault="00000000" w:rsidRPr="00000000" w14:paraId="000000C1">
      <w:pPr>
        <w:pStyle w:val="Heading1"/>
        <w:rPr/>
      </w:pPr>
      <w:r>
        <w:rPr>
          <w:rFonts w:ascii="Arial" w:cs="Arial" w:eastAsia="Arial" w:hAnsi="Arial"/>
          <w:b w:val="1"/>
          <w:bCs w:val="1"/>
          <w:sz w:val="28"/>
          <w:szCs w:val="28"/>
          <w:rtl w:val="0"/>
        </w:rPr>
        <w:t xml:space="preserve">6. FALSIFIABLE PREDICTIONS</w:t>
      </w:r>
      <w:r>
        <w:rPr>
          <w:rtl w:val="0"/>
        </w:rPr>
      </w:r>
    </w:p>
    <w:p w:rsidR="00000000" w:rsidDel="00000000" w:rsidP="00000000" w:rsidRDefault="00000000" w:rsidRPr="00000000" w14:paraId="000000C2">
      <w:pPr>
        <w:spacing w:after="160" w:lineRule="auto"/>
        <w:rPr/>
      </w:pPr>
      <w:r>
        <w:rPr>
          <w:rFonts w:ascii="Arial" w:cs="Arial" w:eastAsia="Arial" w:hAnsi="Arial"/>
          <w:sz w:val="22"/>
          <w:szCs w:val="22"/>
          <w:rtl w:val="0"/>
        </w:rPr>
        <w:t xml:space="preserve">CMR generates the following falsifiable predictions, testable in the preclinical model described in Section 7:</w:t>
      </w:r>
      <w:r>
        <w:rPr>
          <w:rtl w:val="0"/>
        </w:rPr>
      </w:r>
    </w:p>
    <w:p w:rsidR="00000000" w:rsidDel="00000000" w:rsidP="00000000" w:rsidRDefault="00000000" w:rsidRPr="00000000" w14:paraId="000000C3">
      <w:pPr>
        <w:spacing w:after="200" w:lineRule="auto"/>
        <w:rPr/>
      </w:pPr>
      <w:r>
        <w:rPr>
          <w:rtl w:val="0"/>
        </w:rPr>
      </w:r>
    </w:p>
    <w:tbl>
      <w:tblPr>
        <w:tblStyle w:val="Table3"/>
        <w:tblW w:w="7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800"/>
        <w:gridCol w:w="2560"/>
        <w:tblGridChange w:id="0">
          <w:tblGrid>
            <w:gridCol w:w="2500"/>
            <w:gridCol w:w="28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4">
            <w:pPr>
              <w:rPr/>
            </w:pPr>
            <w:r>
              <w:rPr>
                <w:rFonts w:ascii="Arial" w:cs="Arial" w:eastAsia="Arial" w:hAnsi="Arial"/>
                <w:b w:val="1"/>
                <w:bCs w:val="1"/>
                <w:color w:val="ffffff"/>
                <w:sz w:val="20"/>
                <w:szCs w:val="20"/>
                <w:rtl w:val="0"/>
              </w:rPr>
              <w:t xml:space="preserve">Prediction</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5">
            <w:pPr>
              <w:rPr/>
            </w:pPr>
            <w:r>
              <w:rPr>
                <w:rFonts w:ascii="Arial" w:cs="Arial" w:eastAsia="Arial" w:hAnsi="Arial"/>
                <w:b w:val="1"/>
                <w:bCs w:val="1"/>
                <w:color w:val="ffffff"/>
                <w:sz w:val="20"/>
                <w:szCs w:val="20"/>
                <w:rtl w:val="0"/>
              </w:rPr>
              <w:t xml:space="preserve">Experimental Test</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6">
            <w:pPr>
              <w:rPr/>
            </w:pPr>
            <w:r>
              <w:rPr>
                <w:rFonts w:ascii="Arial" w:cs="Arial" w:eastAsia="Arial" w:hAnsi="Arial"/>
                <w:b w:val="1"/>
                <w:bCs w:val="1"/>
                <w:color w:val="ffffff"/>
                <w:sz w:val="20"/>
                <w:szCs w:val="20"/>
                <w:rtl w:val="0"/>
              </w:rPr>
              <w:t xml:space="preserve">Falsifying Result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Pr>
                <w:rFonts w:ascii="Arial" w:cs="Arial" w:eastAsia="Arial" w:hAnsi="Arial"/>
                <w:sz w:val="20"/>
                <w:szCs w:val="20"/>
                <w:rtl w:val="0"/>
              </w:rPr>
              <w:t xml:space="preserve">Denervation destroys pattern fidelity but not blastema initiation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rPr/>
            </w:pPr>
            <w:r>
              <w:rPr>
                <w:rFonts w:ascii="Arial" w:cs="Arial" w:eastAsia="Arial" w:hAnsi="Arial"/>
                <w:sz w:val="20"/>
                <w:szCs w:val="20"/>
                <w:rtl w:val="0"/>
              </w:rPr>
              <w:t xml:space="preserve">Full protocol minus BDNF/NGF (Group 2 vs Group 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Pr>
                <w:rFonts w:ascii="Arial" w:cs="Arial" w:eastAsia="Arial" w:hAnsi="Arial"/>
                <w:sz w:val="20"/>
                <w:szCs w:val="20"/>
                <w:rtl w:val="0"/>
              </w:rPr>
              <w:t xml:space="preserve">Blastema fails to form entirely (would indicate nerve = permission, not synchronization)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A">
            <w:pPr>
              <w:rPr/>
            </w:pPr>
            <w:r>
              <w:rPr>
                <w:rFonts w:ascii="Arial" w:cs="Arial" w:eastAsia="Arial" w:hAnsi="Arial"/>
                <w:sz w:val="20"/>
                <w:szCs w:val="20"/>
                <w:rtl w:val="0"/>
              </w:rPr>
              <w:t xml:space="preserve">Vmem disruption collapses positional coherence without stopping growth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Pr>
                <w:rFonts w:ascii="Arial" w:cs="Arial" w:eastAsia="Arial" w:hAnsi="Arial"/>
                <w:sz w:val="20"/>
                <w:szCs w:val="20"/>
                <w:rtl w:val="0"/>
              </w:rPr>
              <w:t xml:space="preserve">Full protocol minus electrode array (Group 3 vs Group 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Pr>
                <w:rFonts w:ascii="Arial" w:cs="Arial" w:eastAsia="Arial" w:hAnsi="Arial"/>
                <w:sz w:val="20"/>
                <w:szCs w:val="20"/>
                <w:rtl w:val="0"/>
              </w:rPr>
              <w:t xml:space="preserve">No growth at all (would indicate Vmem = permission gate, not coordinate system)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Pr>
                <w:rFonts w:ascii="Arial" w:cs="Arial" w:eastAsia="Arial" w:hAnsi="Arial"/>
                <w:sz w:val="20"/>
                <w:szCs w:val="20"/>
                <w:rtl w:val="0"/>
              </w:rPr>
              <w:t xml:space="preserve">Isolated layers are individually insufficient for complete regeneration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pPr>
            <w:r>
              <w:rPr>
                <w:rFonts w:ascii="Arial" w:cs="Arial" w:eastAsia="Arial" w:hAnsi="Arial"/>
                <w:sz w:val="20"/>
                <w:szCs w:val="20"/>
                <w:rtl w:val="0"/>
              </w:rPr>
              <w:t xml:space="preserve">Single-layer groups vs full protocol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rPr/>
            </w:pPr>
            <w:r>
              <w:rPr>
                <w:rFonts w:ascii="Arial" w:cs="Arial" w:eastAsia="Arial" w:hAnsi="Arial"/>
                <w:sz w:val="20"/>
                <w:szCs w:val="20"/>
                <w:rtl w:val="0"/>
              </w:rPr>
              <w:t xml:space="preserve">Any single layer produces complete regeneration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Pr>
                <w:rFonts w:ascii="Arial" w:cs="Arial" w:eastAsia="Arial" w:hAnsi="Arial"/>
                <w:sz w:val="20"/>
                <w:szCs w:val="20"/>
                <w:rtl w:val="0"/>
              </w:rPr>
              <w:t xml:space="preserve">Shutdown failure increases dysplasia rate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Pr>
                <w:rFonts w:ascii="Arial" w:cs="Arial" w:eastAsia="Arial" w:hAnsi="Arial"/>
                <w:sz w:val="20"/>
                <w:szCs w:val="20"/>
                <w:rtl w:val="0"/>
              </w:rPr>
              <w:t xml:space="preserve">Protocol with p53 inhibitor extended beyond 72h</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Pr>
                <w:rFonts w:ascii="Arial" w:cs="Arial" w:eastAsia="Arial" w:hAnsi="Arial"/>
                <w:sz w:val="20"/>
                <w:szCs w:val="20"/>
                <w:rtl w:val="0"/>
              </w:rPr>
              <w:t xml:space="preserve">Extended inhibition produces no dysplasia (would indicate p53 is not critical termination component)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pPr>
            <w:r>
              <w:rPr>
                <w:rFonts w:ascii="Arial" w:cs="Arial" w:eastAsia="Arial" w:hAnsi="Arial"/>
                <w:sz w:val="20"/>
                <w:szCs w:val="20"/>
                <w:rtl w:val="0"/>
              </w:rPr>
              <w:t xml:space="preserve">Positional memory sufficient without exogenous morphogens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Pr>
                <w:rFonts w:ascii="Arial" w:cs="Arial" w:eastAsia="Arial" w:hAnsi="Arial"/>
                <w:sz w:val="20"/>
                <w:szCs w:val="20"/>
                <w:rtl w:val="0"/>
              </w:rPr>
              <w:t xml:space="preserve">Full protocol minus retinoic acid gradient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5">
            <w:pPr>
              <w:rPr/>
            </w:pPr>
            <w:r>
              <w:rPr>
                <w:rFonts w:ascii="Arial" w:cs="Arial" w:eastAsia="Arial" w:hAnsi="Arial"/>
                <w:sz w:val="20"/>
                <w:szCs w:val="20"/>
                <w:rtl w:val="0"/>
              </w:rPr>
              <w:t xml:space="preserve">Structurally correct digit produced regardless (would validate intrinsic addressing)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Pr>
                <w:rFonts w:ascii="Arial" w:cs="Arial" w:eastAsia="Arial" w:hAnsi="Arial"/>
                <w:sz w:val="20"/>
                <w:szCs w:val="20"/>
                <w:rtl w:val="0"/>
              </w:rPr>
              <w:t xml:space="preserve">Neural clock is prerequisite, not cofactor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Pr>
                <w:rFonts w:ascii="Arial" w:cs="Arial" w:eastAsia="Arial" w:hAnsi="Arial"/>
                <w:sz w:val="20"/>
                <w:szCs w:val="20"/>
                <w:rtl w:val="0"/>
              </w:rPr>
              <w:t xml:space="preserve">Full protocol with BDNF/NGF at Day 0 (concurrent) vs Day -7 (prerequisite)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Pr>
                <w:rFonts w:ascii="Arial" w:cs="Arial" w:eastAsia="Arial" w:hAnsi="Arial"/>
                <w:sz w:val="20"/>
                <w:szCs w:val="20"/>
                <w:rtl w:val="0"/>
              </w:rPr>
              <w:t xml:space="preserve">Concurrent delivery produces equivalent outcomes</w:t>
            </w:r>
            <w:r>
              <w:rPr>
                <w:rtl w:val="0"/>
              </w:rPr>
            </w:r>
          </w:p>
        </w:tc>
      </w:tr>
    </w:tbl>
    <w:p w:rsidR="00000000" w:rsidDel="00000000" w:rsidP="00000000" w:rsidRDefault="00000000" w:rsidRPr="00000000" w14:paraId="000000D9">
      <w:pPr>
        <w:spacing w:after="200" w:lineRule="auto"/>
        <w:rPr/>
      </w:pPr>
      <w:r>
        <w:rPr>
          <w:rtl w:val="0"/>
        </w:rPr>
      </w:r>
    </w:p>
    <w:p w:rsidR="00000000" w:rsidDel="00000000" w:rsidP="00000000" w:rsidRDefault="00000000" w:rsidRPr="00000000" w14:paraId="000000DA">
      <w:pPr>
        <w:pStyle w:val="Heading1"/>
        <w:rPr/>
      </w:pPr>
      <w:r>
        <w:rPr>
          <w:rFonts w:ascii="Arial" w:cs="Arial" w:eastAsia="Arial" w:hAnsi="Arial"/>
          <w:b w:val="1"/>
          <w:bCs w:val="1"/>
          <w:sz w:val="28"/>
          <w:szCs w:val="28"/>
          <w:rtl w:val="0"/>
        </w:rPr>
        <w:t xml:space="preserve">7. PRECLINICAL PROTOCOL</w:t>
      </w:r>
      <w:r>
        <w:rPr>
          <w:rtl w:val="0"/>
        </w:rPr>
      </w:r>
    </w:p>
    <w:p w:rsidR="00000000" w:rsidDel="00000000" w:rsidP="00000000" w:rsidRDefault="00000000" w:rsidRPr="00000000" w14:paraId="000000DB">
      <w:pPr>
        <w:spacing w:after="160" w:lineRule="auto"/>
        <w:rPr/>
      </w:pPr>
      <w:r>
        <w:rPr>
          <w:rFonts w:ascii="Arial" w:cs="Arial" w:eastAsia="Arial" w:hAnsi="Arial"/>
          <w:b w:val="1"/>
          <w:bCs w:val="1"/>
          <w:sz w:val="22"/>
          <w:szCs w:val="22"/>
          <w:rtl w:val="0"/>
        </w:rPr>
        <w:t xml:space="preserve">Model: C57BL/6 adult mouse (8-12 weeks), amputation of distal phalanx P3.</w:t>
      </w:r>
      <w:r>
        <w:rPr>
          <w:rtl w:val="0"/>
        </w:rPr>
      </w:r>
    </w:p>
    <w:p w:rsidR="00000000" w:rsidDel="00000000" w:rsidP="00000000" w:rsidRDefault="00000000" w:rsidRPr="00000000" w14:paraId="000000DC">
      <w:pPr>
        <w:spacing w:after="160" w:lineRule="auto"/>
        <w:rPr/>
      </w:pPr>
      <w:r>
        <w:rPr>
          <w:rFonts w:ascii="Arial" w:cs="Arial" w:eastAsia="Arial" w:hAnsi="Arial"/>
          <w:sz w:val="22"/>
          <w:szCs w:val="22"/>
          <w:rtl w:val="0"/>
        </w:rPr>
        <w:t xml:space="preserve">Rationale: The mouse P3 phalanx exhibits spontaneous partial regeneration in juveniles (&lt;7 days postnatal) but not in adults (8+ weeks). This provides a clean signal window: any regeneration observed in adult animals following the CMR protocol is attributable to the intervention, not baseline capacity. The fracture callus model in adjacent literature provides direct mechanistic precedent.</w:t>
      </w:r>
      <w:r>
        <w:rPr>
          <w:rtl w:val="0"/>
        </w:rPr>
      </w:r>
    </w:p>
    <w:p w:rsidR="00000000" w:rsidDel="00000000" w:rsidP="00000000" w:rsidRDefault="00000000" w:rsidRPr="00000000" w14:paraId="000000DD">
      <w:pPr>
        <w:spacing w:after="200" w:lineRule="auto"/>
        <w:rPr/>
      </w:pPr>
      <w:r>
        <w:rPr>
          <w:rtl w:val="0"/>
        </w:rPr>
      </w:r>
    </w:p>
    <w:p w:rsidR="00000000" w:rsidDel="00000000" w:rsidP="00000000" w:rsidRDefault="00000000" w:rsidRPr="00000000" w14:paraId="000000DE">
      <w:pPr>
        <w:spacing w:after="160" w:lineRule="auto"/>
        <w:rPr/>
      </w:pPr>
      <w:r>
        <w:rPr>
          <w:rFonts w:ascii="Arial" w:cs="Arial" w:eastAsia="Arial" w:hAnsi="Arial"/>
          <w:b w:val="1"/>
          <w:bCs w:val="1"/>
          <w:sz w:val="22"/>
          <w:szCs w:val="22"/>
          <w:rtl w:val="0"/>
        </w:rPr>
        <w:t xml:space="preserve">Groups (n=10 per group, 3 independent replicates):</w:t>
      </w:r>
      <w:r>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Group 1: Amputation only (no intervention)</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Group 2: Full CMR minus neural synchronization layer (no BDNF/NGF)</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Group 3: Full CMR minus bioelectric coordinates (no electrode)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Group 4: Full CMR protocol</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Group 5: Full CMR with extended p53 inhibition (7 days, not 72h) — termination stress test</w:t>
      </w:r>
    </w:p>
    <w:p w:rsidR="00000000" w:rsidDel="00000000" w:rsidP="00000000" w:rsidRDefault="00000000" w:rsidRPr="00000000" w14:paraId="000000E4">
      <w:pPr>
        <w:spacing w:after="200" w:lineRule="auto"/>
        <w:rPr/>
      </w:pPr>
      <w:r>
        <w:rPr>
          <w:rtl w:val="0"/>
        </w:rPr>
      </w:r>
    </w:p>
    <w:p w:rsidR="00000000" w:rsidDel="00000000" w:rsidP="00000000" w:rsidRDefault="00000000" w:rsidRPr="00000000" w14:paraId="000000E5">
      <w:pPr>
        <w:spacing w:after="160" w:lineRule="auto"/>
        <w:rPr/>
      </w:pPr>
      <w:r>
        <w:rPr>
          <w:rFonts w:ascii="Arial" w:cs="Arial" w:eastAsia="Arial" w:hAnsi="Arial"/>
          <w:b w:val="1"/>
          <w:bCs w:val="1"/>
          <w:sz w:val="22"/>
          <w:szCs w:val="22"/>
          <w:rtl w:val="0"/>
        </w:rPr>
        <w:t xml:space="preserve">Primary endpoints:</w:t>
      </w:r>
      <w:r>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1200"/>
        <w:gridCol w:w="2960"/>
        <w:tblGridChange w:id="0">
          <w:tblGrid>
            <w:gridCol w:w="2000"/>
            <w:gridCol w:w="2200"/>
            <w:gridCol w:w="1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6">
            <w:pPr>
              <w:rPr/>
            </w:pPr>
            <w:r>
              <w:rPr>
                <w:rFonts w:ascii="Arial" w:cs="Arial" w:eastAsia="Arial" w:hAnsi="Arial"/>
                <w:b w:val="1"/>
                <w:bCs w:val="1"/>
                <w:color w:val="ffffff"/>
                <w:sz w:val="20"/>
                <w:szCs w:val="20"/>
                <w:rtl w:val="0"/>
              </w:rPr>
              <w:t xml:space="preserve">Parameter</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7">
            <w:pPr>
              <w:rPr/>
            </w:pPr>
            <w:r>
              <w:rPr>
                <w:rFonts w:ascii="Arial" w:cs="Arial" w:eastAsia="Arial" w:hAnsi="Arial"/>
                <w:b w:val="1"/>
                <w:bCs w:val="1"/>
                <w:color w:val="ffffff"/>
                <w:sz w:val="20"/>
                <w:szCs w:val="20"/>
                <w:rtl w:val="0"/>
              </w:rPr>
              <w:t xml:space="preserve">Method</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8">
            <w:pPr>
              <w:rPr/>
            </w:pPr>
            <w:r>
              <w:rPr>
                <w:rFonts w:ascii="Arial" w:cs="Arial" w:eastAsia="Arial" w:hAnsi="Arial"/>
                <w:b w:val="1"/>
                <w:bCs w:val="1"/>
                <w:color w:val="ffffff"/>
                <w:sz w:val="20"/>
                <w:szCs w:val="20"/>
                <w:rtl w:val="0"/>
              </w:rPr>
              <w:t xml:space="preserve">Timepoint</w:t>
            </w:r>
            <w:r>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9">
            <w:pPr>
              <w:rPr/>
            </w:pPr>
            <w:r>
              <w:rPr>
                <w:rFonts w:ascii="Arial" w:cs="Arial" w:eastAsia="Arial" w:hAnsi="Arial"/>
                <w:b w:val="1"/>
                <w:bCs w:val="1"/>
                <w:color w:val="ffffff"/>
                <w:sz w:val="20"/>
                <w:szCs w:val="20"/>
                <w:rtl w:val="0"/>
              </w:rPr>
              <w:t xml:space="preserve">Success Criterion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Pr>
                <w:rFonts w:ascii="Arial" w:cs="Arial" w:eastAsia="Arial" w:hAnsi="Arial"/>
                <w:sz w:val="20"/>
                <w:szCs w:val="20"/>
                <w:rtl w:val="0"/>
              </w:rPr>
              <w:t xml:space="preserve">Blastema formation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Pr>
                <w:rFonts w:ascii="Arial" w:cs="Arial" w:eastAsia="Arial" w:hAnsi="Arial"/>
                <w:sz w:val="20"/>
                <w:szCs w:val="20"/>
                <w:rtl w:val="0"/>
              </w:rPr>
              <w:t xml:space="preserve">Histology: Sox2/Prrx1 co-expression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Pr>
                <w:rFonts w:ascii="Arial" w:cs="Arial" w:eastAsia="Arial" w:hAnsi="Arial"/>
                <w:sz w:val="20"/>
                <w:szCs w:val="20"/>
                <w:rtl w:val="0"/>
              </w:rPr>
              <w:t xml:space="preserve">Day 7</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Pr>
                <w:rFonts w:ascii="Arial" w:cs="Arial" w:eastAsia="Arial" w:hAnsi="Arial"/>
                <w:sz w:val="20"/>
                <w:szCs w:val="20"/>
                <w:rtl w:val="0"/>
              </w:rPr>
              <w:t xml:space="preserve">Sox2+/Prrx1+ cells &gt;15% of wound zone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Pr>
                <w:rFonts w:ascii="Arial" w:cs="Arial" w:eastAsia="Arial" w:hAnsi="Arial"/>
                <w:sz w:val="20"/>
                <w:szCs w:val="20"/>
                <w:rtl w:val="0"/>
              </w:rPr>
              <w:t xml:space="preserve">Neural density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Pr>
                <w:rFonts w:ascii="Arial" w:cs="Arial" w:eastAsia="Arial" w:hAnsi="Arial"/>
                <w:sz w:val="20"/>
                <w:szCs w:val="20"/>
                <w:rtl w:val="0"/>
              </w:rPr>
              <w:t xml:space="preserve">PGP9.5 immunohistochemistry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Pr>
                <w:rFonts w:ascii="Arial" w:cs="Arial" w:eastAsia="Arial" w:hAnsi="Arial"/>
                <w:sz w:val="20"/>
                <w:szCs w:val="20"/>
                <w:rtl w:val="0"/>
              </w:rPr>
              <w:t xml:space="preserve">Days 7, 21</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1">
            <w:pPr>
              <w:rPr/>
            </w:pPr>
            <w:r>
              <w:rPr>
                <w:rFonts w:ascii="Arial" w:cs="Arial" w:eastAsia="Arial" w:hAnsi="Arial"/>
                <w:sz w:val="20"/>
                <w:szCs w:val="20"/>
                <w:rtl w:val="0"/>
              </w:rPr>
              <w:t xml:space="preserve">Density &gt;80% of contralateral control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Pr>
                <w:rFonts w:ascii="Arial" w:cs="Arial" w:eastAsia="Arial" w:hAnsi="Arial"/>
                <w:sz w:val="20"/>
                <w:szCs w:val="20"/>
                <w:rtl w:val="0"/>
              </w:rPr>
              <w:t xml:space="preserve">Vasculogenesis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rPr/>
            </w:pPr>
            <w:r>
              <w:rPr>
                <w:rFonts w:ascii="Arial" w:cs="Arial" w:eastAsia="Arial" w:hAnsi="Arial"/>
                <w:sz w:val="20"/>
                <w:szCs w:val="20"/>
                <w:rtl w:val="0"/>
              </w:rPr>
              <w:t xml:space="preserve">CD31 staining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Pr>
                <w:rFonts w:ascii="Arial" w:cs="Arial" w:eastAsia="Arial" w:hAnsi="Arial"/>
                <w:sz w:val="20"/>
                <w:szCs w:val="20"/>
                <w:rtl w:val="0"/>
              </w:rPr>
              <w:t xml:space="preserve">Day 14</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Pr>
                <w:rFonts w:ascii="Arial" w:cs="Arial" w:eastAsia="Arial" w:hAnsi="Arial"/>
                <w:sz w:val="20"/>
                <w:szCs w:val="20"/>
                <w:rtl w:val="0"/>
              </w:rPr>
              <w:t xml:space="preserve">Vascular density &gt;60% of contralateral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Pr>
                <w:rFonts w:ascii="Arial" w:cs="Arial" w:eastAsia="Arial" w:hAnsi="Arial"/>
                <w:sz w:val="20"/>
                <w:szCs w:val="20"/>
                <w:rtl w:val="0"/>
              </w:rPr>
              <w:t xml:space="preserve">Structural fidelity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Pr>
                <w:rFonts w:ascii="Arial" w:cs="Arial" w:eastAsia="Arial" w:hAnsi="Arial"/>
                <w:sz w:val="20"/>
                <w:szCs w:val="20"/>
                <w:rtl w:val="0"/>
              </w:rPr>
              <w:t xml:space="preserve">MicroCT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Pr>
                <w:rFonts w:ascii="Arial" w:cs="Arial" w:eastAsia="Arial" w:hAnsi="Arial"/>
                <w:sz w:val="20"/>
                <w:szCs w:val="20"/>
                <w:rtl w:val="0"/>
              </w:rPr>
              <w:t xml:space="preserve">Day 42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Pr>
                <w:rFonts w:ascii="Arial" w:cs="Arial" w:eastAsia="Arial" w:hAnsi="Arial"/>
                <w:sz w:val="20"/>
                <w:szCs w:val="20"/>
                <w:rtl w:val="0"/>
              </w:rPr>
              <w:t xml:space="preserve">Bone volume &gt;70% of contralateral P3</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Pr>
                <w:rFonts w:ascii="Arial" w:cs="Arial" w:eastAsia="Arial" w:hAnsi="Arial"/>
                <w:sz w:val="20"/>
                <w:szCs w:val="20"/>
                <w:rtl w:val="0"/>
              </w:rPr>
              <w:t xml:space="preserve">Proliferative index</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Pr>
                <w:rFonts w:ascii="Arial" w:cs="Arial" w:eastAsia="Arial" w:hAnsi="Arial"/>
                <w:sz w:val="20"/>
                <w:szCs w:val="20"/>
                <w:rtl w:val="0"/>
              </w:rPr>
              <w:t xml:space="preserve">Ki-67 IHC</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Pr>
                <w:rFonts w:ascii="Arial" w:cs="Arial" w:eastAsia="Arial" w:hAnsi="Arial"/>
                <w:sz w:val="20"/>
                <w:szCs w:val="20"/>
                <w:rtl w:val="0"/>
              </w:rPr>
              <w:t xml:space="preserve">Days 14, 28, 42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Pr>
                <w:rFonts w:ascii="Arial" w:cs="Arial" w:eastAsia="Arial" w:hAnsi="Arial"/>
                <w:sz w:val="20"/>
                <w:szCs w:val="20"/>
                <w:rtl w:val="0"/>
              </w:rPr>
              <w:t xml:space="preserve">Ki-67+ cells &lt;5% at day 42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Pr>
                <w:rFonts w:ascii="Arial" w:cs="Arial" w:eastAsia="Arial" w:hAnsi="Arial"/>
                <w:sz w:val="20"/>
                <w:szCs w:val="20"/>
                <w:rtl w:val="0"/>
              </w:rPr>
              <w:t xml:space="preserve">Vmem normalization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Pr>
                <w:rFonts w:ascii="Arial" w:cs="Arial" w:eastAsia="Arial" w:hAnsi="Arial"/>
                <w:sz w:val="20"/>
                <w:szCs w:val="20"/>
                <w:rtl w:val="0"/>
              </w:rPr>
              <w:t xml:space="preserve">Voltage-sensitive dye imaging</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Pr>
                <w:rFonts w:ascii="Arial" w:cs="Arial" w:eastAsia="Arial" w:hAnsi="Arial"/>
                <w:sz w:val="20"/>
                <w:szCs w:val="20"/>
                <w:rtl w:val="0"/>
              </w:rPr>
              <w:t xml:space="preserve">Days 0, 14, 42</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Pr>
                <w:rFonts w:ascii="Arial" w:cs="Arial" w:eastAsia="Arial" w:hAnsi="Arial"/>
                <w:sz w:val="20"/>
                <w:szCs w:val="20"/>
                <w:rtl w:val="0"/>
              </w:rPr>
              <w:t xml:space="preserve">Vmem pattern matches contralateral at day 42</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Pr>
                <w:rFonts w:ascii="Arial" w:cs="Arial" w:eastAsia="Arial" w:hAnsi="Arial"/>
                <w:sz w:val="20"/>
                <w:szCs w:val="20"/>
                <w:rtl w:val="0"/>
              </w:rPr>
              <w:t xml:space="preserve">Dysplasia</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Pr>
                <w:rFonts w:ascii="Arial" w:cs="Arial" w:eastAsia="Arial" w:hAnsi="Arial"/>
                <w:sz w:val="20"/>
                <w:szCs w:val="20"/>
                <w:rtl w:val="0"/>
              </w:rPr>
              <w:t xml:space="preserve">H&amp;E histology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Pr>
                <w:rFonts w:ascii="Arial" w:cs="Arial" w:eastAsia="Arial" w:hAnsi="Arial"/>
                <w:sz w:val="20"/>
                <w:szCs w:val="20"/>
                <w:rtl w:val="0"/>
              </w:rPr>
              <w:t xml:space="preserve">Days 42, 90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Pr>
                <w:rFonts w:ascii="Arial" w:cs="Arial" w:eastAsia="Arial" w:hAnsi="Arial"/>
                <w:sz w:val="20"/>
                <w:szCs w:val="20"/>
                <w:rtl w:val="0"/>
              </w:rPr>
              <w:t xml:space="preserve">No dysplastic architecture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Pr>
                <w:rFonts w:ascii="Arial" w:cs="Arial" w:eastAsia="Arial" w:hAnsi="Arial"/>
                <w:sz w:val="20"/>
                <w:szCs w:val="20"/>
                <w:rtl w:val="0"/>
              </w:rPr>
              <w:t xml:space="preserve">Functional recovery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Pr>
                <w:rFonts w:ascii="Arial" w:cs="Arial" w:eastAsia="Arial" w:hAnsi="Arial"/>
                <w:sz w:val="20"/>
                <w:szCs w:val="20"/>
                <w:rtl w:val="0"/>
              </w:rPr>
              <w:t xml:space="preserve">Grip strength, gait analysis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pPr>
            <w:r>
              <w:rPr>
                <w:rFonts w:ascii="Arial" w:cs="Arial" w:eastAsia="Arial" w:hAnsi="Arial"/>
                <w:sz w:val="20"/>
                <w:szCs w:val="20"/>
                <w:rtl w:val="0"/>
              </w:rPr>
              <w:t xml:space="preserve">Day 90</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Pr>
                <w:rFonts w:ascii="Arial" w:cs="Arial" w:eastAsia="Arial" w:hAnsi="Arial"/>
                <w:sz w:val="20"/>
                <w:szCs w:val="20"/>
                <w:rtl w:val="0"/>
              </w:rPr>
              <w:t xml:space="preserve">Within 20% of pre-amputation baseline</w:t>
            </w:r>
            <w:r>
              <w:rPr>
                <w:rtl w:val="0"/>
              </w:rPr>
            </w:r>
          </w:p>
        </w:tc>
      </w:tr>
    </w:tbl>
    <w:p w:rsidR="00000000" w:rsidDel="00000000" w:rsidP="00000000" w:rsidRDefault="00000000" w:rsidRPr="00000000" w14:paraId="0000010A">
      <w:pPr>
        <w:spacing w:after="200" w:lineRule="auto"/>
        <w:rPr/>
      </w:pPr>
      <w:r>
        <w:rPr>
          <w:rtl w:val="0"/>
        </w:rPr>
      </w:r>
    </w:p>
    <w:p w:rsidR="00000000" w:rsidDel="00000000" w:rsidP="00000000" w:rsidRDefault="00000000" w:rsidRPr="00000000" w14:paraId="0000010B">
      <w:pPr>
        <w:pStyle w:val="Heading1"/>
        <w:rPr/>
      </w:pPr>
      <w:r>
        <w:rPr>
          <w:rFonts w:ascii="Arial" w:cs="Arial" w:eastAsia="Arial" w:hAnsi="Arial"/>
          <w:b w:val="1"/>
          <w:bCs w:val="1"/>
          <w:sz w:val="28"/>
          <w:szCs w:val="28"/>
          <w:rtl w:val="0"/>
        </w:rPr>
        <w:t xml:space="preserve">8. DISCUSSION</w:t>
      </w:r>
      <w:r>
        <w:rPr>
          <w:rtl w:val="0"/>
        </w:rPr>
      </w:r>
    </w:p>
    <w:p w:rsidR="00000000" w:rsidDel="00000000" w:rsidP="00000000" w:rsidRDefault="00000000" w:rsidRPr="00000000" w14:paraId="0000010C">
      <w:pPr>
        <w:spacing w:after="160" w:lineRule="auto"/>
        <w:rPr/>
      </w:pPr>
      <w:r>
        <w:rPr>
          <w:rFonts w:ascii="Arial" w:cs="Arial" w:eastAsia="Arial" w:hAnsi="Arial"/>
          <w:b w:val="1"/>
          <w:bCs w:val="1"/>
          <w:sz w:val="22"/>
          <w:szCs w:val="22"/>
          <w:rtl w:val="0"/>
        </w:rPr>
        <w:t xml:space="preserve">Cancer and regeneration share growth machinery. Termination is the distinction.</w:t>
      </w:r>
      <w:r>
        <w:rPr>
          <w:rtl w:val="0"/>
        </w:rPr>
      </w:r>
    </w:p>
    <w:p w:rsidR="00000000" w:rsidDel="00000000" w:rsidP="00000000" w:rsidRDefault="00000000" w:rsidRPr="00000000" w14:paraId="0000010D">
      <w:pPr>
        <w:spacing w:after="160" w:lineRule="auto"/>
        <w:rPr/>
      </w:pPr>
      <w:r>
        <w:rPr>
          <w:rFonts w:ascii="Arial" w:cs="Arial" w:eastAsia="Arial" w:hAnsi="Arial"/>
          <w:sz w:val="22"/>
          <w:szCs w:val="22"/>
          <w:rtl w:val="0"/>
        </w:rPr>
        <w:t xml:space="preserve">The most counterintuitive implication of CMR is that oncogenic risk during the regenerative runtime is managed not by suppressing growth mechanisms but by deploying immune surveillance that operates faster than clonal expansion. This reframes the standard oncological concern from avoidance to choreography.</w:t>
      </w:r>
      <w:r>
        <w:rPr>
          <w:rtl w:val="0"/>
        </w:rPr>
      </w:r>
    </w:p>
    <w:p w:rsidR="00000000" w:rsidDel="00000000" w:rsidP="00000000" w:rsidRDefault="00000000" w:rsidRPr="00000000" w14:paraId="0000010E">
      <w:pPr>
        <w:spacing w:after="160" w:lineRule="auto"/>
        <w:rPr/>
      </w:pPr>
      <w:r>
        <w:rPr>
          <w:rFonts w:ascii="Arial" w:cs="Arial" w:eastAsia="Arial" w:hAnsi="Arial"/>
          <w:sz w:val="22"/>
          <w:szCs w:val="22"/>
          <w:rtl w:val="0"/>
        </w:rPr>
        <w:t xml:space="preserve">The observation that cancer represents a regenerative runtime without termination (unaddressed, unsynchronized, and non-terminating growth) is not novel in concept but has not previously been formalized as a design principle for regenerative intervention. CMR makes this duality explicit: the same mechanisms that build tissue are the mechanisms that build tumors. The engineering challenge is not to choose one or the other but to implement the complete runtime with all five laws simultaneously active.</w:t>
      </w:r>
      <w:r>
        <w:rPr>
          <w:rtl w:val="0"/>
        </w:rPr>
      </w:r>
    </w:p>
    <w:p w:rsidR="00000000" w:rsidDel="00000000" w:rsidP="00000000" w:rsidRDefault="00000000" w:rsidRPr="00000000" w14:paraId="0000010F">
      <w:pPr>
        <w:spacing w:after="160" w:lineRule="auto"/>
        <w:rPr/>
      </w:pPr>
      <w:r>
        <w:rPr>
          <w:rFonts w:ascii="Arial" w:cs="Arial" w:eastAsia="Arial" w:hAnsi="Arial"/>
          <w:sz w:val="22"/>
          <w:szCs w:val="22"/>
          <w:rtl w:val="0"/>
        </w:rPr>
        <w:t xml:space="preserve">The neural synchronization finding deserves particular attention. The literature consistently shows that denervation does not merely slow regeneration but qualitatively alters its pattern fidelity, suggesting that the peripheral nervous system contributes timing information, not merely trophic signals. This positions neural reinnervation as a prerequisite rather than a beneficial cofactor, with significant implications for clinical protocols in patients with peripheral neuropathy.</w:t>
      </w:r>
      <w:r>
        <w:rPr>
          <w:rtl w:val="0"/>
        </w:rPr>
      </w:r>
    </w:p>
    <w:p w:rsidR="00000000" w:rsidDel="00000000" w:rsidP="00000000" w:rsidRDefault="00000000" w:rsidRPr="00000000" w14:paraId="00000110">
      <w:pPr>
        <w:spacing w:after="160" w:lineRule="auto"/>
        <w:rPr/>
      </w:pPr>
      <w:r>
        <w:rPr>
          <w:rFonts w:ascii="Arial" w:cs="Arial" w:eastAsia="Arial" w:hAnsi="Arial"/>
          <w:b w:val="1"/>
          <w:bCs w:val="1"/>
          <w:sz w:val="22"/>
          <w:szCs w:val="22"/>
          <w:rtl w:val="0"/>
        </w:rPr>
        <w:t xml:space="preserve">Why this architecture has not been previously assembled:</w:t>
      </w:r>
      <w:r>
        <w:rPr>
          <w:rtl w:val="0"/>
        </w:rPr>
      </w:r>
    </w:p>
    <w:p w:rsidR="00000000" w:rsidDel="00000000" w:rsidP="00000000" w:rsidRDefault="00000000" w:rsidRPr="00000000" w14:paraId="00000111">
      <w:pPr>
        <w:spacing w:after="160" w:lineRule="auto"/>
        <w:rPr/>
      </w:pPr>
      <w:r>
        <w:rPr>
          <w:rFonts w:ascii="Arial" w:cs="Arial" w:eastAsia="Arial" w:hAnsi="Arial"/>
          <w:sz w:val="22"/>
          <w:szCs w:val="22"/>
          <w:rtl w:val="0"/>
        </w:rPr>
        <w:t xml:space="preserve">Each component of CMR has been studied in isolation by distinct research communities: bioelectric patterning (Levin lab), epigenetic reprogramming (Sinclair lab), ECM orchestration (Badylak lab), positional memory (Rinn lab), neural dependency (multiple urodele labs). The absence of an integrative framework reflects disciplinary boundaries rather than data gaps. CMR provides the conceptual architecture to connect these literatures into a testable unified protocol.</w:t>
      </w:r>
      <w:r>
        <w:rPr>
          <w:rtl w:val="0"/>
        </w:rPr>
      </w:r>
    </w:p>
    <w:p w:rsidR="00000000" w:rsidDel="00000000" w:rsidP="00000000" w:rsidRDefault="00000000" w:rsidRPr="00000000" w14:paraId="00000112">
      <w:pPr>
        <w:spacing w:after="200" w:lineRule="auto"/>
        <w:rPr/>
      </w:pPr>
      <w:r>
        <w:rPr>
          <w:rtl w:val="0"/>
        </w:rPr>
      </w:r>
    </w:p>
    <w:p w:rsidR="00000000" w:rsidDel="00000000" w:rsidP="00000000" w:rsidRDefault="00000000" w:rsidRPr="00000000" w14:paraId="00000113">
      <w:pPr>
        <w:pStyle w:val="Heading1"/>
        <w:rPr/>
      </w:pPr>
      <w:r>
        <w:rPr>
          <w:rFonts w:ascii="Arial" w:cs="Arial" w:eastAsia="Arial" w:hAnsi="Arial"/>
          <w:b w:val="1"/>
          <w:bCs w:val="1"/>
          <w:sz w:val="28"/>
          <w:szCs w:val="28"/>
          <w:rtl w:val="0"/>
        </w:rPr>
        <w:t xml:space="preserve">9. LIMITATIONS</w:t>
      </w:r>
      <w:r>
        <w:rPr>
          <w:rtl w:val="0"/>
        </w:rPr>
      </w:r>
    </w:p>
    <w:p w:rsidR="00000000" w:rsidDel="00000000" w:rsidP="00000000" w:rsidRDefault="00000000" w:rsidRPr="00000000" w14:paraId="00000114">
      <w:pPr>
        <w:spacing w:after="160" w:lineRule="auto"/>
        <w:rPr/>
      </w:pPr>
      <w:r>
        <w:rPr>
          <w:rFonts w:ascii="Arial" w:cs="Arial" w:eastAsia="Arial" w:hAnsi="Arial"/>
          <w:sz w:val="22"/>
          <w:szCs w:val="22"/>
          <w:rtl w:val="0"/>
        </w:rPr>
        <w:t xml:space="preserve">CMR is a theoretical integrative framework supported by retrospective component-level evidence. The following limitations are acknowledged explicitly:</w:t>
      </w:r>
      <w:r>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No adult mammalian regeneration of complete appendicular structures has been demonstrated using the full CMR protocol. The preclinical protocol described in Section 7 constitutes the required proof-of-concept experiment.</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Quantitative Vmem maps of adult human digit morphogenetic fields are not yet available at therapeutic resolution. Levin lab methodology (voltage-sensitive dyes, optogenetic reporters) provides a path to this data but it does not currently exist for human digits.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Lineage tracing of cells contributing to CMR-induced regeneration has not been performed. This is required to confirm blastema-like de-repression vs. alternative mechanisms.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The dose-response relationship for p53 inhibitor duration vs. dysplasia risk in adult mammals has not been characterized at the required spatial resolution. Group 5 in the preclinical protocol is designed to address this.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Neural clock frequency and signal type remain uncharacterized. Whether synchronization is achieved via electrical, chemical, or mechanical nerve-derived signals is an open question with direct implications for clinical implementation.</w:t>
      </w:r>
    </w:p>
    <w:p w:rsidR="00000000" w:rsidDel="00000000" w:rsidP="00000000" w:rsidRDefault="00000000" w:rsidRPr="00000000" w14:paraId="0000011A">
      <w:pPr>
        <w:spacing w:after="200" w:lineRule="auto"/>
        <w:rPr/>
      </w:pPr>
      <w:r>
        <w:rPr>
          <w:rtl w:val="0"/>
        </w:rPr>
      </w:r>
    </w:p>
    <w:p w:rsidR="00000000" w:rsidDel="00000000" w:rsidP="00000000" w:rsidRDefault="00000000" w:rsidRPr="00000000" w14:paraId="0000011B">
      <w:pPr>
        <w:pStyle w:val="Heading1"/>
        <w:rPr/>
      </w:pPr>
      <w:r>
        <w:rPr>
          <w:rFonts w:ascii="Arial" w:cs="Arial" w:eastAsia="Arial" w:hAnsi="Arial"/>
          <w:b w:val="1"/>
          <w:bCs w:val="1"/>
          <w:sz w:val="28"/>
          <w:szCs w:val="28"/>
          <w:rtl w:val="0"/>
        </w:rPr>
        <w:t xml:space="preserve">10. CONCLUSION</w:t>
      </w:r>
      <w:r>
        <w:rPr>
          <w:rtl w:val="0"/>
        </w:rPr>
      </w:r>
    </w:p>
    <w:p w:rsidR="00000000" w:rsidDel="00000000" w:rsidP="00000000" w:rsidRDefault="00000000" w:rsidRPr="00000000" w14:paraId="0000011C">
      <w:pPr>
        <w:spacing w:after="160" w:lineRule="auto"/>
        <w:rPr/>
      </w:pPr>
      <w:r>
        <w:rPr>
          <w:rFonts w:ascii="Arial" w:cs="Arial" w:eastAsia="Arial" w:hAnsi="Arial"/>
          <w:sz w:val="22"/>
          <w:szCs w:val="22"/>
          <w:rtl w:val="0"/>
        </w:rPr>
        <w:t xml:space="preserve">Regeneration in adult mammals is not an absent biological property. It is a latent computational state that requires coordinated transient activation of five mechanistic layers: Permission, Coordinates, Synchronization, Sandboxed Growth, and Timed Termination.</w:t>
      </w:r>
      <w:r>
        <w:rPr>
          <w:rtl w:val="0"/>
        </w:rPr>
      </w:r>
    </w:p>
    <w:p w:rsidR="00000000" w:rsidDel="00000000" w:rsidP="00000000" w:rsidRDefault="00000000" w:rsidRPr="00000000" w14:paraId="0000011D">
      <w:pPr>
        <w:spacing w:after="160" w:lineRule="auto"/>
        <w:rPr/>
      </w:pPr>
      <w:r>
        <w:rPr>
          <w:rFonts w:ascii="Arial" w:cs="Arial" w:eastAsia="Arial" w:hAnsi="Arial"/>
          <w:sz w:val="22"/>
          <w:szCs w:val="22"/>
          <w:rtl w:val="0"/>
        </w:rPr>
        <w:t xml:space="preserve">The CMR framework provides the first systems-level formalization of regeneration as state orchestration rather than signal delivery. It generates falsifiable predictions, a preclinical protocol, and a path to human translation that begins with the adult mouse distal phalanx as a validated model system.</w:t>
      </w:r>
      <w:r>
        <w:rPr>
          <w:rtl w:val="0"/>
        </w:rPr>
      </w:r>
    </w:p>
    <w:p w:rsidR="00000000" w:rsidDel="00000000" w:rsidP="00000000" w:rsidRDefault="00000000" w:rsidRPr="00000000" w14:paraId="0000011E">
      <w:pPr>
        <w:spacing w:after="160" w:lineRule="auto"/>
        <w:rPr/>
      </w:pPr>
      <w:r>
        <w:rPr>
          <w:rFonts w:ascii="Arial" w:cs="Arial" w:eastAsia="Arial" w:hAnsi="Arial"/>
          <w:sz w:val="22"/>
          <w:szCs w:val="22"/>
          <w:rtl w:val="0"/>
        </w:rPr>
        <w:t xml:space="preserve">The central insight is architectural: the genome already contains the morphogenetic program. The organism already retains positional memory. The peripheral nervous system already provides synchronization capacity. The immune system already contains the termination machinery. The engineering task is not to build any of these components but to orchestrate their simultaneous, spatially confined, time-limited activation.</w:t>
      </w:r>
      <w:r>
        <w:rPr>
          <w:rtl w:val="0"/>
        </w:rPr>
      </w:r>
    </w:p>
    <w:p w:rsidR="00000000" w:rsidDel="00000000" w:rsidP="00000000" w:rsidRDefault="00000000" w:rsidRPr="00000000" w14:paraId="0000011F">
      <w:pPr>
        <w:spacing w:after="160" w:lineRule="auto"/>
        <w:rPr/>
      </w:pPr>
      <w:r>
        <w:rPr>
          <w:rFonts w:ascii="Arial" w:cs="Arial" w:eastAsia="Arial" w:hAnsi="Arial"/>
          <w:i w:val="1"/>
          <w:iCs w:val="1"/>
          <w:sz w:val="22"/>
          <w:szCs w:val="22"/>
          <w:rtl w:val="0"/>
        </w:rPr>
        <w:t xml:space="preserve">Regeneration is not growth. It is a managed transition between tissue computational states, with full fidelity to the original program, executed by the organism itself.</w:t>
      </w:r>
      <w:r>
        <w:rPr>
          <w:rtl w:val="0"/>
        </w:rPr>
      </w:r>
    </w:p>
    <w:p w:rsidR="00000000" w:rsidDel="00000000" w:rsidP="00000000" w:rsidRDefault="00000000" w:rsidRPr="00000000" w14:paraId="00000120">
      <w:pPr>
        <w:spacing w:after="200" w:lineRule="auto"/>
        <w:rPr/>
      </w:pPr>
      <w:r>
        <w:rPr>
          <w:rtl w:val="0"/>
        </w:rPr>
      </w:r>
    </w:p>
    <w:p w:rsidR="00000000" w:rsidDel="00000000" w:rsidP="00000000" w:rsidRDefault="00000000" w:rsidRPr="00000000" w14:paraId="00000121">
      <w:pPr>
        <w:pStyle w:val="Heading1"/>
        <w:rPr/>
      </w:pPr>
      <w:r>
        <w:rPr>
          <w:rFonts w:ascii="Arial" w:cs="Arial" w:eastAsia="Arial" w:hAnsi="Arial"/>
          <w:b w:val="1"/>
          <w:bCs w:val="1"/>
          <w:sz w:val="28"/>
          <w:szCs w:val="28"/>
          <w:rtl w:val="0"/>
        </w:rPr>
        <w:t xml:space="preserve">REFERENCES</w:t>
      </w:r>
      <w:r>
        <w:rPr>
          <w:rtl w:val="0"/>
        </w:rPr>
      </w:r>
    </w:p>
    <w:p w:rsidR="00000000" w:rsidDel="00000000" w:rsidP="00000000" w:rsidRDefault="00000000" w:rsidRPr="00000000" w14:paraId="00000122">
      <w:pPr>
        <w:spacing w:after="160" w:lineRule="auto"/>
        <w:rPr/>
      </w:pPr>
      <w:r>
        <w:rPr>
          <w:rFonts w:ascii="Arial" w:cs="Arial" w:eastAsia="Arial" w:hAnsi="Arial"/>
          <w:sz w:val="22"/>
          <w:szCs w:val="22"/>
          <w:rtl w:val="0"/>
        </w:rPr>
        <w:t xml:space="preserve">Badylak, S.F. et al. (2005-2022). Extracellular matrix as a biological scaffold for tissue engineering. Multiple publications, University of Pittsburgh.</w:t>
      </w:r>
      <w:r>
        <w:rPr>
          <w:rtl w:val="0"/>
        </w:rPr>
      </w:r>
    </w:p>
    <w:p w:rsidR="00000000" w:rsidDel="00000000" w:rsidP="00000000" w:rsidRDefault="00000000" w:rsidRPr="00000000" w14:paraId="00000123">
      <w:pPr>
        <w:spacing w:after="160" w:lineRule="auto"/>
        <w:rPr/>
      </w:pPr>
      <w:r>
        <w:rPr>
          <w:rFonts w:ascii="Arial" w:cs="Arial" w:eastAsia="Arial" w:hAnsi="Arial"/>
          <w:sz w:val="22"/>
          <w:szCs w:val="22"/>
          <w:rtl w:val="0"/>
        </w:rPr>
        <w:t xml:space="preserve">BioNTech/Moderna (2024). Personalized mRNA cancer vaccines. Phase III clinical trials, multiple indications.</w:t>
      </w:r>
      <w:r>
        <w:rPr>
          <w:rtl w:val="0"/>
        </w:rPr>
      </w:r>
    </w:p>
    <w:p w:rsidR="00000000" w:rsidDel="00000000" w:rsidP="00000000" w:rsidRDefault="00000000" w:rsidRPr="00000000" w14:paraId="00000124">
      <w:pPr>
        <w:spacing w:after="160" w:lineRule="auto"/>
        <w:rPr/>
      </w:pPr>
      <w:r>
        <w:rPr>
          <w:rFonts w:ascii="Arial" w:cs="Arial" w:eastAsia="Arial" w:hAnsi="Arial"/>
          <w:sz w:val="22"/>
          <w:szCs w:val="22"/>
          <w:rtl w:val="0"/>
        </w:rPr>
        <w:t xml:space="preserve">Cipriano, A., Moqri, M., Maybury-Lewis, S.Y., Sinclair, D.A., Sebastiano, V. et al. (2023). Mechanisms, pathways and strategies for rejuvenation through epigenetic reprogramming. Nature Aging, 4(1):14-26.</w:t>
      </w:r>
      <w:r>
        <w:rPr>
          <w:rtl w:val="0"/>
        </w:rPr>
      </w:r>
    </w:p>
    <w:p w:rsidR="00000000" w:rsidDel="00000000" w:rsidP="00000000" w:rsidRDefault="00000000" w:rsidRPr="00000000" w14:paraId="00000125">
      <w:pPr>
        <w:spacing w:after="160" w:lineRule="auto"/>
        <w:rPr/>
      </w:pPr>
      <w:r>
        <w:rPr>
          <w:rFonts w:ascii="Arial" w:cs="Arial" w:eastAsia="Arial" w:hAnsi="Arial"/>
          <w:sz w:val="22"/>
          <w:szCs w:val="22"/>
          <w:rtl w:val="0"/>
        </w:rPr>
        <w:t xml:space="preserve">Kumar, A. et al. (2000). Nerve-dependent and -independent events during blastema formation during urodele amphibian limb regeneration. Journal of Experimental Zoology.</w:t>
      </w:r>
      <w:r>
        <w:rPr>
          <w:rtl w:val="0"/>
        </w:rPr>
      </w:r>
    </w:p>
    <w:p w:rsidR="00000000" w:rsidDel="00000000" w:rsidP="00000000" w:rsidRDefault="00000000" w:rsidRPr="00000000" w14:paraId="00000126">
      <w:pPr>
        <w:spacing w:after="160" w:lineRule="auto"/>
        <w:rPr/>
      </w:pPr>
      <w:r>
        <w:rPr>
          <w:rFonts w:ascii="Arial" w:cs="Arial" w:eastAsia="Arial" w:hAnsi="Arial"/>
          <w:sz w:val="22"/>
          <w:szCs w:val="22"/>
          <w:rtl w:val="0"/>
        </w:rPr>
        <w:t xml:space="preserve">Levin, M. (2009). Bioelectric mechanisms in regeneration: Unique aspects and future perspectives. Seminars in Cell and Developmental Biology, 20(5):543-556.</w:t>
      </w:r>
      <w:r>
        <w:rPr>
          <w:rtl w:val="0"/>
        </w:rPr>
      </w:r>
    </w:p>
    <w:p w:rsidR="00000000" w:rsidDel="00000000" w:rsidP="00000000" w:rsidRDefault="00000000" w:rsidRPr="00000000" w14:paraId="00000127">
      <w:pPr>
        <w:spacing w:after="160" w:lineRule="auto"/>
        <w:rPr/>
      </w:pPr>
      <w:r>
        <w:rPr>
          <w:rFonts w:ascii="Arial" w:cs="Arial" w:eastAsia="Arial" w:hAnsi="Arial"/>
          <w:sz w:val="22"/>
          <w:szCs w:val="22"/>
          <w:rtl w:val="0"/>
        </w:rPr>
        <w:t xml:space="preserve">Levin, M. et al. (2021). Bioelectric signaling: Reprogrammable circuits underlying embryogenesis, regeneration, and cancer. Cell, 184(8):1971-1989.</w:t>
      </w:r>
      <w:r>
        <w:rPr>
          <w:rtl w:val="0"/>
        </w:rPr>
      </w:r>
    </w:p>
    <w:p w:rsidR="00000000" w:rsidDel="00000000" w:rsidP="00000000" w:rsidRDefault="00000000" w:rsidRPr="00000000" w14:paraId="00000128">
      <w:pPr>
        <w:spacing w:after="160" w:lineRule="auto"/>
        <w:rPr/>
      </w:pPr>
      <w:r>
        <w:rPr>
          <w:rFonts w:ascii="Arial" w:cs="Arial" w:eastAsia="Arial" w:hAnsi="Arial"/>
          <w:sz w:val="22"/>
          <w:szCs w:val="22"/>
          <w:rtl w:val="0"/>
        </w:rPr>
        <w:t xml:space="preserve">Lu, Y., Brommer, B., Tian, X., Sinclair, D.A. et al. (2020). Reprogramming to recover youthful epigenetic information and restore vision. Nature, 588:124-129.</w:t>
      </w:r>
      <w:r>
        <w:rPr>
          <w:rtl w:val="0"/>
        </w:rPr>
      </w:r>
    </w:p>
    <w:p w:rsidR="00000000" w:rsidDel="00000000" w:rsidP="00000000" w:rsidRDefault="00000000" w:rsidRPr="00000000" w14:paraId="00000129">
      <w:pPr>
        <w:spacing w:after="160" w:lineRule="auto"/>
        <w:rPr/>
      </w:pPr>
      <w:r>
        <w:rPr>
          <w:rFonts w:ascii="Arial" w:cs="Arial" w:eastAsia="Arial" w:hAnsi="Arial"/>
          <w:sz w:val="22"/>
          <w:szCs w:val="22"/>
          <w:rtl w:val="0"/>
        </w:rPr>
        <w:t xml:space="preserve">Manicka, S., Pai, V.P., Levin, M. (2023). Information integration during bioelectric regulation of morphogenesis of the embryonic frog brain. iScience, 26(12):108398.</w:t>
      </w:r>
      <w:r>
        <w:rPr>
          <w:rtl w:val="0"/>
        </w:rPr>
      </w:r>
    </w:p>
    <w:p w:rsidR="00000000" w:rsidDel="00000000" w:rsidP="00000000" w:rsidRDefault="00000000" w:rsidRPr="00000000" w14:paraId="0000012A">
      <w:pPr>
        <w:spacing w:after="160" w:lineRule="auto"/>
        <w:rPr/>
      </w:pPr>
      <w:r>
        <w:rPr>
          <w:rFonts w:ascii="Arial" w:cs="Arial" w:eastAsia="Arial" w:hAnsi="Arial"/>
          <w:sz w:val="22"/>
          <w:szCs w:val="22"/>
          <w:rtl w:val="0"/>
        </w:rPr>
        <w:t xml:space="preserve">Murugan, N.J., Vigran, H.J., Miller, K., Levin, M. et al. (2022). Acute multidrug delivery via a wearable bioreactor facilitates long-term limb regeneration and functional recovery in adult Xenopus laevis. Science Advances, 8(4):abj2164.</w:t>
      </w:r>
      <w:r>
        <w:rPr>
          <w:rtl w:val="0"/>
        </w:rPr>
      </w:r>
    </w:p>
    <w:p w:rsidR="00000000" w:rsidDel="00000000" w:rsidP="00000000" w:rsidRDefault="00000000" w:rsidRPr="00000000" w14:paraId="0000012B">
      <w:pPr>
        <w:spacing w:after="160" w:lineRule="auto"/>
        <w:rPr/>
      </w:pPr>
      <w:r>
        <w:rPr>
          <w:rFonts w:ascii="Arial" w:cs="Arial" w:eastAsia="Arial" w:hAnsi="Arial"/>
          <w:sz w:val="22"/>
          <w:szCs w:val="22"/>
          <w:rtl w:val="0"/>
        </w:rPr>
        <w:t xml:space="preserve">Rinn, J.L. et al. (2008). A dermal HOX transcriptional program regulates site-specific epidermal fate. Genes &amp; Development, 22(3):303-307.</w:t>
      </w:r>
      <w:r>
        <w:rPr>
          <w:rtl w:val="0"/>
        </w:rPr>
      </w:r>
    </w:p>
    <w:p w:rsidR="00000000" w:rsidDel="00000000" w:rsidP="00000000" w:rsidRDefault="00000000" w:rsidRPr="00000000" w14:paraId="0000012C">
      <w:pPr>
        <w:spacing w:after="160" w:lineRule="auto"/>
        <w:rPr/>
      </w:pPr>
      <w:r>
        <w:rPr>
          <w:rFonts w:ascii="Arial" w:cs="Arial" w:eastAsia="Arial" w:hAnsi="Arial"/>
          <w:sz w:val="22"/>
          <w:szCs w:val="22"/>
          <w:rtl w:val="0"/>
        </w:rPr>
        <w:t xml:space="preserve">Yang, J.H., Sinclair, D.A. et al. (2023). Loss of epigenetic information as a cause of mammalian aging. Cell, 186(2):305-326.</w:t>
      </w:r>
      <w:r>
        <w:rPr>
          <w:rtl w:val="0"/>
        </w:rPr>
      </w:r>
    </w:p>
    <w:p w:rsidR="00000000" w:rsidDel="00000000" w:rsidP="00000000" w:rsidRDefault="00000000" w:rsidRPr="00000000" w14:paraId="0000012D">
      <w:pPr>
        <w:spacing w:after="160" w:lineRule="auto"/>
        <w:rPr/>
      </w:pPr>
      <w:r>
        <w:rPr>
          <w:rFonts w:ascii="Arial" w:cs="Arial" w:eastAsia="Arial" w:hAnsi="Arial"/>
          <w:sz w:val="22"/>
          <w:szCs w:val="22"/>
          <w:rtl w:val="0"/>
        </w:rPr>
        <w:t xml:space="preserve">Xu, Z. et al. (2026). Mapping somatosensory afferent circuitry to bone identifies neurotrophic signals required for fracture healing. Science, 391(6781):eadr9608. DOI: 10.1126/science.adr9608</w:t>
      </w:r>
      <w:r>
        <w:rPr>
          <w:rtl w:val="0"/>
        </w:rPr>
      </w:r>
    </w:p>
    <w:p w:rsidR="00000000" w:rsidDel="00000000" w:rsidP="00000000" w:rsidRDefault="00000000" w:rsidRPr="00000000" w14:paraId="0000012E">
      <w:pPr>
        <w:spacing w:after="200" w:lineRule="auto"/>
        <w:rPr/>
      </w:pPr>
      <w:r>
        <w:rPr>
          <w:rtl w:val="0"/>
        </w:rPr>
      </w:r>
    </w:p>
    <w:p w:rsidR="00000000" w:rsidDel="00000000" w:rsidP="00000000" w:rsidRDefault="00000000" w:rsidRPr="00000000" w14:paraId="0000012F">
      <w:pPr>
        <w:pBdr>
          <w:top w:color="1f4e79" w:space="0" w:sz="6" w:val="single"/>
          <w:bottom w:color="1f4e79" w:space="0" w:sz="6" w:val="single"/>
          <w:right w:color="1f4e79" w:space="0" w:sz="6" w:val="single"/>
        </w:pBdr>
        <w:spacing w:after="200" w:before="400" w:lineRule="auto"/>
        <w:rPr/>
      </w:pPr>
      <w:r>
        <w:rPr>
          <w:rFonts w:ascii="Arial" w:cs="Arial" w:eastAsia="Arial" w:hAnsi="Arial"/>
          <w:b w:val="1"/>
          <w:bCs w:val="1"/>
          <w:color w:val="1f4e79"/>
          <w:sz w:val="26"/>
          <w:szCs w:val="26"/>
          <w:rtl w:val="0"/>
        </w:rPr>
        <w:t xml:space="preserve">CMR: The Five Laws — Summary</w:t>
      </w:r>
      <w:r>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Law of Permission: Regeneration requires transient de-repression of epigenetic stability-lock.</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Law of Coordinates: Morphogenesis requires Vmem-based and positional addressing of the regenerative domain.</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Law of Synchronization: The peripheral nervous system functions as phase-locking synchronization bus; it is a prerequisite, not a cofactor.</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Law of Sandboxed Growth: Regeneration is only achievable within a spatially constrained, physically bounded transient niche.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Law of Timed Termination: Every regenerative runtime must terminate autonomously via overlapping redundant shutdown mechanisms. Termination failure is cancer.</w:t>
      </w:r>
    </w:p>
    <w:p w:rsidR="00000000" w:rsidDel="00000000" w:rsidP="00000000" w:rsidRDefault="00000000" w:rsidRPr="00000000" w14:paraId="00000135">
      <w:pPr>
        <w:spacing w:after="200" w:lineRule="auto"/>
        <w:rPr/>
      </w:pPr>
      <w:r>
        <w:rPr>
          <w:rtl w:val="0"/>
        </w:rPr>
      </w:r>
    </w:p>
    <w:p w:rsidR="00000000" w:rsidDel="00000000" w:rsidP="00000000" w:rsidRDefault="00000000" w:rsidRPr="00000000" w14:paraId="00000136">
      <w:pPr>
        <w:spacing w:after="160" w:lineRule="auto"/>
        <w:rPr/>
      </w:pPr>
      <w:r>
        <w:rPr>
          <w:rFonts w:ascii="Arial" w:cs="Arial" w:eastAsia="Arial" w:hAnsi="Arial"/>
          <w:i w:val="1"/>
          <w:iCs w:val="1"/>
          <w:sz w:val="22"/>
          <w:szCs w:val="22"/>
          <w:rtl w:val="0"/>
        </w:rPr>
        <w:t xml:space="preserve">CMR is open for review, falsification, and preclinical replication. All data and protocol specifications available at github.com/Jenja-N/R</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