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rFonts w:ascii="Arial" w:cs="Arial" w:eastAsia="Arial" w:hAnsi="Arial"/>
          <w:b w:val="1"/>
          <w:bCs w:val="1"/>
          <w:color w:val="1f4e79"/>
          <w:sz w:val="40"/>
          <w:szCs w:val="40"/>
          <w:rtl w:val="0"/>
        </w:rPr>
        <w:t xml:space="preserve">Computational Morphogenic Runtime (CMR):</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2e74b5"/>
          <w:sz w:val="30"/>
          <w:szCs w:val="30"/>
          <w:rtl w:val="0"/>
        </w:rPr>
        <w:t xml:space="preserve">A Systems-Level Framework for Controlled Regenerative State Transitions in Adult Mammals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i w:val="1"/>
          <w:iCs w:val="1"/>
          <w:sz w:val="22"/>
          <w:szCs w:val="22"/>
          <w:rtl w:val="0"/>
        </w:rPr>
        <w:t xml:space="preserve">Evgeny A. Kuznetsov</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rFonts w:ascii="Arial" w:cs="Arial" w:eastAsia="Arial" w:hAnsi="Arial"/>
          <w:color w:val="808080"/>
          <w:sz w:val="20"/>
          <w:szCs w:val="20"/>
          <w:rtl w:val="0"/>
        </w:rPr>
        <w:t xml:space="preserve">Preprint. Not peer-reviewed. bioRxiv, 2026.</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Fonts w:ascii="Arial" w:cs="Arial" w:eastAsia="Arial" w:hAnsi="Arial"/>
          <w:b w:val="1"/>
          <w:bCs w:val="1"/>
          <w:sz w:val="28"/>
          <w:szCs w:val="28"/>
          <w:rtl w:val="0"/>
        </w:rPr>
        <w:t xml:space="preserve">1. ABSTRACT</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Arial" w:cs="Arial" w:eastAsia="Arial" w:hAnsi="Arial"/>
          <w:sz w:val="22"/>
          <w:szCs w:val="22"/>
          <w:rtl w:val="0"/>
        </w:rPr>
        <w:t xml:space="preserve">We propose that regeneration in adult mammals is not an absent property of terminally differentiated tissue, but a latent computational state transition that requires coordinated activation across five mechanistic layers. The Computational Morphogenic Runtime (CMR) framework formalizes this as five laws: Permission (transient release of epigenetic stability-lock), Coordinates (bioelectric and positional addressing), Synchronization (neural phase-locking of the regenerative domain), Sandboxed Growth (spatially constrained permissive niche), and Timed Termination (enforced autonomous shutdown). Each law is supported by independent experimental evidence. Their simultaneous orchestration has not previously been formalized or tested as a unified protocol. CMR reframes regenerative biology from signal discovery to state orchestration, and provides falsifiable predictions and a preclinical roadmap for adult mammalian digit regeneration.</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Fonts w:ascii="Arial" w:cs="Arial" w:eastAsia="Arial" w:hAnsi="Arial"/>
          <w:b w:val="1"/>
          <w:bCs w:val="1"/>
          <w:sz w:val="28"/>
          <w:szCs w:val="28"/>
          <w:rtl w:val="0"/>
        </w:rPr>
        <w:t xml:space="preserve">2. INTRODUCTION</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Arial" w:cs="Arial" w:eastAsia="Arial" w:hAnsi="Arial"/>
          <w:b w:val="1"/>
          <w:bCs w:val="1"/>
          <w:sz w:val="22"/>
          <w:szCs w:val="22"/>
          <w:rtl w:val="0"/>
        </w:rPr>
        <w:t xml:space="preserve">The Problem</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Arial" w:cs="Arial" w:eastAsia="Arial" w:hAnsi="Arial"/>
          <w:sz w:val="22"/>
          <w:szCs w:val="22"/>
          <w:rtl w:val="0"/>
        </w:rPr>
        <w:t xml:space="preserve">Contemporary regenerative biology has produced extensive characterization of individual molecular signals: growth factors, transcription factor cascades, immune mediators, and bioelectric gradients. However, the field lacks a unifying systems-level architecture that explains why these signals, individually insufficient, might produce robust regeneration when properly orchestrated.</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Arial" w:cs="Arial" w:eastAsia="Arial" w:hAnsi="Arial"/>
          <w:sz w:val="22"/>
          <w:szCs w:val="22"/>
          <w:rtl w:val="0"/>
        </w:rPr>
        <w:t xml:space="preserve">Adult mammals exhibit sharply limited regenerative capacity compared to urodele amphibians (Ambystoma mexicanum) and planaria (Schmidtea mediterranea). This limitation has been attributed variously to immune surveillance, oncogenic suppression, fibrotic sealing, and epigenetic stability. We argue these are not competing explanations but parallel components of a single multi-layer stability-lock, and that regeneration requires their coordinated transient release within a spatially defined domain.</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Arial" w:cs="Arial" w:eastAsia="Arial" w:hAnsi="Arial"/>
          <w:b w:val="1"/>
          <w:bCs w:val="1"/>
          <w:sz w:val="22"/>
          <w:szCs w:val="22"/>
          <w:rtl w:val="0"/>
        </w:rPr>
        <w:t xml:space="preserve">Central Hypothesis</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Fonts w:ascii="Arial" w:cs="Arial" w:eastAsia="Arial" w:hAnsi="Arial"/>
          <w:sz w:val="22"/>
          <w:szCs w:val="22"/>
          <w:rtl w:val="0"/>
        </w:rPr>
        <w:t xml:space="preserve">Adult mammalian tissue retains a complete latent morphogenetic program encoded in the genome and preserved in positional epigenetic memory of somatic cells (Rinn et al., 2008). Regeneration does not require introduction of new information. It requires temporary de-repression of existing positional information within a spatially constrained, neurally synchronized, immunologically choreographed, and autonomously terminating domain.</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Fonts w:ascii="Arial" w:cs="Arial" w:eastAsia="Arial" w:hAnsi="Arial"/>
          <w:i w:val="1"/>
          <w:iCs w:val="1"/>
          <w:sz w:val="22"/>
          <w:szCs w:val="22"/>
          <w:rtl w:val="0"/>
        </w:rPr>
        <w:t xml:space="preserve">Formal statement: Regeneration = transient, addressed, synchronized, sandboxed, and self-terminating computational state transition of a multicellular tissue system.</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Fonts w:ascii="Arial" w:cs="Arial" w:eastAsia="Arial" w:hAnsi="Arial"/>
          <w:b w:val="1"/>
          <w:bCs w:val="1"/>
          <w:sz w:val="28"/>
          <w:szCs w:val="28"/>
          <w:rtl w:val="0"/>
        </w:rPr>
        <w:t xml:space="preserve">3. THE FIVE LAWS OF CMR</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b w:val="1"/>
          <w:bCs w:val="1"/>
          <w:sz w:val="24"/>
          <w:szCs w:val="24"/>
          <w:rtl w:val="0"/>
        </w:rPr>
        <w:t xml:space="preserve">3.1 Law of Permission</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Arial" w:cs="Arial" w:eastAsia="Arial" w:hAnsi="Arial"/>
          <w:sz w:val="22"/>
          <w:szCs w:val="22"/>
          <w:rtl w:val="0"/>
        </w:rPr>
        <w:t xml:space="preserve">Adult tissue cannot enter a regenerative state without transient release of epigenetic stability-lock. This lock is maintained by p53 activity, chromatin compaction via HDAC complexes, and DNA methylation patterns that preserve cell identity and suppress proliferative gene programs.</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Fonts w:ascii="Arial" w:cs="Arial" w:eastAsia="Arial" w:hAnsi="Arial"/>
          <w:sz w:val="22"/>
          <w:szCs w:val="22"/>
          <w:rtl w:val="0"/>
        </w:rPr>
        <w:t xml:space="preserve">Mechanistic basis: Yang et al. (2023, Cell) demonstrated that loss of epigenetic information is a causal driver of mammalian aging, and that OSK-mediated partial reprogramming restores youthful methylation patterns and regenerative competence in retinal ganglion cells (Lu et al., 2020, Nature) without inducing pluripotency or oncogenesis when applied transiently.</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Fonts w:ascii="Arial" w:cs="Arial" w:eastAsia="Arial" w:hAnsi="Arial"/>
          <w:sz w:val="22"/>
          <w:szCs w:val="22"/>
          <w:rtl w:val="0"/>
        </w:rPr>
        <w:t xml:space="preserve">Operational implication: Transient p53 inhibition (pifithrin-alpha or chemical analogues) combined with HDAC inhibition (valproic acid, local delivery) for &lt;72 hours induces a repair-competence state. This is not dedifferentiation to pluripotency. It is de-repression of latent positional information.</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Fonts w:ascii="Arial" w:cs="Arial" w:eastAsia="Arial" w:hAnsi="Arial"/>
          <w:b w:val="1"/>
          <w:bCs w:val="1"/>
          <w:sz w:val="24"/>
          <w:szCs w:val="24"/>
          <w:rtl w:val="0"/>
        </w:rPr>
        <w:t xml:space="preserve">3.2 Law of Coordinates</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Fonts w:ascii="Arial" w:cs="Arial" w:eastAsia="Arial" w:hAnsi="Arial"/>
          <w:sz w:val="22"/>
          <w:szCs w:val="22"/>
          <w:rtl w:val="0"/>
        </w:rPr>
        <w:t xml:space="preserve">Morphogenesis requires a spatial addressing system. In embryogenesis, this is provided by bioelectric gradients (transmembrane voltage, Vmem) and positional signals (HOX gene expression, retinoic acid gradients). Adult tissue retains these systems in latent form.</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Fonts w:ascii="Arial" w:cs="Arial" w:eastAsia="Arial" w:hAnsi="Arial"/>
          <w:sz w:val="22"/>
          <w:szCs w:val="22"/>
          <w:rtl w:val="0"/>
        </w:rPr>
        <w:t xml:space="preserve">Mechanistic basis: Levin and colleagues (2021, Cell; 2023, iScience) demonstrated that endogenous Vmem distributions function as morphogenetic information storage, controlling gene expression and enabling cell collectives to execute large-scale patterning decisions. Rinn et al. (2008) showed that dermal fibroblasts in adult humans retain positional HOX expression corresponding to their anatomical origin, confirming that positional memory persists into adulthood.</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Fonts w:ascii="Arial" w:cs="Arial" w:eastAsia="Arial" w:hAnsi="Arial"/>
          <w:sz w:val="22"/>
          <w:szCs w:val="22"/>
          <w:rtl w:val="0"/>
        </w:rPr>
        <w:t xml:space="preserve">Operational implication: An externally applied Vmem gradient via low-current electrode (10-100 microamperes, DC) provides spatial coordinates to the regenerative domain. Combined with local retinoic acid gradient delivery, this re-activates the proximo-distal positional addressing system without introducing exogenous genetic information.</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Fonts w:ascii="Arial" w:cs="Arial" w:eastAsia="Arial" w:hAnsi="Arial"/>
          <w:b w:val="1"/>
          <w:bCs w:val="1"/>
          <w:sz w:val="24"/>
          <w:szCs w:val="24"/>
          <w:rtl w:val="0"/>
        </w:rPr>
        <w:t xml:space="preserve">3.3 Law of Synchronization</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Fonts w:ascii="Arial" w:cs="Arial" w:eastAsia="Arial" w:hAnsi="Arial"/>
          <w:sz w:val="22"/>
          <w:szCs w:val="22"/>
          <w:rtl w:val="0"/>
        </w:rPr>
        <w:t xml:space="preserve">The peripheral nervous system functions as a phase-locking synchronization bus for the regenerative domain. Denervation experiments in axolotl (Kumar et al., 2000), Xenopus (Murugan et al., 2022, Science Advances), and peripheral nerve regeneration studies in mammals consistently demonstrate that nerve-derived signals are required not merely as trophic support but as temporal coordinators of growth rate, vascular timing, and positional coherence.</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Fonts w:ascii="Arial" w:cs="Arial" w:eastAsia="Arial" w:hAnsi="Arial"/>
          <w:sz w:val="22"/>
          <w:szCs w:val="22"/>
          <w:rtl w:val="0"/>
        </w:rPr>
        <w:t xml:space="preserve">Mechanistic basis: Without intact innervation, blastema formation either fails or produces structurally disorganized tissue. The neural contribution appears to function as a low-frequency oscillatory synchronization signal, coordinating otherwise asynchronous cellular programs across the domain. BDNF and NGF release from Schwann cells and macrophages at the injury site links neural activity to immune phenotype switching (M1 to M2) and subsequent vascular growth.</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rFonts w:ascii="Arial" w:cs="Arial" w:eastAsia="Arial" w:hAnsi="Arial"/>
          <w:sz w:val="22"/>
          <w:szCs w:val="22"/>
          <w:rtl w:val="0"/>
        </w:rPr>
        <w:t xml:space="preserve">Operational implication: Neural synchronization must be established BEFORE the regenerative runtime is initiated. BDNF/NGF delivery to the peri-neural zone at T-7 days prior to the main protocol is a prerequisite, not a cofactor. Protocol initiation proceeds only after confirmed nerve density recovery (PGP9.5 immunohistochemistry).</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Fonts w:ascii="Arial" w:cs="Arial" w:eastAsia="Arial" w:hAnsi="Arial"/>
          <w:b w:val="1"/>
          <w:bCs w:val="1"/>
          <w:sz w:val="24"/>
          <w:szCs w:val="24"/>
          <w:rtl w:val="0"/>
        </w:rPr>
        <w:t xml:space="preserve">3.4 Law of Sandboxed Growth</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Fonts w:ascii="Arial" w:cs="Arial" w:eastAsia="Arial" w:hAnsi="Arial"/>
          <w:sz w:val="22"/>
          <w:szCs w:val="22"/>
          <w:rtl w:val="0"/>
        </w:rPr>
        <w:t xml:space="preserve">Regeneration requires spatial confinement. Without defined domain boundaries, permissive growth signals produce hyperplasia, fibrosis, or morphologically incorrect structures. The blastema in axolotl and the fracture callus in mammals represent naturally occurring sandboxed domains: physically bounded, transiently permissive, and positionally addressed zones of morphogenetic activity.</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Arial" w:cs="Arial" w:eastAsia="Arial" w:hAnsi="Arial"/>
          <w:sz w:val="22"/>
          <w:szCs w:val="22"/>
          <w:rtl w:val="0"/>
        </w:rPr>
        <w:t xml:space="preserve">Mechanistic basis: Levin (2009, Seminars in Cell and Developmental Biology) showed that bioelectric gradients define morphogenetic field boundaries with higher spatial precision than chemical gradients alone. Badylak et al. (2005-2022) demonstrated that ECM scaffolds with defined degradation kinetics guide M2 macrophage polarization and subsequent tissue remodeling in spatially constrained zones.</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Arial" w:cs="Arial" w:eastAsia="Arial" w:hAnsi="Arial"/>
          <w:sz w:val="22"/>
          <w:szCs w:val="22"/>
          <w:rtl w:val="0"/>
        </w:rPr>
        <w:t xml:space="preserve">Operational implication: The sandbox is constructed from three independently validated components: (1) a biodegradable PLGA scaffold with spatially programmed gradient degradation (periphery by day 14, center by day 28) providing mechanical containment; (2) a bioelectric boundary via electrode array calibrated to scaffold fiducial markers (&lt;500 micrometer precision), creating a Vmem-permission gradient; and (3) TGF-beta3 applied to the domain perimeter, maintaining fibrosis-lock outside while preserving permissive state inside.</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Fonts w:ascii="Arial" w:cs="Arial" w:eastAsia="Arial" w:hAnsi="Arial"/>
          <w:b w:val="1"/>
          <w:bCs w:val="1"/>
          <w:sz w:val="24"/>
          <w:szCs w:val="24"/>
          <w:rtl w:val="0"/>
        </w:rPr>
        <w:t xml:space="preserve">3.5 Law of Timed Termination</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Arial" w:cs="Arial" w:eastAsia="Arial" w:hAnsi="Arial"/>
          <w:sz w:val="22"/>
          <w:szCs w:val="22"/>
          <w:rtl w:val="0"/>
        </w:rPr>
        <w:t xml:space="preserve">Every regenerative runtime must terminate autonomously. This is the most critical law. Failure of termination is the mechanism of cancer. The difference between regeneration and neoplasia is not the growth machinery used but the presence or absence of termination signals.</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Arial" w:cs="Arial" w:eastAsia="Arial" w:hAnsi="Arial"/>
          <w:sz w:val="22"/>
          <w:szCs w:val="22"/>
          <w:rtl w:val="0"/>
        </w:rPr>
        <w:t xml:space="preserve">Mechanistic basis: Contact inhibition (Hippo pathway, YAP/TAZ deactivation upon confluence) provides cell-intrinsic termination. p53 recovery upon cessation of inhibitors re-establishes oncogenic surveillance. Scaffold degradation removes the mechanical permissive signal. Vmem normalization upon electrode removal eliminates the bioelectric addressing signal. Each shutdown mechanism is independent; their overlap provides redundancy.</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Arial" w:cs="Arial" w:eastAsia="Arial" w:hAnsi="Arial"/>
          <w:sz w:val="22"/>
          <w:szCs w:val="22"/>
          <w:rtl w:val="0"/>
        </w:rPr>
        <w:t xml:space="preserve">Oncogenic risk management: Personalized mRNA vaccination against patient-specific neoantigens (BioNTech/Moderna platform, Phase III 2024) combined with CAR-T cells targeted to Ki-67-high/p21-low proliferative signature provides active immune surveillance throughout the protocol. The key insight is that oncogenic risk is not eliminated by suppression but rendered operationally negligible by surveillance that responds faster than clonal expansion.</w:t>
      </w: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Fonts w:ascii="Arial" w:cs="Arial" w:eastAsia="Arial" w:hAnsi="Arial"/>
          <w:b w:val="1"/>
          <w:bCs w:val="1"/>
          <w:sz w:val="28"/>
          <w:szCs w:val="28"/>
          <w:rtl w:val="0"/>
        </w:rPr>
        <w:t xml:space="preserve">4. RETROSPECTIVE EVIDENCE</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Fonts w:ascii="Arial" w:cs="Arial" w:eastAsia="Arial" w:hAnsi="Arial"/>
          <w:sz w:val="22"/>
          <w:szCs w:val="22"/>
          <w:rtl w:val="0"/>
        </w:rPr>
        <w:t xml:space="preserve">Each law of CMR is independently supported by existing experimental literature. The following table summarizes key evidence across model organisms and tissue types.</w:t>
      </w:r>
      <w:r w:rsidDel="00000000" w:rsidR="00000000" w:rsidRPr="00000000">
        <w:rPr>
          <w:rtl w:val="0"/>
        </w:rPr>
      </w:r>
    </w:p>
    <w:p w:rsidR="00000000" w:rsidDel="00000000" w:rsidP="00000000" w:rsidRDefault="00000000" w:rsidRPr="00000000" w14:paraId="00000028">
      <w:pPr>
        <w:spacing w:after="200" w:lineRule="auto"/>
        <w:rPr/>
      </w:pPr>
      <w:r w:rsidDel="00000000" w:rsidR="00000000" w:rsidRPr="00000000">
        <w:rPr>
          <w:rtl w:val="0"/>
        </w:rPr>
      </w:r>
    </w:p>
    <w:tbl>
      <w:tblPr>
        <w:tblStyle w:val="Table1"/>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500"/>
        <w:gridCol w:w="2000"/>
        <w:gridCol w:w="900"/>
        <w:tblGridChange w:id="0">
          <w:tblGrid>
            <w:gridCol w:w="1600"/>
            <w:gridCol w:w="2500"/>
            <w:gridCol w:w="1500"/>
            <w:gridCol w:w="2000"/>
            <w:gridCol w:w="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CMR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Key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Permission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OSK restores methylation, axon regeneration without oncogenesis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Mouse retinal ganglion cells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Lu et al. 2020, 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Permission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Loss of epigenetic information as cause of mammalian 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Mouse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Yang et al. 2023, 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Permission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Partial OSKM reverses age phenotypes in skeletal muscle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Mouse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Cipriano/Sinclair 2023, Nat 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Coordinates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Vmem gradients control large-scale patterning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Planaria, Xenopus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Levin 2021, 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Coordinates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Bioelectric correction of anatomical polarity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Planaria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Levin lab 2007-2024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Coordinates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HOX positional memory in adult human fibroblasts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Human skin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Rinn et al. 2008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Synchronization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Denervation collapses blastema pattern fidelity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Axolotl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Kumar et al. 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Synchronization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Wearable bioreactor + multi-drug: limb regeneration adult Xenopus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Xenopus laevis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Murugan et al. 2022, Sci Adv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Synchronization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Sensory DRG neurons produce FGF9/TGFb1/SHH in phases; denervation = defective mesenchymal proliferation + osteodifferentiation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Mouse bone fracture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Xu et al. 2026, Science 391:eadr9608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Confirmed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Sandboxed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ECM scaffold + M2 polarization: structured tissue remodeling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Multiple mammalian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Badylak et al. 2005-2022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Sandboxed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Fracture callus = natural transient regenerative niche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Mouse, Human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Multiple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Timed 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Transient OSK: regeneration without dysplasia when time-limited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Mouse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Lu et al. 2020, 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Timed 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mRNA cancer vaccine: immune surveillance of proliferative cells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Human Phase III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BioNTech/Moderna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Clinical</w:t>
            </w:r>
            <w:r w:rsidDel="00000000" w:rsidR="00000000" w:rsidRPr="00000000">
              <w:rPr>
                <w:rtl w:val="0"/>
              </w:rPr>
            </w:r>
          </w:p>
        </w:tc>
      </w:tr>
    </w:tbl>
    <w:p w:rsidR="00000000" w:rsidDel="00000000" w:rsidP="00000000" w:rsidRDefault="00000000" w:rsidRPr="00000000" w14:paraId="0000006F">
      <w:pPr>
        <w:spacing w:after="200" w:lineRule="auto"/>
        <w:rPr/>
      </w:pPr>
      <w:r w:rsidDel="00000000" w:rsidR="00000000" w:rsidRPr="00000000">
        <w:rPr>
          <w:rtl w:val="0"/>
        </w:rPr>
      </w:r>
    </w:p>
    <w:p w:rsidR="00000000" w:rsidDel="00000000" w:rsidP="00000000" w:rsidRDefault="00000000" w:rsidRPr="00000000" w14:paraId="00000070">
      <w:pPr>
        <w:spacing w:after="160" w:lineRule="auto"/>
        <w:rPr/>
      </w:pPr>
      <w:r w:rsidDel="00000000" w:rsidR="00000000" w:rsidRPr="00000000">
        <w:rPr>
          <w:rFonts w:ascii="Arial" w:cs="Arial" w:eastAsia="Arial" w:hAnsi="Arial"/>
          <w:sz w:val="22"/>
          <w:szCs w:val="22"/>
          <w:rtl w:val="0"/>
        </w:rPr>
        <w:t xml:space="preserve">Critical gap: No existing study has simultaneously activated all five layers within a unified protocol in adult mammals. CMR is the first framework to propose and operationalize this orchestration.</w:t>
      </w:r>
      <w:r w:rsidDel="00000000" w:rsidR="00000000" w:rsidRPr="00000000">
        <w:rPr>
          <w:rtl w:val="0"/>
        </w:rPr>
      </w:r>
    </w:p>
    <w:p w:rsidR="00000000" w:rsidDel="00000000" w:rsidP="00000000" w:rsidRDefault="00000000" w:rsidRPr="00000000" w14:paraId="00000071">
      <w:pPr>
        <w:spacing w:after="200" w:lineRule="auto"/>
        <w:rPr/>
      </w:pP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Fonts w:ascii="Arial" w:cs="Arial" w:eastAsia="Arial" w:hAnsi="Arial"/>
          <w:b w:val="1"/>
          <w:bCs w:val="1"/>
          <w:sz w:val="28"/>
          <w:szCs w:val="28"/>
          <w:rtl w:val="0"/>
        </w:rPr>
        <w:t xml:space="preserve">5. CMR ARCHITECTURE</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rFonts w:ascii="Arial" w:cs="Arial" w:eastAsia="Arial" w:hAnsi="Arial"/>
          <w:sz w:val="22"/>
          <w:szCs w:val="22"/>
          <w:rtl w:val="0"/>
        </w:rPr>
        <w:t xml:space="preserve">The complete CMR operational stack for adult mammalian distal phalanx regeneration is structured as follows. Component sequence is non-negotiable: synchronization must precede permission; sandbox must precede permission gate opening; termination layer must be active before permission gate opens.</w:t>
      </w:r>
      <w:r w:rsidDel="00000000" w:rsidR="00000000" w:rsidRPr="00000000">
        <w:rPr>
          <w:rtl w:val="0"/>
        </w:rPr>
      </w:r>
    </w:p>
    <w:p w:rsidR="00000000" w:rsidDel="00000000" w:rsidP="00000000" w:rsidRDefault="00000000" w:rsidRPr="00000000" w14:paraId="00000074">
      <w:pPr>
        <w:spacing w:after="200" w:lineRule="auto"/>
        <w:rPr/>
      </w:pP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2500"/>
        <w:gridCol w:w="1000"/>
        <w:gridCol w:w="1460"/>
        <w:tblGridChange w:id="0">
          <w:tblGrid>
            <w:gridCol w:w="1400"/>
            <w:gridCol w:w="2000"/>
            <w:gridCol w:w="2500"/>
            <w:gridCol w:w="1000"/>
            <w:gridCol w:w="1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0"/>
                <w:szCs w:val="20"/>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Clinical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BDNF/NGF perineural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Maximize nerve density; establish synchronization 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Day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Preclinical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mRNA neoantigen vaccination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Immune surveillance priming against proliferative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Day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Phase III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CAR-T Ki-67/p21 targeting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Active surveillance ready before permission gate opens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Day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Preclinical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Sandbox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PLGA gradient scaffold 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Mechanical containment with programmed decay kinetics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Day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Clinical (orthopedics)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Sandbox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TGF-beta3 perimeter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Fibrosis-lock maintained outside domain boundary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Day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Preclinical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Coordinates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Electrode array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Vmem gradient = spatial coordinate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Day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Clinical (bone/nerve)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Coordinates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Retinoic acid gradient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Proximo-distal HOX addressing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Day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Preclinical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Permission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Pifithrin-alpha local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Transient p53 inhibition &lt;72h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Day 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Preclinical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Permission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Valproic acid local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HDAC inhibition, de-repression of positional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Day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Clinical (CNS)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Endogenous morphogenetic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Genome-encoded topology executed by de-repressed cells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Day 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N/A (intrinsic)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Electrode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Vmem normalization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Day 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Trivial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Scaffold central degradation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Mechanical constraint released after ECM maturation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Day 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Programmed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p53 autonomous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Oncogenic surveillance restored as differentiation completes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Day 3 onward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Intrinsic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CAR-T sweep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Clearance of any residual Ki-67-high cells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Days 28, 35, 42, 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Preclinical</w:t>
            </w:r>
            <w:r w:rsidDel="00000000" w:rsidR="00000000" w:rsidRPr="00000000">
              <w:rPr>
                <w:rtl w:val="0"/>
              </w:rPr>
            </w:r>
          </w:p>
        </w:tc>
      </w:tr>
    </w:tbl>
    <w:p w:rsidR="00000000" w:rsidDel="00000000" w:rsidP="00000000" w:rsidRDefault="00000000" w:rsidRPr="00000000" w14:paraId="000000C0">
      <w:pPr>
        <w:spacing w:after="200" w:lineRule="auto"/>
        <w:rPr/>
      </w:pP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Fonts w:ascii="Arial" w:cs="Arial" w:eastAsia="Arial" w:hAnsi="Arial"/>
          <w:b w:val="1"/>
          <w:bCs w:val="1"/>
          <w:sz w:val="28"/>
          <w:szCs w:val="28"/>
          <w:rtl w:val="0"/>
        </w:rPr>
        <w:t xml:space="preserve">6. FALSIFIABLE PREDICTIONS</w:t>
      </w:r>
      <w:r w:rsidDel="00000000" w:rsidR="00000000" w:rsidRPr="00000000">
        <w:rPr>
          <w:rtl w:val="0"/>
        </w:rPr>
      </w:r>
    </w:p>
    <w:p w:rsidR="00000000" w:rsidDel="00000000" w:rsidP="00000000" w:rsidRDefault="00000000" w:rsidRPr="00000000" w14:paraId="000000C2">
      <w:pPr>
        <w:spacing w:after="160" w:lineRule="auto"/>
        <w:rPr/>
      </w:pPr>
      <w:r w:rsidDel="00000000" w:rsidR="00000000" w:rsidRPr="00000000">
        <w:rPr>
          <w:rFonts w:ascii="Arial" w:cs="Arial" w:eastAsia="Arial" w:hAnsi="Arial"/>
          <w:sz w:val="22"/>
          <w:szCs w:val="22"/>
          <w:rtl w:val="0"/>
        </w:rPr>
        <w:t xml:space="preserve">CMR generates the following falsifiable predictions, testable in the preclinical model described in Section 7:</w:t>
      </w:r>
      <w:r w:rsidDel="00000000" w:rsidR="00000000" w:rsidRPr="00000000">
        <w:rPr>
          <w:rtl w:val="0"/>
        </w:rPr>
      </w:r>
    </w:p>
    <w:p w:rsidR="00000000" w:rsidDel="00000000" w:rsidP="00000000" w:rsidRDefault="00000000" w:rsidRPr="00000000" w14:paraId="000000C3">
      <w:pPr>
        <w:spacing w:after="200" w:lineRule="auto"/>
        <w:rPr/>
      </w:pPr>
      <w:r w:rsidDel="00000000" w:rsidR="00000000" w:rsidRPr="00000000">
        <w:rPr>
          <w:rtl w:val="0"/>
        </w:rPr>
      </w:r>
    </w:p>
    <w:tbl>
      <w:tblPr>
        <w:tblStyle w:val="Table3"/>
        <w:tblW w:w="7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800"/>
        <w:gridCol w:w="2560"/>
        <w:tblGridChange w:id="0">
          <w:tblGrid>
            <w:gridCol w:w="2500"/>
            <w:gridCol w:w="28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0"/>
                <w:szCs w:val="20"/>
                <w:rtl w:val="0"/>
              </w:rPr>
              <w:t xml:space="preserve">Prediction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0"/>
                <w:szCs w:val="20"/>
                <w:rtl w:val="0"/>
              </w:rPr>
              <w:t xml:space="preserve">Experimental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0"/>
                <w:szCs w:val="20"/>
                <w:rtl w:val="0"/>
              </w:rPr>
              <w:t xml:space="preserve">Falsifying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Denervation destroys pattern fidelity but not blastema initiation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Full protocol minus BDNF/NGF (Group 2 vs Group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Blastema fails to form entirely (would indicate nerve = permission, not synchronization)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Vmem disruption collapses positional coherence without stopping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Full protocol minus electrode array (Group 3 vs Group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No growth at all (would indicate Vmem = permission gate, not coordinate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Isolated layers are individually insufficient for complete regeneration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Single-layer groups vs full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Any single layer produces complete regeneration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Shutdown failure increases dysplasia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Protocol with p53 inhibitor extended beyond 72h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Extended inhibition produces no dysplasia (would indicate p53 is not critical termination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Positional memory sufficient without exogenous morphogens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Full protocol minus retinoic acid gradient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Structurally correct digit produced regardless (would validate intrinsic addressing)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Neural clock is prerequisite, not cofactor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Full protocol with BDNF/NGF at Day 0 (concurrent) vs Day -7 (prerequisite)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Concurrent delivery produces equivalent outcomes</w:t>
            </w:r>
            <w:r w:rsidDel="00000000" w:rsidR="00000000" w:rsidRPr="00000000">
              <w:rPr>
                <w:rtl w:val="0"/>
              </w:rPr>
            </w:r>
          </w:p>
        </w:tc>
      </w:tr>
    </w:tbl>
    <w:p w:rsidR="00000000" w:rsidDel="00000000" w:rsidP="00000000" w:rsidRDefault="00000000" w:rsidRPr="00000000" w14:paraId="000000D9">
      <w:pPr>
        <w:spacing w:after="200" w:lineRule="auto"/>
        <w:rPr/>
      </w:pP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Fonts w:ascii="Arial" w:cs="Arial" w:eastAsia="Arial" w:hAnsi="Arial"/>
          <w:b w:val="1"/>
          <w:bCs w:val="1"/>
          <w:sz w:val="28"/>
          <w:szCs w:val="28"/>
          <w:rtl w:val="0"/>
        </w:rPr>
        <w:t xml:space="preserve">7. PRECLINICAL PROTOCOL</w:t>
      </w:r>
      <w:r w:rsidDel="00000000" w:rsidR="00000000" w:rsidRPr="00000000">
        <w:rPr>
          <w:rtl w:val="0"/>
        </w:rPr>
      </w:r>
    </w:p>
    <w:p w:rsidR="00000000" w:rsidDel="00000000" w:rsidP="00000000" w:rsidRDefault="00000000" w:rsidRPr="00000000" w14:paraId="000000DB">
      <w:pPr>
        <w:spacing w:after="160" w:lineRule="auto"/>
        <w:rPr/>
      </w:pPr>
      <w:r w:rsidDel="00000000" w:rsidR="00000000" w:rsidRPr="00000000">
        <w:rPr>
          <w:rFonts w:ascii="Arial" w:cs="Arial" w:eastAsia="Arial" w:hAnsi="Arial"/>
          <w:b w:val="1"/>
          <w:bCs w:val="1"/>
          <w:sz w:val="22"/>
          <w:szCs w:val="22"/>
          <w:rtl w:val="0"/>
        </w:rPr>
        <w:t xml:space="preserve">Model: C57BL/6 adult mouse (8-12 weeks), amputation of distal phalanx P3.</w:t>
      </w:r>
      <w:r w:rsidDel="00000000" w:rsidR="00000000" w:rsidRPr="00000000">
        <w:rPr>
          <w:rtl w:val="0"/>
        </w:rPr>
      </w:r>
    </w:p>
    <w:p w:rsidR="00000000" w:rsidDel="00000000" w:rsidP="00000000" w:rsidRDefault="00000000" w:rsidRPr="00000000" w14:paraId="000000DC">
      <w:pPr>
        <w:spacing w:after="160" w:lineRule="auto"/>
        <w:rPr/>
      </w:pPr>
      <w:r w:rsidDel="00000000" w:rsidR="00000000" w:rsidRPr="00000000">
        <w:rPr>
          <w:rFonts w:ascii="Arial" w:cs="Arial" w:eastAsia="Arial" w:hAnsi="Arial"/>
          <w:sz w:val="22"/>
          <w:szCs w:val="22"/>
          <w:rtl w:val="0"/>
        </w:rPr>
        <w:t xml:space="preserve">Rationale: The mouse P3 phalanx exhibits spontaneous partial regeneration in juveniles (&lt;7 days postnatal) but not in adults (8+ weeks). This provides a clean signal window: any regeneration observed in adult animals following the CMR protocol is attributable to the intervention, not baseline capacity. The fracture callus model in adjacent literature provides direct mechanistic precedent.</w:t>
      </w:r>
      <w:r w:rsidDel="00000000" w:rsidR="00000000" w:rsidRPr="00000000">
        <w:rPr>
          <w:rtl w:val="0"/>
        </w:rPr>
      </w:r>
    </w:p>
    <w:p w:rsidR="00000000" w:rsidDel="00000000" w:rsidP="00000000" w:rsidRDefault="00000000" w:rsidRPr="00000000" w14:paraId="000000DD">
      <w:pPr>
        <w:spacing w:after="200" w:lineRule="auto"/>
        <w:rPr/>
      </w:pPr>
      <w:r w:rsidDel="00000000" w:rsidR="00000000" w:rsidRPr="00000000">
        <w:rPr>
          <w:rtl w:val="0"/>
        </w:rPr>
      </w:r>
    </w:p>
    <w:p w:rsidR="00000000" w:rsidDel="00000000" w:rsidP="00000000" w:rsidRDefault="00000000" w:rsidRPr="00000000" w14:paraId="000000DE">
      <w:pPr>
        <w:spacing w:after="160" w:lineRule="auto"/>
        <w:rPr/>
      </w:pPr>
      <w:r w:rsidDel="00000000" w:rsidR="00000000" w:rsidRPr="00000000">
        <w:rPr>
          <w:rFonts w:ascii="Arial" w:cs="Arial" w:eastAsia="Arial" w:hAnsi="Arial"/>
          <w:b w:val="1"/>
          <w:bCs w:val="1"/>
          <w:sz w:val="22"/>
          <w:szCs w:val="22"/>
          <w:rtl w:val="0"/>
        </w:rPr>
        <w:t xml:space="preserve">Groups (n=10 per group, 3 independent replicates):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1: Amputation only (no intervention)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2: Full CMR minus neural synchronization layer (no BDNF/NGF)</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3: Full CMR minus bioelectric coordinates (no electrode)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4: Full CMR protocol</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5: Full CMR with extended p53 inhibition (7 days, not 72h) — termination stress test</w:t>
      </w:r>
    </w:p>
    <w:p w:rsidR="00000000" w:rsidDel="00000000" w:rsidP="00000000" w:rsidRDefault="00000000" w:rsidRPr="00000000" w14:paraId="000000E4">
      <w:pPr>
        <w:spacing w:after="200" w:lineRule="auto"/>
        <w:rPr/>
      </w:pPr>
      <w:r w:rsidDel="00000000" w:rsidR="00000000" w:rsidRPr="00000000">
        <w:rPr>
          <w:rtl w:val="0"/>
        </w:rPr>
      </w:r>
    </w:p>
    <w:p w:rsidR="00000000" w:rsidDel="00000000" w:rsidP="00000000" w:rsidRDefault="00000000" w:rsidRPr="00000000" w14:paraId="000000E5">
      <w:pPr>
        <w:spacing w:after="160" w:lineRule="auto"/>
        <w:rPr/>
      </w:pPr>
      <w:r w:rsidDel="00000000" w:rsidR="00000000" w:rsidRPr="00000000">
        <w:rPr>
          <w:rFonts w:ascii="Arial" w:cs="Arial" w:eastAsia="Arial" w:hAnsi="Arial"/>
          <w:b w:val="1"/>
          <w:bCs w:val="1"/>
          <w:sz w:val="22"/>
          <w:szCs w:val="22"/>
          <w:rtl w:val="0"/>
        </w:rPr>
        <w:t xml:space="preserve">Primary endpoints:</w:t>
      </w: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1200"/>
        <w:gridCol w:w="2960"/>
        <w:tblGridChange w:id="0">
          <w:tblGrid>
            <w:gridCol w:w="2000"/>
            <w:gridCol w:w="2200"/>
            <w:gridCol w:w="12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Timepoint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Success Criterion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Blastema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Histology: Sox2/Prrx1 co-expression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Day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Sox2+/Prrx1+ cells &gt;15% of wound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Neural density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PGP9.5 immunohistochemistry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Days 7, 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Density &gt;80% of contralateral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Vasculogenesis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CD31 staining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Day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Vascular density &gt;60% of contralateral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Structural fidelity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MicroCT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Day 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Bone volume &gt;70% of contralateral P3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Proliferative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Ki-67 IHC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Days 14, 28, 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Ki-67+ cells &lt;5% at day 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Vmem normalization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Voltage-sensitive dye imaging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Days 0, 14, 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Vmem pattern matches contralateral at day 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Dysplasia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H&amp;E histology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Days 42,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No dysplastic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Functional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Grip strength, gait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Day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Within 20% of pre-amputation baseline</w:t>
            </w:r>
            <w:r w:rsidDel="00000000" w:rsidR="00000000" w:rsidRPr="00000000">
              <w:rPr>
                <w:rtl w:val="0"/>
              </w:rPr>
            </w:r>
          </w:p>
        </w:tc>
      </w:tr>
    </w:tbl>
    <w:p w:rsidR="00000000" w:rsidDel="00000000" w:rsidP="00000000" w:rsidRDefault="00000000" w:rsidRPr="00000000" w14:paraId="0000010A">
      <w:pPr>
        <w:spacing w:after="200" w:lineRule="auto"/>
        <w:rPr/>
      </w:pP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Fonts w:ascii="Arial" w:cs="Arial" w:eastAsia="Arial" w:hAnsi="Arial"/>
          <w:b w:val="1"/>
          <w:bCs w:val="1"/>
          <w:sz w:val="28"/>
          <w:szCs w:val="28"/>
          <w:rtl w:val="0"/>
        </w:rPr>
        <w:t xml:space="preserve">8. DISCUSSION</w:t>
      </w:r>
      <w:r w:rsidDel="00000000" w:rsidR="00000000" w:rsidRPr="00000000">
        <w:rPr>
          <w:rtl w:val="0"/>
        </w:rPr>
      </w:r>
    </w:p>
    <w:p w:rsidR="00000000" w:rsidDel="00000000" w:rsidP="00000000" w:rsidRDefault="00000000" w:rsidRPr="00000000" w14:paraId="0000010C">
      <w:pPr>
        <w:spacing w:after="160" w:lineRule="auto"/>
        <w:rPr/>
      </w:pPr>
      <w:r w:rsidDel="00000000" w:rsidR="00000000" w:rsidRPr="00000000">
        <w:rPr>
          <w:rFonts w:ascii="Arial" w:cs="Arial" w:eastAsia="Arial" w:hAnsi="Arial"/>
          <w:b w:val="1"/>
          <w:bCs w:val="1"/>
          <w:sz w:val="22"/>
          <w:szCs w:val="22"/>
          <w:rtl w:val="0"/>
        </w:rPr>
        <w:t xml:space="preserve">Cancer and regeneration share growth machinery. Termination is the distinction.</w:t>
      </w:r>
      <w:r w:rsidDel="00000000" w:rsidR="00000000" w:rsidRPr="00000000">
        <w:rPr>
          <w:rtl w:val="0"/>
        </w:rPr>
      </w:r>
    </w:p>
    <w:p w:rsidR="00000000" w:rsidDel="00000000" w:rsidP="00000000" w:rsidRDefault="00000000" w:rsidRPr="00000000" w14:paraId="0000010D">
      <w:pPr>
        <w:spacing w:after="160" w:lineRule="auto"/>
        <w:rPr/>
      </w:pPr>
      <w:r w:rsidDel="00000000" w:rsidR="00000000" w:rsidRPr="00000000">
        <w:rPr>
          <w:rFonts w:ascii="Arial" w:cs="Arial" w:eastAsia="Arial" w:hAnsi="Arial"/>
          <w:sz w:val="22"/>
          <w:szCs w:val="22"/>
          <w:rtl w:val="0"/>
        </w:rPr>
        <w:t xml:space="preserve">The most counterintuitive implication of CMR is that oncogenic risk during the regenerative runtime is managed not by suppressing growth mechanisms but by deploying immune surveillance that operates faster than clonal expansion. This reframes the standard oncological concern from avoidance to choreography.</w:t>
      </w:r>
      <w:r w:rsidDel="00000000" w:rsidR="00000000" w:rsidRPr="00000000">
        <w:rPr>
          <w:rtl w:val="0"/>
        </w:rPr>
      </w:r>
    </w:p>
    <w:p w:rsidR="00000000" w:rsidDel="00000000" w:rsidP="00000000" w:rsidRDefault="00000000" w:rsidRPr="00000000" w14:paraId="0000010E">
      <w:pPr>
        <w:spacing w:after="160" w:lineRule="auto"/>
        <w:rPr/>
      </w:pPr>
      <w:r w:rsidDel="00000000" w:rsidR="00000000" w:rsidRPr="00000000">
        <w:rPr>
          <w:rFonts w:ascii="Arial" w:cs="Arial" w:eastAsia="Arial" w:hAnsi="Arial"/>
          <w:sz w:val="22"/>
          <w:szCs w:val="22"/>
          <w:rtl w:val="0"/>
        </w:rPr>
        <w:t xml:space="preserve">The observation that cancer represents a regenerative runtime without termination (unaddressed, unsynchronized, and non-terminating growth) is not novel in concept but has not previously been formalized as a design principle for regenerative intervention. CMR makes this duality explicit: the same mechanisms that build tissue are the mechanisms that build tumors. The engineering challenge is not to choose one or the other but to implement the complete runtime with all five laws simultaneously active.</w:t>
      </w:r>
      <w:r w:rsidDel="00000000" w:rsidR="00000000" w:rsidRPr="00000000">
        <w:rPr>
          <w:rtl w:val="0"/>
        </w:rPr>
      </w:r>
    </w:p>
    <w:p w:rsidR="00000000" w:rsidDel="00000000" w:rsidP="00000000" w:rsidRDefault="00000000" w:rsidRPr="00000000" w14:paraId="0000010F">
      <w:pPr>
        <w:spacing w:after="160" w:lineRule="auto"/>
        <w:rPr/>
      </w:pPr>
      <w:r w:rsidDel="00000000" w:rsidR="00000000" w:rsidRPr="00000000">
        <w:rPr>
          <w:rFonts w:ascii="Arial" w:cs="Arial" w:eastAsia="Arial" w:hAnsi="Arial"/>
          <w:sz w:val="22"/>
          <w:szCs w:val="22"/>
          <w:rtl w:val="0"/>
        </w:rPr>
        <w:t xml:space="preserve">The neural synchronization finding deserves particular attention. The literature consistently shows that denervation does not merely slow regeneration but qualitatively alters its pattern fidelity, suggesting that the peripheral nervous system contributes timing information, not merely trophic signals. This positions neural reinnervation as a prerequisite rather than a beneficial cofactor, with significant implications for clinical protocols in patients with peripheral neuropathy.</w:t>
      </w:r>
      <w:r w:rsidDel="00000000" w:rsidR="00000000" w:rsidRPr="00000000">
        <w:rPr>
          <w:rtl w:val="0"/>
        </w:rPr>
      </w:r>
    </w:p>
    <w:p w:rsidR="00000000" w:rsidDel="00000000" w:rsidP="00000000" w:rsidRDefault="00000000" w:rsidRPr="00000000" w14:paraId="00000110">
      <w:pPr>
        <w:spacing w:after="160" w:lineRule="auto"/>
        <w:rPr/>
      </w:pPr>
      <w:r w:rsidDel="00000000" w:rsidR="00000000" w:rsidRPr="00000000">
        <w:rPr>
          <w:rFonts w:ascii="Arial" w:cs="Arial" w:eastAsia="Arial" w:hAnsi="Arial"/>
          <w:b w:val="1"/>
          <w:bCs w:val="1"/>
          <w:sz w:val="22"/>
          <w:szCs w:val="22"/>
          <w:rtl w:val="0"/>
        </w:rPr>
        <w:t xml:space="preserve">Why this architecture has not been previously assembled:</w:t>
      </w:r>
      <w:r w:rsidDel="00000000" w:rsidR="00000000" w:rsidRPr="00000000">
        <w:rPr>
          <w:rtl w:val="0"/>
        </w:rPr>
      </w:r>
    </w:p>
    <w:p w:rsidR="00000000" w:rsidDel="00000000" w:rsidP="00000000" w:rsidRDefault="00000000" w:rsidRPr="00000000" w14:paraId="00000111">
      <w:pPr>
        <w:spacing w:after="160" w:lineRule="auto"/>
        <w:rPr/>
      </w:pPr>
      <w:r w:rsidDel="00000000" w:rsidR="00000000" w:rsidRPr="00000000">
        <w:rPr>
          <w:rFonts w:ascii="Arial" w:cs="Arial" w:eastAsia="Arial" w:hAnsi="Arial"/>
          <w:sz w:val="22"/>
          <w:szCs w:val="22"/>
          <w:rtl w:val="0"/>
        </w:rPr>
        <w:t xml:space="preserve">Each component of CMR has been studied in isolation by distinct research communities: bioelectric patterning (Levin lab), epigenetic reprogramming (Sinclair lab), ECM orchestration (Badylak lab), positional memory (Rinn lab), neural dependency (multiple urodele labs). The absence of an integrative framework reflects disciplinary boundaries rather than data gaps. CMR provides the conceptual architecture to connect these literatures into a testable unified protocol.</w:t>
      </w:r>
      <w:r w:rsidDel="00000000" w:rsidR="00000000" w:rsidRPr="00000000">
        <w:rPr>
          <w:rtl w:val="0"/>
        </w:rPr>
      </w:r>
    </w:p>
    <w:p w:rsidR="00000000" w:rsidDel="00000000" w:rsidP="00000000" w:rsidRDefault="00000000" w:rsidRPr="00000000" w14:paraId="00000112">
      <w:pPr>
        <w:spacing w:after="200" w:lineRule="auto"/>
        <w:rPr/>
      </w:pPr>
      <w:r w:rsidDel="00000000" w:rsidR="00000000" w:rsidRPr="00000000">
        <w:rPr>
          <w:rtl w:val="0"/>
        </w:rPr>
      </w:r>
    </w:p>
    <w:p w:rsidR="00000000" w:rsidDel="00000000" w:rsidP="00000000" w:rsidRDefault="00000000" w:rsidRPr="00000000" w14:paraId="00000113">
      <w:pPr>
        <w:pStyle w:val="Heading1"/>
        <w:rPr/>
      </w:pPr>
      <w:r w:rsidDel="00000000" w:rsidR="00000000" w:rsidRPr="00000000">
        <w:rPr>
          <w:rFonts w:ascii="Arial" w:cs="Arial" w:eastAsia="Arial" w:hAnsi="Arial"/>
          <w:b w:val="1"/>
          <w:bCs w:val="1"/>
          <w:sz w:val="28"/>
          <w:szCs w:val="28"/>
          <w:rtl w:val="0"/>
        </w:rPr>
        <w:t xml:space="preserve">9. LIMITATIONS</w:t>
      </w:r>
      <w:r w:rsidDel="00000000" w:rsidR="00000000" w:rsidRPr="00000000">
        <w:rPr>
          <w:rtl w:val="0"/>
        </w:rPr>
      </w:r>
    </w:p>
    <w:p w:rsidR="00000000" w:rsidDel="00000000" w:rsidP="00000000" w:rsidRDefault="00000000" w:rsidRPr="00000000" w14:paraId="00000114">
      <w:pPr>
        <w:spacing w:after="160" w:lineRule="auto"/>
        <w:rPr/>
      </w:pPr>
      <w:r w:rsidDel="00000000" w:rsidR="00000000" w:rsidRPr="00000000">
        <w:rPr>
          <w:rFonts w:ascii="Arial" w:cs="Arial" w:eastAsia="Arial" w:hAnsi="Arial"/>
          <w:sz w:val="22"/>
          <w:szCs w:val="22"/>
          <w:rtl w:val="0"/>
        </w:rPr>
        <w:t xml:space="preserve">CMR is a theoretical integrative framework supported by retrospective component-level evidence. The following limitations are acknowledged explicitly:</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adult mammalian regeneration of complete appendicular structures has been demonstrated using the full CMR protocol. The preclinical protocol described in Section 7 constitutes the required proof-of-concept experiment.</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Quantitative Vmem maps of adult human digit morphogenetic fields are not yet available at therapeutic resolution. Levin lab methodology (voltage-sensitive dyes, optogenetic reporters) provides a path to this data but it does not currently exist for human digits.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Lineage tracing of cells contributing to CMR-induced regeneration has not been performed. This is required to confirm blastema-like de-repression vs. alternative mechanisms.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dose-response relationship for p53 inhibitor duration vs. dysplasia risk in adult mammals has not been characterized at the required spatial resolution. Group 5 in the preclinical protocol is designed to address this.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Neural clock frequency and signal type remain uncharacterized. Whether synchronization is achieved via electrical, chemical, or mechanical nerve-derived signals is an open question with direct implications for clinical implementation.</w:t>
      </w:r>
    </w:p>
    <w:p w:rsidR="00000000" w:rsidDel="00000000" w:rsidP="00000000" w:rsidRDefault="00000000" w:rsidRPr="00000000" w14:paraId="0000011A">
      <w:pPr>
        <w:spacing w:after="200" w:lineRule="auto"/>
        <w:rPr/>
      </w:pPr>
      <w:r w:rsidDel="00000000" w:rsidR="00000000" w:rsidRPr="00000000">
        <w:rPr>
          <w:rtl w:val="0"/>
        </w:rPr>
      </w:r>
    </w:p>
    <w:p w:rsidR="00000000" w:rsidDel="00000000" w:rsidP="00000000" w:rsidRDefault="00000000" w:rsidRPr="00000000" w14:paraId="0000011B">
      <w:pPr>
        <w:pStyle w:val="Heading1"/>
        <w:rPr/>
      </w:pPr>
      <w:r w:rsidDel="00000000" w:rsidR="00000000" w:rsidRPr="00000000">
        <w:rPr>
          <w:rFonts w:ascii="Arial" w:cs="Arial" w:eastAsia="Arial" w:hAnsi="Arial"/>
          <w:b w:val="1"/>
          <w:bCs w:val="1"/>
          <w:sz w:val="28"/>
          <w:szCs w:val="28"/>
          <w:rtl w:val="0"/>
        </w:rPr>
        <w:t xml:space="preserve">10. CONCLUSION</w:t>
      </w:r>
      <w:r w:rsidDel="00000000" w:rsidR="00000000" w:rsidRPr="00000000">
        <w:rPr>
          <w:rtl w:val="0"/>
        </w:rPr>
      </w:r>
    </w:p>
    <w:p w:rsidR="00000000" w:rsidDel="00000000" w:rsidP="00000000" w:rsidRDefault="00000000" w:rsidRPr="00000000" w14:paraId="0000011C">
      <w:pPr>
        <w:spacing w:after="160" w:lineRule="auto"/>
        <w:rPr/>
      </w:pPr>
      <w:r w:rsidDel="00000000" w:rsidR="00000000" w:rsidRPr="00000000">
        <w:rPr>
          <w:rFonts w:ascii="Arial" w:cs="Arial" w:eastAsia="Arial" w:hAnsi="Arial"/>
          <w:sz w:val="22"/>
          <w:szCs w:val="22"/>
          <w:rtl w:val="0"/>
        </w:rPr>
        <w:t xml:space="preserve">Regeneration in adult mammals is not an absent biological property. It is a latent computational state that requires coordinated transient activation of five mechanistic layers: Permission, Coordinates, Synchronization, Sandboxed Growth, and Timed Termination.</w:t>
      </w:r>
      <w:r w:rsidDel="00000000" w:rsidR="00000000" w:rsidRPr="00000000">
        <w:rPr>
          <w:rtl w:val="0"/>
        </w:rPr>
      </w:r>
    </w:p>
    <w:p w:rsidR="00000000" w:rsidDel="00000000" w:rsidP="00000000" w:rsidRDefault="00000000" w:rsidRPr="00000000" w14:paraId="0000011D">
      <w:pPr>
        <w:spacing w:after="160" w:lineRule="auto"/>
        <w:rPr/>
      </w:pPr>
      <w:r w:rsidDel="00000000" w:rsidR="00000000" w:rsidRPr="00000000">
        <w:rPr>
          <w:rFonts w:ascii="Arial" w:cs="Arial" w:eastAsia="Arial" w:hAnsi="Arial"/>
          <w:sz w:val="22"/>
          <w:szCs w:val="22"/>
          <w:rtl w:val="0"/>
        </w:rPr>
        <w:t xml:space="preserve">The CMR framework provides the first systems-level formalization of regeneration as state orchestration rather than signal delivery. It generates falsifiable predictions, a preclinical protocol, and a path to human translation that begins with the adult mouse distal phalanx as a validated model system.</w:t>
      </w:r>
      <w:r w:rsidDel="00000000" w:rsidR="00000000" w:rsidRPr="00000000">
        <w:rPr>
          <w:rtl w:val="0"/>
        </w:rPr>
      </w:r>
    </w:p>
    <w:p w:rsidR="00000000" w:rsidDel="00000000" w:rsidP="00000000" w:rsidRDefault="00000000" w:rsidRPr="00000000" w14:paraId="0000011E">
      <w:pPr>
        <w:spacing w:after="160" w:lineRule="auto"/>
        <w:rPr/>
      </w:pPr>
      <w:r w:rsidDel="00000000" w:rsidR="00000000" w:rsidRPr="00000000">
        <w:rPr>
          <w:rFonts w:ascii="Arial" w:cs="Arial" w:eastAsia="Arial" w:hAnsi="Arial"/>
          <w:sz w:val="22"/>
          <w:szCs w:val="22"/>
          <w:rtl w:val="0"/>
        </w:rPr>
        <w:t xml:space="preserve">The central insight is architectural: the genome already contains the morphogenetic program. The organism already retains positional memory. The peripheral nervous system already provides synchronization capacity. The immune system already contains the termination machinery. The engineering task is not to build any of these components but to orchestrate their simultaneous, spatially confined, time-limited activation.</w:t>
      </w:r>
      <w:r w:rsidDel="00000000" w:rsidR="00000000" w:rsidRPr="00000000">
        <w:rPr>
          <w:rtl w:val="0"/>
        </w:rPr>
      </w:r>
    </w:p>
    <w:p w:rsidR="00000000" w:rsidDel="00000000" w:rsidP="00000000" w:rsidRDefault="00000000" w:rsidRPr="00000000" w14:paraId="0000011F">
      <w:pPr>
        <w:spacing w:after="160" w:lineRule="auto"/>
        <w:rPr/>
      </w:pPr>
      <w:r w:rsidDel="00000000" w:rsidR="00000000" w:rsidRPr="00000000">
        <w:rPr>
          <w:rFonts w:ascii="Arial" w:cs="Arial" w:eastAsia="Arial" w:hAnsi="Arial"/>
          <w:i w:val="1"/>
          <w:iCs w:val="1"/>
          <w:sz w:val="22"/>
          <w:szCs w:val="22"/>
          <w:rtl w:val="0"/>
        </w:rPr>
        <w:t xml:space="preserve">Regeneration is not growth. It is a managed transition between tissue computational states, with full fidelity to the original program, executed by the organism itself.</w:t>
      </w:r>
      <w:r w:rsidDel="00000000" w:rsidR="00000000" w:rsidRPr="00000000">
        <w:rPr>
          <w:rtl w:val="0"/>
        </w:rPr>
      </w:r>
    </w:p>
    <w:p w:rsidR="00000000" w:rsidDel="00000000" w:rsidP="00000000" w:rsidRDefault="00000000" w:rsidRPr="00000000" w14:paraId="00000120">
      <w:pPr>
        <w:spacing w:after="200" w:lineRule="auto"/>
        <w:rPr/>
      </w:pPr>
      <w:r w:rsidDel="00000000" w:rsidR="00000000" w:rsidRPr="00000000">
        <w:rPr>
          <w:rtl w:val="0"/>
        </w:rPr>
      </w:r>
    </w:p>
    <w:p w:rsidR="00000000" w:rsidDel="00000000" w:rsidP="00000000" w:rsidRDefault="00000000" w:rsidRPr="00000000" w14:paraId="00000121">
      <w:pPr>
        <w:pStyle w:val="Heading1"/>
        <w:rPr/>
      </w:pPr>
      <w:r w:rsidDel="00000000" w:rsidR="00000000" w:rsidRPr="00000000">
        <w:rPr>
          <w:rFonts w:ascii="Arial" w:cs="Arial" w:eastAsia="Arial" w:hAnsi="Arial"/>
          <w:b w:val="1"/>
          <w:bCs w:val="1"/>
          <w:sz w:val="28"/>
          <w:szCs w:val="28"/>
          <w:rtl w:val="0"/>
        </w:rPr>
        <w:t xml:space="preserve">REFERENCES</w:t>
      </w:r>
      <w:r w:rsidDel="00000000" w:rsidR="00000000" w:rsidRPr="00000000">
        <w:rPr>
          <w:rtl w:val="0"/>
        </w:rPr>
      </w:r>
    </w:p>
    <w:p w:rsidR="00000000" w:rsidDel="00000000" w:rsidP="00000000" w:rsidRDefault="00000000" w:rsidRPr="00000000" w14:paraId="00000122">
      <w:pPr>
        <w:spacing w:after="160" w:lineRule="auto"/>
        <w:rPr/>
      </w:pPr>
      <w:r w:rsidDel="00000000" w:rsidR="00000000" w:rsidRPr="00000000">
        <w:rPr>
          <w:rFonts w:ascii="Arial" w:cs="Arial" w:eastAsia="Arial" w:hAnsi="Arial"/>
          <w:sz w:val="22"/>
          <w:szCs w:val="22"/>
          <w:rtl w:val="0"/>
        </w:rPr>
        <w:t xml:space="preserve">Badylak, S.F. et al. (2005-2022). Extracellular matrix as a biological scaffold for tissue engineering. Multiple publications, University of Pittsburgh.</w:t>
      </w:r>
      <w:r w:rsidDel="00000000" w:rsidR="00000000" w:rsidRPr="00000000">
        <w:rPr>
          <w:rtl w:val="0"/>
        </w:rPr>
      </w:r>
    </w:p>
    <w:p w:rsidR="00000000" w:rsidDel="00000000" w:rsidP="00000000" w:rsidRDefault="00000000" w:rsidRPr="00000000" w14:paraId="00000123">
      <w:pPr>
        <w:spacing w:after="160" w:lineRule="auto"/>
        <w:rPr/>
      </w:pPr>
      <w:r w:rsidDel="00000000" w:rsidR="00000000" w:rsidRPr="00000000">
        <w:rPr>
          <w:rFonts w:ascii="Arial" w:cs="Arial" w:eastAsia="Arial" w:hAnsi="Arial"/>
          <w:sz w:val="22"/>
          <w:szCs w:val="22"/>
          <w:rtl w:val="0"/>
        </w:rPr>
        <w:t xml:space="preserve">BioNTech/Moderna (2024). Personalized mRNA cancer vaccines. Phase III clinical trials, multiple indications.</w:t>
      </w:r>
      <w:r w:rsidDel="00000000" w:rsidR="00000000" w:rsidRPr="00000000">
        <w:rPr>
          <w:rtl w:val="0"/>
        </w:rPr>
      </w:r>
    </w:p>
    <w:p w:rsidR="00000000" w:rsidDel="00000000" w:rsidP="00000000" w:rsidRDefault="00000000" w:rsidRPr="00000000" w14:paraId="00000124">
      <w:pPr>
        <w:spacing w:after="160" w:lineRule="auto"/>
        <w:rPr/>
      </w:pPr>
      <w:r w:rsidDel="00000000" w:rsidR="00000000" w:rsidRPr="00000000">
        <w:rPr>
          <w:rFonts w:ascii="Arial" w:cs="Arial" w:eastAsia="Arial" w:hAnsi="Arial"/>
          <w:sz w:val="22"/>
          <w:szCs w:val="22"/>
          <w:rtl w:val="0"/>
        </w:rPr>
        <w:t xml:space="preserve">Cipriano, A., Moqri, M., Maybury-Lewis, S.Y., Sinclair, D.A., Sebastiano, V. et al. (2023). Mechanisms, pathways and strategies for rejuvenation through epigenetic reprogramming. Nature Aging, 4(1):14-26.</w:t>
      </w:r>
      <w:r w:rsidDel="00000000" w:rsidR="00000000" w:rsidRPr="00000000">
        <w:rPr>
          <w:rtl w:val="0"/>
        </w:rPr>
      </w:r>
    </w:p>
    <w:p w:rsidR="00000000" w:rsidDel="00000000" w:rsidP="00000000" w:rsidRDefault="00000000" w:rsidRPr="00000000" w14:paraId="00000125">
      <w:pPr>
        <w:spacing w:after="160" w:lineRule="auto"/>
        <w:rPr/>
      </w:pPr>
      <w:r w:rsidDel="00000000" w:rsidR="00000000" w:rsidRPr="00000000">
        <w:rPr>
          <w:rFonts w:ascii="Arial" w:cs="Arial" w:eastAsia="Arial" w:hAnsi="Arial"/>
          <w:sz w:val="22"/>
          <w:szCs w:val="22"/>
          <w:rtl w:val="0"/>
        </w:rPr>
        <w:t xml:space="preserve">Kumar, A. et al. (2000). Nerve-dependent and -independent events during blastema formation during urodele amphibian limb regeneration. Journal of Experimental Zoology.</w:t>
      </w:r>
      <w:r w:rsidDel="00000000" w:rsidR="00000000" w:rsidRPr="00000000">
        <w:rPr>
          <w:rtl w:val="0"/>
        </w:rPr>
      </w:r>
    </w:p>
    <w:p w:rsidR="00000000" w:rsidDel="00000000" w:rsidP="00000000" w:rsidRDefault="00000000" w:rsidRPr="00000000" w14:paraId="00000126">
      <w:pPr>
        <w:spacing w:after="160" w:lineRule="auto"/>
        <w:rPr/>
      </w:pPr>
      <w:r w:rsidDel="00000000" w:rsidR="00000000" w:rsidRPr="00000000">
        <w:rPr>
          <w:rFonts w:ascii="Arial" w:cs="Arial" w:eastAsia="Arial" w:hAnsi="Arial"/>
          <w:sz w:val="22"/>
          <w:szCs w:val="22"/>
          <w:rtl w:val="0"/>
        </w:rPr>
        <w:t xml:space="preserve">Levin, M. (2009). Bioelectric mechanisms in regeneration: Unique aspects and future perspectives. Seminars in Cell and Developmental Biology, 20(5):543-556.</w:t>
      </w:r>
      <w:r w:rsidDel="00000000" w:rsidR="00000000" w:rsidRPr="00000000">
        <w:rPr>
          <w:rtl w:val="0"/>
        </w:rPr>
      </w:r>
    </w:p>
    <w:p w:rsidR="00000000" w:rsidDel="00000000" w:rsidP="00000000" w:rsidRDefault="00000000" w:rsidRPr="00000000" w14:paraId="00000127">
      <w:pPr>
        <w:spacing w:after="160" w:lineRule="auto"/>
        <w:rPr/>
      </w:pPr>
      <w:r w:rsidDel="00000000" w:rsidR="00000000" w:rsidRPr="00000000">
        <w:rPr>
          <w:rFonts w:ascii="Arial" w:cs="Arial" w:eastAsia="Arial" w:hAnsi="Arial"/>
          <w:sz w:val="22"/>
          <w:szCs w:val="22"/>
          <w:rtl w:val="0"/>
        </w:rPr>
        <w:t xml:space="preserve">Levin, M. et al. (2021). Bioelectric signaling: Reprogrammable circuits underlying embryogenesis, regeneration, and cancer. Cell, 184(8):1971-1989.</w:t>
      </w:r>
      <w:r w:rsidDel="00000000" w:rsidR="00000000" w:rsidRPr="00000000">
        <w:rPr>
          <w:rtl w:val="0"/>
        </w:rPr>
      </w:r>
    </w:p>
    <w:p w:rsidR="00000000" w:rsidDel="00000000" w:rsidP="00000000" w:rsidRDefault="00000000" w:rsidRPr="00000000" w14:paraId="00000128">
      <w:pPr>
        <w:spacing w:after="160" w:lineRule="auto"/>
        <w:rPr/>
      </w:pPr>
      <w:r w:rsidDel="00000000" w:rsidR="00000000" w:rsidRPr="00000000">
        <w:rPr>
          <w:rFonts w:ascii="Arial" w:cs="Arial" w:eastAsia="Arial" w:hAnsi="Arial"/>
          <w:sz w:val="22"/>
          <w:szCs w:val="22"/>
          <w:rtl w:val="0"/>
        </w:rPr>
        <w:t xml:space="preserve">Lu, Y., Brommer, B., Tian, X., Sinclair, D.A. et al. (2020). Reprogramming to recover youthful epigenetic information and restore vision. Nature, 588:124-129.</w:t>
      </w:r>
      <w:r w:rsidDel="00000000" w:rsidR="00000000" w:rsidRPr="00000000">
        <w:rPr>
          <w:rtl w:val="0"/>
        </w:rPr>
      </w:r>
    </w:p>
    <w:p w:rsidR="00000000" w:rsidDel="00000000" w:rsidP="00000000" w:rsidRDefault="00000000" w:rsidRPr="00000000" w14:paraId="00000129">
      <w:pPr>
        <w:spacing w:after="160" w:lineRule="auto"/>
        <w:rPr/>
      </w:pPr>
      <w:r w:rsidDel="00000000" w:rsidR="00000000" w:rsidRPr="00000000">
        <w:rPr>
          <w:rFonts w:ascii="Arial" w:cs="Arial" w:eastAsia="Arial" w:hAnsi="Arial"/>
          <w:sz w:val="22"/>
          <w:szCs w:val="22"/>
          <w:rtl w:val="0"/>
        </w:rPr>
        <w:t xml:space="preserve">Manicka, S., Pai, V.P., Levin, M. (2023). Information integration during bioelectric regulation of morphogenesis of the embryonic frog brain. iScience, 26(12):108398.</w:t>
      </w:r>
      <w:r w:rsidDel="00000000" w:rsidR="00000000" w:rsidRPr="00000000">
        <w:rPr>
          <w:rtl w:val="0"/>
        </w:rPr>
      </w:r>
    </w:p>
    <w:p w:rsidR="00000000" w:rsidDel="00000000" w:rsidP="00000000" w:rsidRDefault="00000000" w:rsidRPr="00000000" w14:paraId="0000012A">
      <w:pPr>
        <w:spacing w:after="160" w:lineRule="auto"/>
        <w:rPr/>
      </w:pPr>
      <w:r w:rsidDel="00000000" w:rsidR="00000000" w:rsidRPr="00000000">
        <w:rPr>
          <w:rFonts w:ascii="Arial" w:cs="Arial" w:eastAsia="Arial" w:hAnsi="Arial"/>
          <w:sz w:val="22"/>
          <w:szCs w:val="22"/>
          <w:rtl w:val="0"/>
        </w:rPr>
        <w:t xml:space="preserve">Murugan, N.J., Vigran, H.J., Miller, K., Levin, M. et al. (2022). Acute multidrug delivery via a wearable bioreactor facilitates long-term limb regeneration and functional recovery in adult Xenopus laevis. Science Advances, 8(4):abj2164.</w:t>
      </w:r>
      <w:r w:rsidDel="00000000" w:rsidR="00000000" w:rsidRPr="00000000">
        <w:rPr>
          <w:rtl w:val="0"/>
        </w:rPr>
      </w:r>
    </w:p>
    <w:p w:rsidR="00000000" w:rsidDel="00000000" w:rsidP="00000000" w:rsidRDefault="00000000" w:rsidRPr="00000000" w14:paraId="0000012B">
      <w:pPr>
        <w:spacing w:after="160" w:lineRule="auto"/>
        <w:rPr/>
      </w:pPr>
      <w:r w:rsidDel="00000000" w:rsidR="00000000" w:rsidRPr="00000000">
        <w:rPr>
          <w:rFonts w:ascii="Arial" w:cs="Arial" w:eastAsia="Arial" w:hAnsi="Arial"/>
          <w:sz w:val="22"/>
          <w:szCs w:val="22"/>
          <w:rtl w:val="0"/>
        </w:rPr>
        <w:t xml:space="preserve">Rinn, J.L. et al. (2008). A dermal HOX transcriptional program regulates site-specific epidermal fate. Genes &amp; Development, 22(3):303-307.</w:t>
      </w:r>
      <w:r w:rsidDel="00000000" w:rsidR="00000000" w:rsidRPr="00000000">
        <w:rPr>
          <w:rtl w:val="0"/>
        </w:rPr>
      </w:r>
    </w:p>
    <w:p w:rsidR="00000000" w:rsidDel="00000000" w:rsidP="00000000" w:rsidRDefault="00000000" w:rsidRPr="00000000" w14:paraId="0000012C">
      <w:pPr>
        <w:spacing w:after="160" w:lineRule="auto"/>
        <w:rPr/>
      </w:pPr>
      <w:r w:rsidDel="00000000" w:rsidR="00000000" w:rsidRPr="00000000">
        <w:rPr>
          <w:rFonts w:ascii="Arial" w:cs="Arial" w:eastAsia="Arial" w:hAnsi="Arial"/>
          <w:sz w:val="22"/>
          <w:szCs w:val="22"/>
          <w:rtl w:val="0"/>
        </w:rPr>
        <w:t xml:space="preserve">Yang, J.H., Sinclair, D.A. et al. (2023). Loss of epigenetic information as a cause of mammalian aging. Cell, 186(2):305-326.</w:t>
      </w:r>
      <w:r w:rsidDel="00000000" w:rsidR="00000000" w:rsidRPr="00000000">
        <w:rPr>
          <w:rtl w:val="0"/>
        </w:rPr>
      </w:r>
    </w:p>
    <w:p w:rsidR="00000000" w:rsidDel="00000000" w:rsidP="00000000" w:rsidRDefault="00000000" w:rsidRPr="00000000" w14:paraId="0000012D">
      <w:pPr>
        <w:spacing w:after="160" w:lineRule="auto"/>
        <w:rPr/>
      </w:pPr>
      <w:r w:rsidDel="00000000" w:rsidR="00000000" w:rsidRPr="00000000">
        <w:rPr>
          <w:rFonts w:ascii="Arial" w:cs="Arial" w:eastAsia="Arial" w:hAnsi="Arial"/>
          <w:sz w:val="22"/>
          <w:szCs w:val="22"/>
          <w:rtl w:val="0"/>
        </w:rPr>
        <w:t xml:space="preserve">Xu, Z. et al. (2026). Mapping somatosensory afferent circuitry to bone identifies neurotrophic signals required for fracture healing. Science, 391(6781):eadr9608. DOI: 10.1126/science.adr9608</w:t>
      </w:r>
      <w:r w:rsidDel="00000000" w:rsidR="00000000" w:rsidRPr="00000000">
        <w:rPr>
          <w:rtl w:val="0"/>
        </w:rPr>
      </w:r>
    </w:p>
    <w:p w:rsidR="00000000" w:rsidDel="00000000" w:rsidP="00000000" w:rsidRDefault="00000000" w:rsidRPr="00000000" w14:paraId="0000012E">
      <w:pPr>
        <w:spacing w:after="200" w:lineRule="auto"/>
        <w:rPr/>
      </w:pPr>
      <w:r w:rsidDel="00000000" w:rsidR="00000000" w:rsidRPr="00000000">
        <w:rPr>
          <w:rtl w:val="0"/>
        </w:rPr>
      </w:r>
    </w:p>
    <w:p w:rsidR="00000000" w:rsidDel="00000000" w:rsidP="00000000" w:rsidRDefault="00000000" w:rsidRPr="00000000" w14:paraId="0000012F">
      <w:pPr>
        <w:pBdr>
          <w:top w:color="1f4e79" w:space="0" w:sz="6" w:val="single"/>
          <w:bottom w:color="1f4e79" w:space="0" w:sz="6" w:val="single"/>
          <w:right w:color="1f4e79" w:space="0" w:sz="6" w:val="single"/>
        </w:pBdr>
        <w:spacing w:after="200" w:before="400" w:lineRule="auto"/>
        <w:rPr/>
      </w:pPr>
      <w:r w:rsidDel="00000000" w:rsidR="00000000" w:rsidRPr="00000000">
        <w:rPr>
          <w:rFonts w:ascii="Arial" w:cs="Arial" w:eastAsia="Arial" w:hAnsi="Arial"/>
          <w:b w:val="1"/>
          <w:bCs w:val="1"/>
          <w:color w:val="1f4e79"/>
          <w:sz w:val="26"/>
          <w:szCs w:val="26"/>
          <w:rtl w:val="0"/>
        </w:rPr>
        <w:t xml:space="preserve">CMR: The Five Laws — Summary</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 Permission: Regeneration requires transient de-repression of epigenetic stability-lock.</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 Coordinates: Morphogenesis requires Vmem-based and positional addressing of the regenerative domain.</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 Synchronization: The peripheral nervous system functions as phase-locking synchronization bus; it is a prerequisite, not a cofactor.</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 Sandboxed Growth: Regeneration is only achievable within a spatially constrained, physically bounded transient niche.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 Timed Termination: Every regenerative runtime must terminate autonomously via overlapping redundant shutdown mechanisms. Termination failure is cancer.</w:t>
      </w:r>
    </w:p>
    <w:p w:rsidR="00000000" w:rsidDel="00000000" w:rsidP="00000000" w:rsidRDefault="00000000" w:rsidRPr="00000000" w14:paraId="00000135">
      <w:pPr>
        <w:spacing w:after="200" w:lineRule="auto"/>
        <w:rPr/>
      </w:pPr>
      <w:r w:rsidDel="00000000" w:rsidR="00000000" w:rsidRPr="00000000">
        <w:rPr>
          <w:rtl w:val="0"/>
        </w:rPr>
      </w:r>
    </w:p>
    <w:p w:rsidR="00000000" w:rsidDel="00000000" w:rsidP="00000000" w:rsidRDefault="00000000" w:rsidRPr="00000000" w14:paraId="00000136">
      <w:pPr>
        <w:spacing w:after="160" w:lineRule="auto"/>
        <w:rPr/>
      </w:pPr>
      <w:r w:rsidDel="00000000" w:rsidR="00000000" w:rsidRPr="00000000">
        <w:rPr>
          <w:rFonts w:ascii="Arial" w:cs="Arial" w:eastAsia="Arial" w:hAnsi="Arial"/>
          <w:i w:val="1"/>
          <w:iCs w:val="1"/>
          <w:sz w:val="22"/>
          <w:szCs w:val="22"/>
          <w:rtl w:val="0"/>
        </w:rPr>
        <w:t xml:space="preserve">CMR is open for review, falsification, and preclinical replication. All data and protocol specifications available at github.com/Jenja-N/R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