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11617">
      <w:pPr>
        <w:pStyle w:val="3"/>
      </w:pPr>
      <w:r>
        <w:t>企业会计准则第31号——现金流量表（2006）</w:t>
      </w:r>
    </w:p>
    <w:p w14:paraId="6E1E56ED">
      <w:pPr>
        <w:keepNext w:val="0"/>
        <w:keepLines w:val="0"/>
        <w:widowControl/>
        <w:suppressLineNumbers w:val="0"/>
        <w:shd w:val="clear" w:fill="FFFFFF"/>
        <w:spacing w:line="225" w:lineRule="atLeast"/>
        <w:ind w:left="0" w:firstLine="0"/>
        <w:jc w:val="center"/>
        <w:rPr>
          <w:rFonts w:ascii="微软雅黑" w:hAnsi="微软雅黑" w:eastAsia="微软雅黑" w:cs="微软雅黑"/>
          <w:i w:val="0"/>
          <w:iCs w:val="0"/>
          <w:caps w:val="0"/>
          <w:color w:val="999999"/>
          <w:spacing w:val="0"/>
          <w:sz w:val="9"/>
          <w:szCs w:val="9"/>
        </w:rPr>
      </w:pPr>
      <w:r>
        <w:t></w:t>
      </w:r>
      <w:r>
        <w:br w:type="textWrapping"/>
      </w:r>
      <w:r>
        <w:rPr>
          <w:rFonts w:hint="eastAsia" w:ascii="微软雅黑" w:hAnsi="微软雅黑" w:eastAsia="微软雅黑" w:cs="微软雅黑"/>
          <w:i w:val="0"/>
          <w:iCs w:val="0"/>
          <w:caps w:val="0"/>
          <w:color w:val="999999"/>
          <w:spacing w:val="0"/>
          <w:kern w:val="0"/>
          <w:sz w:val="9"/>
          <w:szCs w:val="9"/>
          <w:shd w:val="clear" w:fill="FFFFFF"/>
          <w:lang w:val="en-US" w:eastAsia="zh-CN" w:bidi="ar"/>
        </w:rPr>
        <w:t>2018-08-14来源: 会计司</w:t>
      </w:r>
    </w:p>
    <w:p w14:paraId="401A1E6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bookmarkStart w:id="0" w:name="_GoBack"/>
      <w:bookmarkEnd w:id="0"/>
    </w:p>
    <w:p w14:paraId="608477A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134"/>
          <w:rFonts w:hint="eastAsia" w:ascii="微软雅黑" w:hAnsi="微软雅黑" w:eastAsia="微软雅黑" w:cs="微软雅黑"/>
          <w:b/>
          <w:bCs/>
          <w:i w:val="0"/>
          <w:iCs w:val="0"/>
          <w:caps w:val="0"/>
          <w:color w:val="666666"/>
          <w:spacing w:val="0"/>
          <w:sz w:val="10"/>
          <w:szCs w:val="10"/>
          <w:bdr w:val="none" w:color="auto" w:sz="0" w:space="0"/>
          <w:shd w:val="clear" w:fill="FFFFFF"/>
        </w:rPr>
        <w:t>财会[2006]3号</w:t>
      </w:r>
    </w:p>
    <w:p w14:paraId="6734198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第一章　总则</w:t>
      </w:r>
    </w:p>
    <w:p w14:paraId="1F6F95C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第一条　为了规范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 \o "会计百科:现金流量"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表的编制和列报，根据《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"http://baike.esnai.com/view.aspx?w=%c6%f3%d2%b5%bb%e1%bc%c6" \o "会计百科:企业会计"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企业会计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准则——基本准则》，制定本准则。</w:t>
      </w:r>
    </w:p>
    <w:p w14:paraId="6500FA3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第二条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 \o "会计百科:现金流"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量表，是指反映企业在一定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"http://baike.esnai.com/view.aspx?w=%bb%e1%bc%c6%c6%da%bc%e4" \o "会计百科:会计期间"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会计期间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 \o "会计百科:现金"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现金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和现金等价物流入和流出的报表。</w:t>
      </w:r>
    </w:p>
    <w:p w14:paraId="0BE2330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现金，是指企业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"http://baike.esnai.com/view.aspx?w=%bf%e2%b4%e6%cf%d6%bd%f0" \o "会计百科:库存现金"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库存现金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以及可以随时用于支付的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"http://baike.esnai.com/view.aspx?w=%b4%e6%bf%ee" \o "会计百科:存款"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存款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5C85D15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现金等价物，是指企业持有的期限短、流动性强、易于转换为已知金额现金、价值变动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"http://baike.esnai.com/view.aspx?w=%b7%e7%cf%d5" \o "会计百科:风险"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很小的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 \o "会计百科:投资"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1E3434B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本准则提及现金时，除非同时提及现金等价物，均包括现金和现金等价物。</w:t>
      </w:r>
    </w:p>
    <w:p w14:paraId="1A20379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第三条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"http://baike.esnai.com/view.aspx?w=%ba%cf%b2%a2%cf%d6%bd%f0%c1%f7%c1%bf%b1%ed" \o "会计百科:合并现金流量表"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合并现金流量表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的编制和列报，适用《企业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"http://baike.esnai.com/view.aspx?w=%bb%e1%bc%c6%d7%bc%d4%f2" \o "会计百科:会计准则"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会计准则</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第33号——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"http://baike.esnai.com/view.aspx?w=%ba%cf%b2%a2%b2%c6%ce%f1%b1%a8%b1%ed" \o "会计百科:合并财务报表"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合并财务报表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32A58A1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第二章　基本要求</w:t>
      </w:r>
    </w:p>
    <w:p w14:paraId="010CA6E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第四条　现金流量表应当分别</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"http://baike.esnai.com/view.aspx?w=%be%ad%d3%aa%bb%ee%b6%af" \o "会计百科:经营活动"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经营活动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"http://baike.esnai.com/view.aspx?w=%cd%b6%d7%ca%bb%ee%b6%af" \o "会计百科:投资活动"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投资活动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"http://baike.esnai.com/view.aspx?w=%b3%ef%d7%ca%bb%ee%b6%af" \o "会计百科:筹资活动"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筹资活动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列报现金流量。</w:t>
      </w:r>
    </w:p>
    <w:p w14:paraId="61DC1CD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第五条　现金流量应当分别按照现金流入和现金流出总额列报。</w:t>
      </w:r>
    </w:p>
    <w:p w14:paraId="3174A09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但是，　下列各项可以按照净额列报：</w:t>
      </w:r>
    </w:p>
    <w:p w14:paraId="5D12708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代客户收取或支付的现金。</w:t>
      </w:r>
    </w:p>
    <w:p w14:paraId="2B08298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周转快、金额大、期限短</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"http://baike.esnai.com/view.aspx?w=%cf%ee%c4%bf" \o "会计百科:项目"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项目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的现金流入和现金流出。</w:t>
      </w:r>
    </w:p>
    <w:p w14:paraId="0A9EE5D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 \o "会计百科:金融"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金融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企业的有关项目，包括短期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"http://baike.esnai.com/view.aspx?w=%b4%fb%bf%ee" \o "会计百科:贷款"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贷款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发放与收回的贷款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"http://baike.esnai.com/view.aspx?w=%b1%be%bd%f0" \o "会计百科:本金"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本金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、活期存款的吸收与支付、同业存款和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"http://baike.esnai.com/view.aspx?w=%b4%e6%b7%c5%cd%ac%d2%b5" \o "会计百科:存放同业"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存放同业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款项的存取、向其他金融企业拆借资金、以及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"http://baike.esnai.com/view.aspx?w=%d6%a4%c8%af" \o "会计百科:证券"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证券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的买入与卖出等。</w:t>
      </w:r>
    </w:p>
    <w:p w14:paraId="67BC248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第六条　自然灾害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"http://baike.esnai.com/view.aspx?w=%cb%f0%ca%a7" \o "会计百科:损失"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损失</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、保险索赔等特殊项目，应当根据其性质，分别归并到经营活动、投资活动和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"http://baike.esnai.com/view.aspx?w=%b3%ef%d7%ca" \o "会计百科:筹资"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筹资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活动现金流量类别中单独列报。</w:t>
      </w:r>
    </w:p>
    <w:p w14:paraId="1DD68CF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第七条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"http://baike.esnai.com/view.aspx?w=%cd%e2%b1%d2" \o "会计百科:外币"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外币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现金流量以及境外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"http://baike.esnai.com/view.aspx?w=%d7%d3%b9%ab%cb%be" \o "会计百科:子公司"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子公司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的现金流量，应当采用现金流量发生日的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"http://baike.esnai.com/view.aspx?w=%bc%b4%c6%da%bb%e3%c2%ca" \o "会计百科:即期汇率"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即期汇率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或按照系统合理的方法确定的、与现金流量发生日即期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"http://baike.esnai.com/view.aspx?w=%bb%e3%c2%ca" \o "会计百科:汇率"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汇率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近似的汇率折算。汇率变动对现金的影响额应当作为调节项目，在现金流量表中单独列报。</w:t>
      </w:r>
    </w:p>
    <w:p w14:paraId="04D52A4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第三章　经营活动现金流量</w:t>
      </w:r>
    </w:p>
    <w:p w14:paraId="5AD50DD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第八条　企业应当采用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"http://baike.esnai.com/view.aspx?w=%d6%b1%bd%d3%b7%a8" \o "会计百科:直接法"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直接法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列示经营活动产生的现金流量。</w:t>
      </w:r>
    </w:p>
    <w:p w14:paraId="39F621B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经营活动，是指企业投资活动和筹资活动以外的所有交易和事项。</w:t>
      </w:r>
    </w:p>
    <w:p w14:paraId="032E929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直接法，是指通过现金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"http://baike.esnai.com/view.aspx?w=%ca%d5%c8%eb" \o "会计百科:收入"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收入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和现金支出的主要类别列示经营活动的现金流量。</w:t>
      </w:r>
    </w:p>
    <w:p w14:paraId="15545CF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第九条　有关经营活动现金流量的信息，可以通过下列途径之一取得：</w:t>
      </w:r>
    </w:p>
    <w:p w14:paraId="207705F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企业的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 \o "会计百科:会计"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记录。</w:t>
      </w:r>
    </w:p>
    <w:p w14:paraId="2231ACE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根据下列项目对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"http://baike.esnai.com/view.aspx?w=%c0%fb%c8%f3%b1%ed" \o "会计百科:利润表"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利润表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中的营业收入、营业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"http://baike.esnai.com/view.aspx?w=%b3%c9%b1%be" \o "会计百科:成本"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成本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以及其他项目进行调整：</w:t>
      </w:r>
    </w:p>
    <w:p w14:paraId="0807C63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1.当期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"http://baike.esnai.com/view.aspx?w=%b4%e6%bb%f5" \o "会计百科:存货"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存货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及经营性应收和应付项目的变动；</w:t>
      </w:r>
    </w:p>
    <w:p w14:paraId="2D81DC4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2.固定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 \o "会计百科:资产"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折旧、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"http://baike.esnai.com/view.aspx?w=%ce%de%d0%ce%d7%ca%b2%fa" \o "会计百科:无形资产"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无形资产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"http://baike.esnai.com/view.aspx?w=%cc%af%cf%fa" \o "会计百科:摊销"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摊销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、计提</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"http://baike.esnai.com/view.aspx?w=%d7%ca%b2%fa%bc%f5%d6%b5" \o "会计百科:资产减值"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资产减值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准备等其他非现金项目；</w:t>
      </w:r>
    </w:p>
    <w:p w14:paraId="07067C2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3.属于投资活动或筹资活动现金流量的其他非现金项目。</w:t>
      </w:r>
    </w:p>
    <w:p w14:paraId="13D4214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第十条　经营活动产生的现金流量至少应当单独列示反映下列信息的项目：</w:t>
      </w:r>
    </w:p>
    <w:p w14:paraId="49EA48F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销售商品、提供劳务收到的现金；</w:t>
      </w:r>
    </w:p>
    <w:p w14:paraId="3A1A79C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收到的税费返还；</w:t>
      </w:r>
    </w:p>
    <w:p w14:paraId="0A9A7E5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"http://baike.esnai.com/view.aspx?w=%ca%d5%b5%bd%c6%e4%cb%fb%d3%eb%be%ad%d3%aa%bb%ee%b6%af%d3%d0%b9%d8%b5%c4%cf%d6%bd%f0" \o "会计百科:收到其他与经营活动有关的现金"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收到其他与经营活动有关的现金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59E98BF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购买商品、接受劳务支付的现金；</w:t>
      </w:r>
    </w:p>
    <w:p w14:paraId="1E7C064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支付给职工以及为职工支付的现金；</w:t>
      </w:r>
    </w:p>
    <w:p w14:paraId="56B4DCE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支付的各项税费；</w:t>
      </w:r>
    </w:p>
    <w:p w14:paraId="03B7753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（七） 支付其他与经营活动有关的现金。</w:t>
      </w:r>
    </w:p>
    <w:p w14:paraId="6CB4C1B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第十一条　金融企业可以根据行业特点和现金流量实际情况，合理确定经营活动现金流量项目的类别。</w:t>
      </w:r>
    </w:p>
    <w:p w14:paraId="59C87D9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第四章　投资活动现金流量</w:t>
      </w:r>
    </w:p>
    <w:p w14:paraId="51911D8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第十二条　投资活动，是指企业长期资产的购建和不包括在现金等价物范围的投资及其处置活动。</w:t>
      </w:r>
    </w:p>
    <w:p w14:paraId="5D2E877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第十三条　投资活动产生的现金流量至少应当单独列示反映下列信息的项目：</w:t>
      </w:r>
    </w:p>
    <w:p w14:paraId="2A9D604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收回投资收到的现金；</w:t>
      </w:r>
    </w:p>
    <w:p w14:paraId="3A89927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取得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"http://baike.esnai.com/view.aspx?w=%cd%b6%d7%ca%ca%d5%d2%e6" \o "会计百科:投资收益"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投资收益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收到的现金；</w:t>
      </w:r>
    </w:p>
    <w:p w14:paraId="51CB602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处置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"http://baike.esnai.com/view.aspx?w=%b9%cc%b6%a8%d7%ca%b2%fa" \o "会计百科:固定资产"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固定资产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、无形资产和其他长期资产收回的现金净额；</w:t>
      </w:r>
    </w:p>
    <w:p w14:paraId="7787EC0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处置子公司及其他营业单位收到的现金净额；</w:t>
      </w:r>
    </w:p>
    <w:p w14:paraId="34CDF28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收到其他与投资活动有关的现金；</w:t>
      </w:r>
    </w:p>
    <w:p w14:paraId="7F9963B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购建固定资产、无形资产和其他长期资产支付的现金；</w:t>
      </w:r>
    </w:p>
    <w:p w14:paraId="0167807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（七） 投资支付的现金；</w:t>
      </w:r>
    </w:p>
    <w:p w14:paraId="0149752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（八） 取得子公司及其他营业单位支付的现金净额；</w:t>
      </w:r>
    </w:p>
    <w:p w14:paraId="1716090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（九） 支付其他与投资活动有关的现金。</w:t>
      </w:r>
    </w:p>
    <w:p w14:paraId="4696CB5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第五章　筹资活动现金流量</w:t>
      </w:r>
    </w:p>
    <w:p w14:paraId="14A0A38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第十四条　筹资活动，是指导致企业资本及债务规模和构成发生变化的活动。</w:t>
      </w:r>
    </w:p>
    <w:p w14:paraId="31F70A8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第十五条　筹资活动产生的现金流量至少应当单独列示反映下列信息的项目：</w:t>
      </w:r>
    </w:p>
    <w:p w14:paraId="0012099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吸收投资收到的现金；</w:t>
      </w:r>
    </w:p>
    <w:p w14:paraId="63BF4F2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取得借款收到的现金；</w:t>
      </w:r>
    </w:p>
    <w:p w14:paraId="08D371A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收到其他与筹资活动有关的现金；</w:t>
      </w:r>
    </w:p>
    <w:p w14:paraId="592FD7E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偿还债务支付的现金；</w:t>
      </w:r>
    </w:p>
    <w:p w14:paraId="38D769C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"http://baike.esnai.com/view.aspx?w=%c5%e4%b9%c9" \o "会计百科:配股"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配股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 \o "会计百科:利润"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或偿付利息支付的现金；</w:t>
      </w:r>
    </w:p>
    <w:p w14:paraId="1C176DD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支付其他与筹资活动有关的现金。</w:t>
      </w:r>
    </w:p>
    <w:p w14:paraId="543B641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第六章　披露</w:t>
      </w:r>
    </w:p>
    <w:p w14:paraId="6D9FD13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第十六条　企业应当在附注中披露将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"http://baike.esnai.com/view.aspx?w=%be%bb%c0%fb%c8%f3" \o "会计百科:净利润"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净利润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调节为经营活动现金流量的信息。至少应当单独披露对净利润进行调节的下列项目：</w:t>
      </w:r>
    </w:p>
    <w:p w14:paraId="457DC87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资产减值准备；</w:t>
      </w:r>
    </w:p>
    <w:p w14:paraId="3C38FD2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"http://baike.esnai.com/view.aspx?w=%b9%cc%b6%a8%d7%ca%b2%fa%d5%db%be%c9" \o "会计百科:固定资产折旧"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固定资产折旧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15493AF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无形资产摊销；</w:t>
      </w:r>
    </w:p>
    <w:p w14:paraId="404489F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长期待摊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"http://baike.esnai.com/view.aspx?w=%b7%d1%d3%c3" \o "会计百科:费用"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摊销；</w:t>
      </w:r>
    </w:p>
    <w:p w14:paraId="58BF56F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"http://baike.esnai.com/view.aspx?w=%b4%fd%cc%af%b7%d1%d3%c3" \o "会计百科:待摊费用"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待摊费用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420F189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"http://baike.esnai.com/view.aspx?w=%d4%a4%cc%e1%b7%d1%d3%c3" \o "会计百科:预提费用"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预提费用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6514972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（七） 处置固定资产、无形资产和其他长期资产的损益；</w:t>
      </w:r>
    </w:p>
    <w:p w14:paraId="1D45F56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（八） 固定资产报废损失；</w:t>
      </w:r>
    </w:p>
    <w:p w14:paraId="01FF982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（九）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"http://baike.esnai.com/view.aspx?w=%b9%ab%d4%ca%bc%db%d6%b5%b1%e4%b6%af%cb%f0%d2%e6" \o "会计百科:公允价值变动损益"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公允价值变动损益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109D767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（十）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"http://baike.esnai.com/view.aspx?w=%b2%c6%ce%f1%b7%d1%d3%c3" \o "会计百科:财务费用"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财务费用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403F252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（十一） 投资损益；</w:t>
      </w:r>
    </w:p>
    <w:p w14:paraId="20DFBB5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（十二）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"http://baike.esnai.com/view.aspx?w=%b5%dd%d1%d3%cb%f9%b5%c3%cb%b0%d7%ca%b2%fa" \o "会计百科:递延所得税资产"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递延所得税资产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和递延所得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"http://baike.esnai.com/view.aspx?w=%cb%b0%b8%ba" \o "会计百科:税负"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税负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债；</w:t>
      </w:r>
    </w:p>
    <w:p w14:paraId="0139B48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（十三） 存货；</w:t>
      </w:r>
    </w:p>
    <w:p w14:paraId="2DA6AC1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（十四） 经营性应收项目；</w:t>
      </w:r>
    </w:p>
    <w:p w14:paraId="27E8004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（十五） 经营性应付项目。</w:t>
      </w:r>
    </w:p>
    <w:p w14:paraId="7EA29A8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第十七条　企业应当在附注中以总额披露当期取得或处置子公司及其他营业单位的下列信息：</w:t>
      </w:r>
    </w:p>
    <w:p w14:paraId="4563C18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取得或处置价格；</w:t>
      </w:r>
    </w:p>
    <w:p w14:paraId="67EE7FC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取得或处置价格中以现金支付的部分；</w:t>
      </w:r>
    </w:p>
    <w:p w14:paraId="6390E34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取得或处置子公司及其他营业单位收到的现金；</w:t>
      </w:r>
    </w:p>
    <w:p w14:paraId="549AA7E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取得或处置子公司及其他营业单位按照主要类别分类的非现金资产和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"http://baike.esnai.com/view.aspx?w=%b8%ba%d5%ae" \o "会计百科:负债"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4AC53E8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第十八条　企业应当在附注中披露不涉及当期现金收支、但影响企业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"http://baike.esnai.com/view.aspx?w=%b2%c6%ce%f1%d7%b4%bf%f6" \o "会计百科:财务状况"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财务状况</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或在未来可能影响企业现金流量的重大投资和筹资活动。</w:t>
      </w:r>
    </w:p>
    <w:p w14:paraId="7D332B1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第十九条　企业应当在附注中披露与现金和现金等价物有关的下列信息：</w:t>
      </w:r>
    </w:p>
    <w:p w14:paraId="1E38CB0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现金和现金等价物的构成及其在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 \o "会计百科:资产负债表"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中的相应金额。</w:t>
      </w:r>
    </w:p>
    <w:p w14:paraId="6A26A8C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企业持有但不能由母公司或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"http://baike.esnai.com/view.aspx?w=%bc%af%cd%c5" \o "会计百科:集团"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136"/>
          <w:rFonts w:hint="eastAsia" w:ascii="微软雅黑" w:hAnsi="微软雅黑" w:eastAsia="微软雅黑" w:cs="微软雅黑"/>
          <w:i w:val="0"/>
          <w:iCs w:val="0"/>
          <w:caps w:val="0"/>
          <w:color w:val="666666"/>
          <w:spacing w:val="0"/>
          <w:sz w:val="10"/>
          <w:szCs w:val="10"/>
          <w:u w:val="none"/>
          <w:bdr w:val="none" w:color="auto" w:sz="0" w:space="0"/>
          <w:shd w:val="clear" w:fill="FFFFFF"/>
        </w:rPr>
        <w:t>集团</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内其他子公司使用的大额现金和现金等价物金额。</w:t>
      </w:r>
    </w:p>
    <w:p w14:paraId="24FC750D"/>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ED11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7217</Words>
  <Characters>7340</Characters>
  <Lines>0</Lines>
  <Paragraphs>0</Paragraphs>
  <TotalTime>0</TotalTime>
  <ScaleCrop>false</ScaleCrop>
  <LinksUpToDate>false</LinksUpToDate>
  <CharactersWithSpaces>7865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2025-10-29T08:05:59Z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5AA7F5BAA0084068A56C5855263DF2A7_12</vt:lpwstr>
  </property>
</Properties>
</file>