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E5374F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38" w:lineRule="atLeast"/>
        <w:ind w:left="0" w:right="0" w:firstLine="0"/>
        <w:jc w:val="center"/>
        <w:rPr>
          <w:rFonts w:ascii="微软雅黑" w:hAnsi="微软雅黑" w:eastAsia="微软雅黑" w:cs="微软雅黑"/>
          <w:b w:val="0"/>
          <w:bCs w:val="0"/>
          <w:i w:val="0"/>
          <w:iCs w:val="0"/>
          <w:caps w:val="0"/>
          <w:color w:val="1676C0"/>
          <w:spacing w:val="0"/>
          <w:sz w:val="16"/>
          <w:szCs w:val="16"/>
        </w:rPr>
      </w:pPr>
      <w:r>
        <w:rPr>
          <w:rFonts w:hint="eastAsia" w:ascii="微软雅黑" w:hAnsi="微软雅黑" w:eastAsia="微软雅黑" w:cs="微软雅黑"/>
          <w:b w:val="0"/>
          <w:bCs w:val="0"/>
          <w:i w:val="0"/>
          <w:iCs w:val="0"/>
          <w:caps w:val="0"/>
          <w:color w:val="1676C0"/>
          <w:spacing w:val="0"/>
          <w:sz w:val="16"/>
          <w:szCs w:val="16"/>
          <w:bdr w:val="none" w:color="auto" w:sz="0" w:space="0"/>
          <w:shd w:val="clear" w:fill="FFFFFF"/>
        </w:rPr>
        <w:t>企业会计准则第34号——每股收益（2006）</w:t>
      </w:r>
    </w:p>
    <w:p w14:paraId="3A033E93">
      <w:pPr>
        <w:keepNext w:val="0"/>
        <w:keepLines w:val="0"/>
        <w:widowControl/>
        <w:suppressLineNumbers w:val="0"/>
        <w:shd w:val="clear" w:fill="FFFFFF"/>
        <w:spacing w:line="225" w:lineRule="atLeast"/>
        <w:ind w:left="0" w:firstLine="0"/>
        <w:jc w:val="center"/>
        <w:rPr>
          <w:rFonts w:hint="eastAsia" w:ascii="微软雅黑" w:hAnsi="微软雅黑" w:eastAsia="微软雅黑" w:cs="微软雅黑"/>
          <w:i w:val="0"/>
          <w:iCs w:val="0"/>
          <w:caps w:val="0"/>
          <w:color w:val="999999"/>
          <w:spacing w:val="0"/>
          <w:sz w:val="9"/>
          <w:szCs w:val="9"/>
        </w:rPr>
      </w:pPr>
      <w:r>
        <w:rPr>
          <w:rFonts w:hint="eastAsia" w:ascii="微软雅黑" w:hAnsi="微软雅黑" w:eastAsia="微软雅黑" w:cs="微软雅黑"/>
          <w:i w:val="0"/>
          <w:iCs w:val="0"/>
          <w:caps w:val="0"/>
          <w:color w:val="999999"/>
          <w:spacing w:val="0"/>
          <w:kern w:val="0"/>
          <w:sz w:val="9"/>
          <w:szCs w:val="9"/>
          <w:shd w:val="clear" w:fill="FFFFFF"/>
          <w:lang w:val="en-US" w:eastAsia="zh-CN" w:bidi="ar"/>
        </w:rPr>
        <w:t>2018-08-14来源: 会计司</w:t>
      </w:r>
    </w:p>
    <w:p w14:paraId="186CB03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Style w:val="6"/>
          <w:rFonts w:hint="eastAsia" w:ascii="微软雅黑" w:hAnsi="微软雅黑" w:eastAsia="微软雅黑" w:cs="微软雅黑"/>
          <w:b/>
          <w:bCs/>
          <w:i w:val="0"/>
          <w:iCs w:val="0"/>
          <w:caps w:val="0"/>
          <w:color w:val="666666"/>
          <w:spacing w:val="0"/>
          <w:sz w:val="10"/>
          <w:szCs w:val="10"/>
          <w:u w:val="none"/>
          <w:bdr w:val="none" w:color="auto" w:sz="0" w:space="0"/>
          <w:shd w:val="clear" w:fill="FFFFFF"/>
        </w:rPr>
        <w:fldChar w:fldCharType="begin"/>
      </w:r>
      <w:r>
        <w:rPr>
          <w:rStyle w:val="6"/>
          <w:rFonts w:hint="eastAsia" w:ascii="微软雅黑" w:hAnsi="微软雅黑" w:eastAsia="微软雅黑" w:cs="微软雅黑"/>
          <w:b/>
          <w:bCs/>
          <w:i w:val="0"/>
          <w:iCs w:val="0"/>
          <w:caps w:val="0"/>
          <w:color w:val="666666"/>
          <w:spacing w:val="0"/>
          <w:sz w:val="10"/>
          <w:szCs w:val="10"/>
          <w:u w:val="none"/>
          <w:bdr w:val="none" w:color="auto" w:sz="0" w:space="0"/>
          <w:shd w:val="clear" w:fill="FFFFFF"/>
        </w:rPr>
        <w:instrText xml:space="preserve"> HYPERLINK "http://baike.esnai.com/view.aspx?w=%c6%f3%d2%b5%bb%e1%bc%c6%d7%bc%d4%f2" \o "会计百科:企业会计准则" \t "https://www.casc.org.cn/2018/0814/_blank" </w:instrText>
      </w:r>
      <w:r>
        <w:rPr>
          <w:rStyle w:val="6"/>
          <w:rFonts w:hint="eastAsia" w:ascii="微软雅黑" w:hAnsi="微软雅黑" w:eastAsia="微软雅黑" w:cs="微软雅黑"/>
          <w:b/>
          <w:bCs/>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b/>
          <w:bCs/>
          <w:i w:val="0"/>
          <w:iCs w:val="0"/>
          <w:caps w:val="0"/>
          <w:color w:val="666666"/>
          <w:spacing w:val="0"/>
          <w:sz w:val="10"/>
          <w:szCs w:val="10"/>
          <w:u w:val="none"/>
          <w:bdr w:val="none" w:color="auto" w:sz="0" w:space="0"/>
          <w:shd w:val="clear" w:fill="FFFFFF"/>
        </w:rPr>
        <w:t>企业会计准则</w:t>
      </w:r>
      <w:r>
        <w:rPr>
          <w:rStyle w:val="6"/>
          <w:rFonts w:hint="eastAsia" w:ascii="微软雅黑" w:hAnsi="微软雅黑" w:eastAsia="微软雅黑" w:cs="微软雅黑"/>
          <w:b/>
          <w:bCs/>
          <w:i w:val="0"/>
          <w:iCs w:val="0"/>
          <w:caps w:val="0"/>
          <w:color w:val="666666"/>
          <w:spacing w:val="0"/>
          <w:sz w:val="10"/>
          <w:szCs w:val="10"/>
          <w:u w:val="none"/>
          <w:bdr w:val="none" w:color="auto" w:sz="0" w:space="0"/>
          <w:shd w:val="clear" w:fill="FFFFFF"/>
        </w:rPr>
        <w:fldChar w:fldCharType="end"/>
      </w:r>
      <w:r>
        <w:rPr>
          <w:rStyle w:val="6"/>
          <w:rFonts w:hint="eastAsia" w:ascii="微软雅黑" w:hAnsi="微软雅黑" w:eastAsia="微软雅黑" w:cs="微软雅黑"/>
          <w:b/>
          <w:bCs/>
          <w:i w:val="0"/>
          <w:iCs w:val="0"/>
          <w:caps w:val="0"/>
          <w:color w:val="666666"/>
          <w:spacing w:val="0"/>
          <w:sz w:val="10"/>
          <w:szCs w:val="10"/>
          <w:bdr w:val="none" w:color="auto" w:sz="0" w:space="0"/>
          <w:shd w:val="clear" w:fill="FFFFFF"/>
        </w:rPr>
        <w:t>第34号——每股</w:t>
      </w:r>
      <w:r>
        <w:rPr>
          <w:rStyle w:val="6"/>
          <w:rFonts w:hint="eastAsia" w:ascii="微软雅黑" w:hAnsi="微软雅黑" w:eastAsia="微软雅黑" w:cs="微软雅黑"/>
          <w:b/>
          <w:bCs/>
          <w:i w:val="0"/>
          <w:iCs w:val="0"/>
          <w:caps w:val="0"/>
          <w:color w:val="666666"/>
          <w:spacing w:val="0"/>
          <w:sz w:val="10"/>
          <w:szCs w:val="10"/>
          <w:u w:val="none"/>
          <w:bdr w:val="none" w:color="auto" w:sz="0" w:space="0"/>
          <w:shd w:val="clear" w:fill="FFFFFF"/>
        </w:rPr>
        <w:fldChar w:fldCharType="begin"/>
      </w:r>
      <w:r>
        <w:rPr>
          <w:rStyle w:val="6"/>
          <w:rFonts w:hint="eastAsia" w:ascii="微软雅黑" w:hAnsi="微软雅黑" w:eastAsia="微软雅黑" w:cs="微软雅黑"/>
          <w:b/>
          <w:bCs/>
          <w:i w:val="0"/>
          <w:iCs w:val="0"/>
          <w:caps w:val="0"/>
          <w:color w:val="666666"/>
          <w:spacing w:val="0"/>
          <w:sz w:val="10"/>
          <w:szCs w:val="10"/>
          <w:u w:val="none"/>
          <w:bdr w:val="none" w:color="auto" w:sz="0" w:space="0"/>
          <w:shd w:val="clear" w:fill="FFFFFF"/>
        </w:rPr>
        <w:instrText xml:space="preserve"> HYPERLINK "http://baike.esnai.com/view.aspx?w=%ca%d5%d2%e6" \o "会计百科:收益" \t "https://www.casc.org.cn/2018/0814/_blank" </w:instrText>
      </w:r>
      <w:r>
        <w:rPr>
          <w:rStyle w:val="6"/>
          <w:rFonts w:hint="eastAsia" w:ascii="微软雅黑" w:hAnsi="微软雅黑" w:eastAsia="微软雅黑" w:cs="微软雅黑"/>
          <w:b/>
          <w:bCs/>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b/>
          <w:bCs/>
          <w:i w:val="0"/>
          <w:iCs w:val="0"/>
          <w:caps w:val="0"/>
          <w:color w:val="666666"/>
          <w:spacing w:val="0"/>
          <w:sz w:val="10"/>
          <w:szCs w:val="10"/>
          <w:u w:val="none"/>
          <w:bdr w:val="none" w:color="auto" w:sz="0" w:space="0"/>
          <w:shd w:val="clear" w:fill="FFFFFF"/>
        </w:rPr>
        <w:t>收益</w:t>
      </w:r>
      <w:r>
        <w:rPr>
          <w:rStyle w:val="6"/>
          <w:rFonts w:hint="eastAsia" w:ascii="微软雅黑" w:hAnsi="微软雅黑" w:eastAsia="微软雅黑" w:cs="微软雅黑"/>
          <w:b/>
          <w:bCs/>
          <w:i w:val="0"/>
          <w:iCs w:val="0"/>
          <w:caps w:val="0"/>
          <w:color w:val="666666"/>
          <w:spacing w:val="0"/>
          <w:sz w:val="10"/>
          <w:szCs w:val="10"/>
          <w:u w:val="none"/>
          <w:bdr w:val="none" w:color="auto" w:sz="0" w:space="0"/>
          <w:shd w:val="clear" w:fill="FFFFFF"/>
        </w:rPr>
        <w:fldChar w:fldCharType="end"/>
      </w:r>
    </w:p>
    <w:p w14:paraId="78528C3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Style w:val="6"/>
          <w:rFonts w:hint="eastAsia" w:ascii="微软雅黑" w:hAnsi="微软雅黑" w:eastAsia="微软雅黑" w:cs="微软雅黑"/>
          <w:b/>
          <w:bCs/>
          <w:i w:val="0"/>
          <w:iCs w:val="0"/>
          <w:caps w:val="0"/>
          <w:color w:val="666666"/>
          <w:spacing w:val="0"/>
          <w:sz w:val="10"/>
          <w:szCs w:val="10"/>
          <w:bdr w:val="none" w:color="auto" w:sz="0" w:space="0"/>
          <w:shd w:val="clear" w:fill="FFFFFF"/>
        </w:rPr>
        <w:t>财会[2006]3号</w:t>
      </w:r>
    </w:p>
    <w:p w14:paraId="0AC15D4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第一章　总则</w:t>
      </w:r>
    </w:p>
    <w:p w14:paraId="569D366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第一条　为了规范</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"http://baike.esnai.com/view.aspx?w=%c3%bf%b9%c9%ca%d5%d2%e6" \o "会计百科:每股收益"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每股收益</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的计算方法及其列报，根据《</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"http://baike.esnai.com/view.aspx?w=%c6%f3%d2%b5%bb%e1%bc%c6" \o "会计百科:企业会计"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企业会计</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准则——基本准则》，制定本准则。</w:t>
      </w:r>
    </w:p>
    <w:p w14:paraId="5154D41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第二条　本准则适用于</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"http://baike.esnai.com/view.aspx?w=%c6%d5%cd%a8%b9%c9" \o "会计百科:普通股"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普通股</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或</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"http://baike.esnai.com/view.aspx?w=%c7%b1%d4%da%c6%d5%cd%a8%b9%c9" \o "会计百科:潜在普通股"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潜在普通股</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已公开交易的企业，以及正处于公开发行普通股或潜在普通股过程中的企业。</w:t>
      </w:r>
    </w:p>
    <w:p w14:paraId="1CCD679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潜在普通股，是指赋予其持有者在报告期或以后期间享有取得普通股权利的一种</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"http://baike.esnai.com/view.aspx?w=%bd%f0%c8%da%b9%a4%be%df" \o "会计百科:金融工具"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金融工具</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或其他</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"http://baike.esnai.com/view.aspx?w=%ba%cf%cd%ac" \o "会计百科:合同"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合同</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，包括可转换公司</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"http://baike.esnai.com/view.aspx?w=%d5%ae%c8%af" \o "会计百科:债券"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债券</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"http://baike.esnai.com/view.aspx?w=%c8%cf%b9%c9%c8%a8%d6%a4" \o "会计百科:认股权证"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认股权证</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、股份</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"http://baike.esnai.com/view.aspx?w=%c6%da%c8%a8" \o "会计百科:期权"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期权</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等。</w:t>
      </w:r>
    </w:p>
    <w:p w14:paraId="2F01862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第三条　</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"http://baike.esnai.com/view.aspx?w=%ba%cf%b2%a2%b2%c6%ce%f1%b1%a8%b1%ed" \o "会计百科:合并财务报表"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合并财务报表</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中，企业应当以</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"http://baike.esnai.com/view.aspx?w=%ba%cf%b2%a2" \o "会计百科:合并"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合并</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"http://baike.esnai.com/view.aspx?w=%b2%c6%ce%f1%b1%a8%b1%ed" \o "会计百科:财务报表"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财务报表</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为基础计算和列报每股收益。</w:t>
      </w:r>
    </w:p>
    <w:p w14:paraId="7BFA11D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第二章　</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"http://baike.esnai.com/view.aspx?w=%bb%f9%b1%be%c3%bf%b9%c9%ca%d5%d2%e6" \o "会计百科:基本每股收益"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基本每股收益</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p>
    <w:p w14:paraId="59CEC1A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第四条　企业应当按照归属于普通股股东的当期净</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"http://baike.esnai.com/view.aspx?w=%c0%fb%c8%f3" \o "会计百科:利润"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利润</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，除以发行在外普通股的加权平均数计算基本每股收益。</w:t>
      </w:r>
    </w:p>
    <w:p w14:paraId="1319FF1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第五条　发行在外普通股加权平均数按下列公式计算：</w:t>
      </w:r>
    </w:p>
    <w:p w14:paraId="49C279B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发行在外普通股加权平均数＝期初发行在外普通股股数＋当期</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"http://baike.esnai.com/view.aspx?w=%d0%c2%b7%a2" \o "会计百科:新发"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新发</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行普通股股数×已发行时间÷报告期时间－当期</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"http://baike.esnai.com/view.aspx?w=%bb%d8%b9%ba" \o "会计百科:回购"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回购</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普通股股数×已回购时间÷报告期时间</w:t>
      </w:r>
    </w:p>
    <w:p w14:paraId="66F12C5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已发行时间、报告期时间和已回购时间一般按照天数计算；在不影响计算结果合理性的前提下，也可以采用简化的计算方法。</w:t>
      </w:r>
    </w:p>
    <w:p w14:paraId="54C3C28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第六条　新发行普通股股数，应当根据发行合同的具体条款，从应收</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"http://baike.esnai.com/view.aspx?w=%b6%d4%bc%db" \o "会计百科:对价"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对价</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之日（一般为</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"http://baike.esnai.com/view.aspx?w=%b9%c9%c6%b1%b7%a2%d0%d0" \o "会计百科:股票发行"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股票发行</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日）起计算确定。通常包括下列情况：</w:t>
      </w:r>
    </w:p>
    <w:p w14:paraId="47A69BD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（一） 为收取</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"http://baike.esnai.com/view.aspx?w=%cf%d6%bd%f0" \o "会计百科:现金"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现金</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而发行的普通股股数，从应收现金之日起计算。</w:t>
      </w:r>
    </w:p>
    <w:p w14:paraId="241478F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（二） 因债务转资本而发行的普通股股数，从停计债务利息之日或结算日起计算。</w:t>
      </w:r>
    </w:p>
    <w:p w14:paraId="4FF226E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（三） 非</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"http://baike.esnai.com/view.aspx?w=%cd%ac%d2%bb%bf%d8%d6%c6%cf%c2%b5%c4%c6%f3%d2%b5%ba%cf%b2%a2" \o "会计百科:同一控制下的企业合并"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同一控制下的企业合并</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，作为对价发行的普通股股数，从购买日起计算；同一</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"http://baike.esnai.com/view.aspx?w=%bf%d8%d6%c6" \o "会计百科:控制"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控制</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下的</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"http://baike.esnai.com/view.aspx?w=%c6%f3%d2%b5%ba%cf%b2%a2" \o "会计百科:企业合并"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企业合并</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，作为对价发行的普通股股数，应当计入各列报期间普通股的加权平均数。</w:t>
      </w:r>
    </w:p>
    <w:p w14:paraId="52BE96E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（四） 为</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"http://baike.esnai.com/view.aspx?w=%ca%d5%b9%ba" \o "会计百科:收购"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收购</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非现金</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"http://baike.esnai.com/view.aspx?w=%d7%ca%b2%fa" \o "会计百科:资产"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资产</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而发行的普通股股数，从确认收购之日起计算。</w:t>
      </w:r>
    </w:p>
    <w:p w14:paraId="7293717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第三章　</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"http://baike.esnai.com/view.aspx?w=%cf%a1%ca%cd%c3%bf%b9%c9%ca%d5%d2%e6" \o "会计百科:稀释每股收益"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稀释每股收益</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p>
    <w:p w14:paraId="57148FF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第七条　企业存在稀释性潜在普通股的，应当分别调整归属于普通股股东的当期</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"http://baike.esnai.com/view.aspx?w=%be%bb%c0%fb%c8%f3" \o "会计百科:净利润"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净利润</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和发行在外普通股的加权平均数，并据以计算稀释每股收益。</w:t>
      </w:r>
    </w:p>
    <w:p w14:paraId="7C4C39A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稀释性潜在普通股，是指假设当期转换为普通股会减少每股收益的潜在普通股。</w:t>
      </w:r>
    </w:p>
    <w:p w14:paraId="1C993C1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第八条　计算稀释每股收益，应当根据下列事项对归属于普通股股东的当期净利润进行调整：</w:t>
      </w:r>
    </w:p>
    <w:p w14:paraId="71AAB86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（一） 当期已确认为</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"http://baike.esnai.com/view.aspx?w=%b7%d1%d3%c3" \o "会计百科:费用"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费用</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的稀释性潜在普通股的利息；</w:t>
      </w:r>
    </w:p>
    <w:p w14:paraId="567ECF4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（二） 稀释性潜在普通股转换时将产生的收益或费用。</w:t>
      </w:r>
    </w:p>
    <w:p w14:paraId="5AAFEE4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上述调整应当考虑相关的所得税影响。</w:t>
      </w:r>
    </w:p>
    <w:p w14:paraId="471FC32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第九条　计算稀释每股收益时，当期发行在外普通股的加权平均数应当为计算基本每股收益时普通股的加权平均数与假定稀释性潜在普通股转换为已发行普通股而增加的普通股股数的加权平均数之和。</w:t>
      </w:r>
    </w:p>
    <w:p w14:paraId="23B9CE6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计算稀释性潜在普通股转换为已发行普通股而增加的普通股股数的加权平均数时，以前期间发行的稀释性潜在普通股，应当假设在当期期初转换；当期发行的稀释性潜在普通股，应当假设在发行日转换。</w:t>
      </w:r>
    </w:p>
    <w:p w14:paraId="15A7E8F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第十条　认股</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"http://baike.esnai.com/view.aspx?w=%c8%a8%d6%a4" \o "会计百科:权证"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权证</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和股份期权等的</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"http://baike.esnai.com/view.aspx?w=%d0%d0%c8%a8%bc%db" \o "会计百科:行权价"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行权价</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格低于当期普通股平均市场价格时，应当考虑其稀释性。计算稀释每股收益时，增加的普通股股数按下列公式计算：</w:t>
      </w:r>
    </w:p>
    <w:p w14:paraId="3A6474C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增加的普通股股数＝拟行权时转换的普通股股数－行权价格×拟行权时转换的普通股股数÷当期普通股平均市场价格</w:t>
      </w:r>
    </w:p>
    <w:p w14:paraId="0D5126F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第十一条　企业</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"http://baike.esnai.com/view.aspx?w=%b3%d0%c5%b5" \o "会计百科:承诺"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承诺</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将回购其股份的合同中规定的回购价格高于当期普通股平均市场价格时，应当考虑其稀释性。计算稀释每股收益时，增加的普通股股数按下列公式计算：</w:t>
      </w:r>
    </w:p>
    <w:p w14:paraId="56E1D35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增加的普通股股数＝回购价格×承诺回购的普通股股数÷当期普通股平均市场价格－承诺回购的普通股股数</w:t>
      </w:r>
    </w:p>
    <w:p w14:paraId="3B33537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第十二条　稀释性潜在普通股应当按照其稀释程度从大到小的顺序计入稀释每股收益，直至稀释每股收益达到最小值。</w:t>
      </w:r>
    </w:p>
    <w:p w14:paraId="5E7995C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第四章　列报</w:t>
      </w:r>
    </w:p>
    <w:p w14:paraId="7B5F743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第十三条　发行在外普通股或潜在普通股的数量因派发</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"http://baike.esnai.com/view.aspx?w=%b9%c9%c6%b1%b9%c9%c0%fb" \o "会计百科:股票股利"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股票股利</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、公积金转增资本、拆股而增加或因并股而减少，但不影响</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"http://baike.esnai.com/view.aspx?w=%cb%f9%d3%d0%d5%df%c8%a8%d2%e6" \o "会计百科:所有者权益"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所有者权益</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金额的，应当按调整后的股数</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"http://baike.esnai.com/view.aspx?w=%d6%d8%d0%c2%bc%c6%cb%e3" \o "会计百科:重新计算"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重新计算</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各列报期间的每股收益。</w:t>
      </w:r>
    </w:p>
    <w:p w14:paraId="33BE0B1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上述变化发生于</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"http://baike.esnai.com/view.aspx?w=%d7%ca%b2%fa%b8%ba%d5%ae%b1%ed%c8%d5" \o "会计百科:资产负债表日"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资产负债表日</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至</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"http://baike.esnai.com/view.aspx?w=%b2%c6%ce%f1%b1%a8%b8%e6" \o "会计百科:财务报告"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财务报告</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批准报出日之间的，应当以调整后的股数重新计算各列报期间的每股收益。</w:t>
      </w:r>
    </w:p>
    <w:p w14:paraId="4F5406C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按照《企业</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"http://baike.esnai.com/view.aspx?w=%bb%e1%bc%c6%d7%bc%d4%f2" \o "会计百科:会计准则"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会计准则</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第28号——</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"http://baike.esnai.com/view.aspx?w=%bb%e1%bc%c6%d5%fe%b2%df" \o "会计百科:会计政策"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会计政策</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"http://baike.esnai.com/view.aspx?w=%bb%e1%bc%c6%b9%c0%bc%c6%b1%e4%b8%fc" \o "会计百科:会计估计变更"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会计估计变更</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和差错更正》的规定对以前年度损益进行追溯调整或追溯重述的，应当重新计算各列报期间的每股收益。</w:t>
      </w:r>
    </w:p>
    <w:p w14:paraId="2AC9B27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第十四条　企业应当在</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"http://baike.esnai.com/view.aspx?w=%c0%fb%c8%f3%b1%ed" \o "会计百科:利润表"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利润表</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中单独列示基本每股收益和稀释每股收益。</w:t>
      </w:r>
    </w:p>
    <w:p w14:paraId="3154AA6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第十五条　企业应当在附注中披露与每股收益有关的下列信息：</w:t>
      </w:r>
    </w:p>
    <w:p w14:paraId="17F7AFC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（一） 基本每股收益和稀释每股收益分子、分母的计算过程。</w:t>
      </w:r>
    </w:p>
    <w:p w14:paraId="4766B0D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（二） 列报期间不具有稀释性但以后期间很可能具有稀释性的潜在普通股。</w:t>
      </w:r>
    </w:p>
    <w:p w14:paraId="5EB9AA8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（三） 在</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"http://baike.esnai.com/view.aspx?w=%d7%ca%b2%fa%b8%ba%d5%ae%b1%ed" \o "会计百科:资产负债表"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资产负债表</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日至</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"http://baike.esnai.com/view.aspx?w=%b2%c6%ce%f1" \o "会计百科:财务"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财务</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报告批准报出日之间，企业发行在外普通股或潜在普通股股数发生重大变化的情况。</w:t>
      </w:r>
    </w:p>
    <w:p w14:paraId="1A20D261">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A5729BB"/>
    <w:rsid w:val="5A5729B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 w:type="character" w:styleId="7">
    <w:name w:val="Hyperlink"/>
    <w:basedOn w:val="5"/>
    <w:uiPriority w:val="0"/>
    <w:rPr>
      <w:color w:val="0000FF"/>
      <w:u w:val="single"/>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2025-10-29T08:07:00Z</dcterms:created>
  <dc:creator>hello</dc:creator>
  <cp:lastModifiedBy>hello</cp:lastModifiedBy>
  <dcterms:modified xsi:type="dcterms:W3CDTF">2025-10-29T08:09:35Z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77CB34A56225448F82A238415EA14B8D_11</vt:lpwstr>
  </property>
  <property fmtid="{D5CDD505-2E9C-101B-9397-08002B2CF9AE}" pid="4" name="KSOTemplateDocerSaveRecord">
    <vt:lpwstr>eyJoZGlkIjoiNDUxNjE0NmM0ZWVjZjdjNDk1NmFlYzY1ZmY2ODliM2QiLCJ1c2VySWQiOiIxOTU1NDEwMDIifQ==</vt:lpwstr>
  </property>
</Properties>
</file>