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977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ascii="微软雅黑" w:hAnsi="微软雅黑" w:eastAsia="微软雅黑" w:cs="微软雅黑"/>
          <w:i w:val="0"/>
          <w:iCs w:val="0"/>
          <w:caps w:val="0"/>
          <w:color w:val="666666"/>
          <w:spacing w:val="0"/>
          <w:sz w:val="10"/>
          <w:szCs w:val="10"/>
        </w:rPr>
      </w:pPr>
      <w:r>
        <w:rPr>
          <w:rStyle w:val="5"/>
          <w:rFonts w:hint="eastAsia" w:ascii="微软雅黑" w:hAnsi="微软雅黑" w:eastAsia="微软雅黑" w:cs="微软雅黑"/>
          <w:b/>
          <w:bCs/>
          <w:i w:val="0"/>
          <w:iCs w:val="0"/>
          <w:caps w:val="0"/>
          <w:color w:val="666666"/>
          <w:spacing w:val="0"/>
          <w:sz w:val="10"/>
          <w:szCs w:val="10"/>
          <w:bdr w:val="none" w:color="auto" w:sz="0" w:space="0"/>
          <w:shd w:val="clear" w:fill="FFFFFF"/>
        </w:rPr>
        <w:t>企业会计准则解释第8号</w:t>
      </w:r>
    </w:p>
    <w:p w14:paraId="2CA468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一、商业银行及其子公司（以下统称为“商业银行”）应当如何判断是否控制其按照银行业监督管理委员会相关规定发行的理财产品（以下称为“理财产品”）？</w:t>
      </w:r>
    </w:p>
    <w:p w14:paraId="45981F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答：商业银行应当按照《企业会计准则第33号——合并财务报表》（以下简称《合并财务报表准则》）的相关规定，判断是否控制其发行的理财产品。如果商业银行控制该理财产品，应当按照《合并财务报表准则》的规定将该理财产品纳入合并范围。</w:t>
      </w:r>
    </w:p>
    <w:p w14:paraId="41B7CB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商业银行在判断是否控制其发行的理财产品时，应当综合考虑其本身直接享有以及通过所有子公司（包括控制的结构化主体）间接享有权利而拥有的权力、可变回报及其联系。分析可变回报时，至少应当关注以下方面：</w:t>
      </w:r>
    </w:p>
    <w:p w14:paraId="3E70FE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可变回报通常包括商业银行因向理财产品提供管理服务等获得的决策者薪酬和其他利益：前者包括各种形式的理财产品管理费（含各种形式的固定管理费和业绩报酬等），还可能包括以销售费、托管费以及其他各种服务收费的名义收取的实质上为决策者薪酬的收费；后者包括各种形式的直接投资收益，提供信用增级或支持等而获得的补偿或报酬，因提供信用增级或支持等而可能发生或承担的损失，与理财产品进行其他交易或者持有理财产品其他利益而取得的可变回报，以及销售费、托管费和其他各种名目的服务收费等。其中，提供的信用增级包括担保（例如保证理财产品投资者的本金或收益、为理财产品的债务提供保证等）、信贷承诺等；提供的支持包括财务或其他支持，例如流动性支持、回购承诺、向理财产品提供融资、购买理财产品持有的资产、同理财产品进行衍生交易等。</w:t>
      </w:r>
    </w:p>
    <w:p w14:paraId="449A8C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商业银行在分析享有的可变回报时，不仅应当分析与理财产品相关的法律法规及各项合同安排的实质，还应当分析理财产品成本与收益是否清晰明确，交易定价（含收费）是否符合市场或行业惯例，以及是否存在其他可能导致商业银行最终承担理财产品损失的情况等。商业银行应当慎重考虑其是否在没有合同义务的情况下，对过去发行的具有类似特征的理财产品提供过信用增级或支持的事实或情况，至少包括以下几个方面：</w:t>
      </w:r>
    </w:p>
    <w:p w14:paraId="21BE01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1．提供该信用增级或支持的触发事件及其原因，以及预期未来发生类似事件的可能性和频率。</w:t>
      </w:r>
    </w:p>
    <w:p w14:paraId="35F6C7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2．商业银行提供该信用增级或支持的原因，以及做出这一决定的内部控制和管理流程；预期未来出现类似触发事件时，是否仍将提供信用增级和支持（此评估应当基于商业银行对于此类事件的应对机制以及内部控制和管理流程，且应当考虑历史经验）。</w:t>
      </w:r>
    </w:p>
    <w:p w14:paraId="451105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3．因提供信用增级或支持而从理财产品获取的对价，包括但不限于该对价是否公允，收取该对价是否存在不确定性以及不确定性的程度。</w:t>
      </w:r>
    </w:p>
    <w:p w14:paraId="0414BE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4．因提供信用增级或支持而面临损失的风险程度。</w:t>
      </w:r>
    </w:p>
    <w:p w14:paraId="0B4418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商业银行按照《合并财务报表准则》判断对所发行的理财产品不构成控制，但在该理财产品的存续期内，商业银行向该理财产品提供了合同义务以外的信用增级或支持，商业银行应当至少考虑上述各项事实和情况，重新评估是否对该理财产品形成控制。经重新评估后认定对理财产品具有控制的，商业银行应当将该理财产品纳入合并范围。同时，对于发行的具有类似特征（如具有类似合同条款、基础资产构成、投资者构成、商业银行参与理财产品而享有可变回报的构成等）的理财产品，商业银行也应当按照一致性原则予以重新评估。</w:t>
      </w:r>
    </w:p>
    <w:p w14:paraId="08CBC2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二、商业银行应当如何对其发行的理财产品进行会计处理？</w:t>
      </w:r>
    </w:p>
    <w:p w14:paraId="6F90B9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答：商业银行发行的理财产品应当作为独立的会计主体，按照企业会计准则的相关规定进行会计处理。</w:t>
      </w:r>
    </w:p>
    <w:p w14:paraId="3A177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（一）会计核算</w:t>
      </w:r>
    </w:p>
    <w:p w14:paraId="186A6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于理财产品持有或发行的金融工具，在采用《企业会计准则第22号——金融工具确认和计量》（以下简称《金融工具确认计量准则》）、《企业会计准则第37号——金融工具列报》（以下简称《金融工具列报准则》）和《企业会计准则第39号——公允价值计量》（以下简称《公允价值计量准则》）时，应当至少考虑以下内容：</w:t>
      </w:r>
    </w:p>
    <w:p w14:paraId="106E5C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1．分类</w:t>
      </w:r>
    </w:p>
    <w:p w14:paraId="51A6C9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对于理财产品持有的金融资产或金融负债，应当根据持有目的或意图、是否有活跃市场报价、金融工具现金流量特征等，按照《金融工具确认计量准则》有关金融资产或金融负债的分类原则进行恰当分类。</w:t>
      </w:r>
    </w:p>
    <w:p w14:paraId="13E814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理财产品持有的非衍生金融资产由于缺乏流动性而难以在市场上出售（如非标准化债权资产），则通常不能表明该金融资产是为了交易目的而持有的（如为了近期内出售，或者属于进行集中管理的可辨认金融工具组合的一部分，且有客观证据表明近期采用短期获利方式对该组合进行管理），因而不应当分类为以公允价值计量且其变动计入当期损益的金融资产中的交易性金融资产。</w:t>
      </w:r>
    </w:p>
    <w:p w14:paraId="0FCB2C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如果理财产品持有的权益工具投资在活跃市场中没有报价，且采用估值技术后公允价值也不能可靠计量，则不得将其指定为以公允价值计量且其变动计入当期损益的金融资产。</w:t>
      </w:r>
    </w:p>
    <w:p w14:paraId="14E8B8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商业银行因为估值流程不完善或不具备估值能力，且未能或难以有效利用第三方估值等原因，无法或难以可靠地评估理财产品持有的金融资产或金融负债的公允价值，则通常不能表明其能以公允价值为基础对理财产品持有的金融资产或金融负债进行管理和评价，因而不得依据《金融工具确认计量准则》，将该金融资产或金融负债指定为以公允价值计量且其变动计入当期损益的金融工具。</w:t>
      </w:r>
    </w:p>
    <w:p w14:paraId="51EB01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理财产品发行的金融工具，应当按照《金融工具列报准则》的相关规定进行分类。</w:t>
      </w:r>
    </w:p>
    <w:p w14:paraId="23B508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在对理财产品进行会计处理时，应当按照企业会计准则的相关规定规范使用会计科目，不得使用诸如“代理理财投资”等可能引起歧义的科目名称。</w:t>
      </w:r>
    </w:p>
    <w:p w14:paraId="23730D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2．计量</w:t>
      </w:r>
    </w:p>
    <w:p w14:paraId="6FAD8E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对于理财产品持有的金融资产或金融负债，应当按照《金融工具确认计量准则》、《公允价值计量准则》和其他相关准则进行计量。其中：</w:t>
      </w:r>
    </w:p>
    <w:p w14:paraId="124A86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（1）公允价值计量</w:t>
      </w:r>
    </w:p>
    <w:p w14:paraId="0D9417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于以公允价值计量的金融资产或金融负债，应当按照《公允价值计量准则》的相关规定确定其公允价值。通常情况下，金融工具初始确认的成本不符合后续公允价值计量要求，除非有充分的证据或理由表明该成本在计量日仍是对公允价值的恰当估计。</w:t>
      </w:r>
    </w:p>
    <w:p w14:paraId="48889F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（2）减值</w:t>
      </w:r>
    </w:p>
    <w:p w14:paraId="67F2EE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理财产品持有的除以公允价值计量且其变动计入当期损益之外的金融资产，应当按照《金融工具确认计量准则》中有关金融资产减值的规定，评估是否存在减值的客观证据，以及确定减值损失的金额并进行会计核算。</w:t>
      </w:r>
    </w:p>
    <w:p w14:paraId="0C3832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（二）列报</w:t>
      </w:r>
    </w:p>
    <w:p w14:paraId="6611D7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商业银行是编报理财产品财务报表的法定责任人。如果相关法律法规或监管部门要求报送或公开理财产品财务报表，商业银行应当确保其报送或公开的理财产品财务报表符合企业会计准则的要求。</w:t>
      </w:r>
    </w:p>
    <w:p w14:paraId="749FFB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三、商业银行应当在2016年年度及以后期间的财务报告中适用本解释要求。本解释生效前商业银行对理财产品的会计处理与本解释不一致的，应当进行追溯调整，追溯调整不可行的除外。</w:t>
      </w:r>
    </w:p>
    <w:p w14:paraId="0759455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D1269"/>
    <w:rsid w:val="33FD1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2025-10-29T01:03:00Z</dcterms:created>
  <dc:creator>WPS_1758555070</dc:creator>
  <cp:lastModifiedBy>WPS_1758555070</cp:lastModifiedBy>
  <dcterms:modified xsi:type="dcterms:W3CDTF">2025-10-29T01:04:06Z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2D4887B7D6EF4535A5C8EF44FC34B2F7_11</vt:lpwstr>
  </property>
  <property fmtid="{D5CDD505-2E9C-101B-9397-08002B2CF9AE}" pid="4" name="KSOTemplateDocerSaveRecord">
    <vt:lpwstr>eyJoZGlkIjoiYjAzYzZiY2JhNDE1YWQ0MWVjOGM1ZGQyYzQxOThiMmQiLCJ1c2VySWQiOiIxNzQ2MDUyNDkzIn0=</vt:lpwstr>
  </property>
</Properties>
</file>