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QUARTERLY EARNINGS REPORT — Q3 FY2025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Meridian Capital Holdings Inc.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FINANCIAL STATEMENTS SUMMARY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Income Statement Highlights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Total Revenue: $482.6 million (up 12.4% YoY)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Gross Margin: 38.9%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EBITDA: $96.2 million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Net Income: $54.3 million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Earnings Per Share (EPS): $1.42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Balance Sheet Overview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Total Assets: $1.84 billion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Total Liabilities: $920 million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Shareholder Equity: $920 million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Cash Flow from Operations: $112 million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Accounts Receivable: $68 million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Accounts Payable: $41 million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Capital Markets Activity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company successfully completed a bond issuance raising $200 million at a 4.8% interest rate. Our investment portfolio includes diversified holdings across equity, fixed income, and private equity instruments. The Board declared a quarterly dividend of $0.35 per share, payable to shareholders of record.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Tax and Audit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fiscal year audit was completed by an independent accounting firm with no material findings. Our effective tax rate for the quarter was 21.3%, in line with statutory requirements. Depreciation and amortization expenses totaled $18.4 million.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Risk and Hedge Fund Exposure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treasury department actively manages interest rate risk through hedging instruments. Our private equity division reported a return on investment (ROI) of 14.2% for the trailing twelve months. Market capitalization at quarter end stood at $3.1 billion.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SEC Filing Note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This report has been prepared in accordance with SEC filing requirements and includes forward-looking statements regarding future earnings per share and market capitalization projections.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