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An Explainable, Verifiable Platform for Disaster Aid Request, Tracking and Distribution in Sri Lanka: Design and Multi-Method Evaluation</w:t>
      </w:r>
    </w:p>
    <w:p>
      <w:pPr>
        <w:spacing w:after="0"/>
        <w:jc w:val="center"/>
      </w:pPr>
      <w:r>
        <w:rPr>
          <w:rFonts w:ascii="Times New Roman" w:cs="Times New Roman" w:eastAsia="Times New Roman" w:hAnsi="Times New Roman"/>
          <w:sz w:val="22"/>
          <w:szCs w:val="22"/>
        </w:rPr>
        <w:t xml:space="preserve">Anonymous Author(s)</w:t>
      </w:r>
    </w:p>
    <w:p>
      <w:pPr>
        <w:spacing w:after="0"/>
        <w:jc w:val="center"/>
      </w:pPr>
      <w:r>
        <w:rPr>
          <w:rFonts w:ascii="Times New Roman" w:cs="Times New Roman" w:eastAsia="Times New Roman" w:hAnsi="Times New Roman"/>
          <w:i/>
          <w:iCs/>
          <w:sz w:val="18"/>
          <w:szCs w:val="18"/>
        </w:rPr>
        <w:t xml:space="preserve">Affiliation withheld for double-blind review</w:t>
      </w:r>
    </w:p>
    <w:p>
      <w:pPr>
        <w:spacing w:after="200"/>
      </w:pPr>
    </w:p>
    <w:p>
      <w:pPr>
        <w:sectPr>
          <w:pgSz w:w="11906" w:h="16838" w:orient="portrait"/>
          <w:pgMar w:top="1077" w:right="812" w:bottom="2438" w:left="812"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Disaster relief in Sri Lanka is still coordinated largely through phone calls and social media, which makes it hard to see which needs are outstanding, how requests are prioritised, and whether donated goods arrive. Existing platforms address parts of this problem, but few combine open request intake, an inspectable prioritisation rule and verified delivery. Following design science research, we built a web and mobile platform for victims, donors, volunteers and administrators that pairs a disclosed rule-based priority score with priority-first donation matching, a single-use QR handover check and a public, aggregated dashboard. We evaluated the artefact with automated and security-rule tests, concurrent-load tests, a synthetic allocation simulation, and a nine-person usability pilot. In simulation, priority-first matching served almost all critical needs (99.6% vs. about 79% for first-come or nearest-first rules) but left most low-severity needs unmet (37% vs. 78%), and its distance tie-break decided 72% of matches. Load testing exposed a cache-stampede defect that was fixed (p95 about 11 s to 2.4 s). The pilot gave a mean System Usability Scale score of 91.1 (95% CI 84.5–97.7). The platform supports more transparent coordination, but its effect on equitable, timely distribution in a real disaster remains unmeasured.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—disaster management, humanitarian logistics, aid prioritisation, explainable decision rules, delivery verification, design science research, Sri Lanka</w:t>
      </w:r>
    </w:p>
    <w:p>
      <w:pPr>
        <w:spacing w:after="80" w:before="160"/>
        <w:jc w:val="center"/>
      </w:pPr>
      <w:r>
        <w:rPr>
          <w:rFonts w:ascii="Times New Roman" w:cs="Times New Roman" w:eastAsia="Times New Roman" w:hAnsi="Times New Roman"/>
          <w:smallCaps/>
          <w:sz w:val="20"/>
          <w:szCs w:val="20"/>
        </w:rPr>
        <w:t xml:space="preserve">I. Introduction</w:t>
      </w:r>
    </w:p>
    <w:p>
      <w:pPr>
        <w:spacing w:after="0" w:line="230"/>
        <w:ind w:firstLine="202"/>
        <w:jc w:val="both"/>
      </w:pPr>
      <w:r>
        <w:rPr>
          <w:rFonts w:ascii="Times New Roman" w:cs="Times New Roman" w:eastAsia="Times New Roman" w:hAnsi="Times New Roman"/>
          <w:sz w:val="20"/>
          <w:szCs w:val="20"/>
        </w:rPr>
        <w:t xml:space="preserve">Sri Lanka faces recurrent floods, landslides and cyclones. The May–June 2024 floods affected more than 235,000 people [1], and Cyclone Ditwah in late 2025 caused 646 deaths, left 173 missing and affected between 1.2 and 2.2 million people across all 25 districts (the situation report gives both figures) [2], [3], with damage estimated at US$4.1 billion, about 4% of GDP [4].</w:t>
      </w:r>
    </w:p>
    <w:p>
      <w:pPr>
        <w:spacing w:after="0" w:line="230"/>
        <w:ind w:firstLine="202"/>
        <w:jc w:val="both"/>
      </w:pPr>
      <w:r>
        <w:rPr>
          <w:rFonts w:ascii="Times New Roman" w:cs="Times New Roman" w:eastAsia="Times New Roman" w:hAnsi="Times New Roman"/>
          <w:sz w:val="20"/>
          <w:szCs w:val="20"/>
        </w:rPr>
        <w:t xml:space="preserve">Studies of Sri Lankan disaster response describe coordination through phone calls, social media and manual records in the health sector [5] and limited cross-agency collaboration in flood response [6]. Humanitarian-logistics research shows that, without shared information, relief tends to favour accessible areas [7] and that unsolicited donations create “material convergence” that burdens responders [8]. During Cyclone Ditwah, a volunteer platform received about 200 SOS requests representing more than 10,000 people within hours of launch [9], [10], which indicates strong demand for a structured channel.</w:t>
      </w:r>
    </w:p>
    <w:p>
      <w:pPr>
        <w:spacing w:after="0" w:line="230"/>
        <w:ind w:firstLine="202"/>
        <w:jc w:val="both"/>
      </w:pPr>
      <w:r>
        <w:rPr>
          <w:rFonts w:ascii="Times New Roman" w:cs="Times New Roman" w:eastAsia="Times New Roman" w:hAnsi="Times New Roman"/>
          <w:sz w:val="20"/>
          <w:szCs w:val="20"/>
        </w:rPr>
        <w:t xml:space="preserve">We ask: </w:t>
      </w:r>
      <w:r>
        <w:rPr>
          <w:rFonts w:ascii="Times New Roman" w:cs="Times New Roman" w:eastAsia="Times New Roman" w:hAnsi="Times New Roman"/>
          <w:i/>
          <w:iCs/>
          <w:sz w:val="20"/>
          <w:szCs w:val="20"/>
        </w:rPr>
        <w:t xml:space="preserve">how can a centralised aid request, tracking and distribution system support transparency, coordination and efficiency in Sri Lankan disaster relief?</w:t>
      </w:r>
      <w:r>
        <w:rPr>
          <w:rFonts w:ascii="Times New Roman" w:cs="Times New Roman" w:eastAsia="Times New Roman" w:hAnsi="Times New Roman"/>
          <w:sz w:val="20"/>
          <w:szCs w:val="20"/>
        </w:rPr>
        <w:t xml:space="preserve"> The contributions are: (1) a four-role web and mobile artefact with explicit design principles; (2) a disclosed allocation rule, analysed for sensitivity, starvation and distance feasibility through simulation; (3) a delivery-verification protocol with a stated threat model; and (4) a multi-method evaluation whose limits are reported alongside its results.</w:t>
      </w:r>
    </w:p>
    <w:p>
      <w:pPr>
        <w:spacing w:after="80" w:before="160"/>
        <w:jc w:val="center"/>
      </w:pPr>
      <w:r>
        <w:rPr>
          <w:rFonts w:ascii="Times New Roman" w:cs="Times New Roman" w:eastAsia="Times New Roman" w:hAnsi="Times New Roman"/>
          <w:smallCaps/>
          <w:sz w:val="20"/>
          <w:szCs w:val="20"/>
        </w:rPr>
        <w:t xml:space="preserve">II. Related Work</w:t>
      </w:r>
    </w:p>
    <w:p>
      <w:pPr>
        <w:spacing w:after="40" w:before="100"/>
      </w:pPr>
      <w:r>
        <w:rPr>
          <w:rFonts w:ascii="Times New Roman" w:cs="Times New Roman" w:eastAsia="Times New Roman" w:hAnsi="Times New Roman"/>
          <w:i/>
          <w:iCs/>
          <w:sz w:val="20"/>
          <w:szCs w:val="20"/>
        </w:rPr>
        <w:t xml:space="preserve">A. Coordination Platforms</w:t>
      </w:r>
    </w:p>
    <w:p>
      <w:pPr>
        <w:spacing w:after="0" w:line="230"/>
        <w:ind w:firstLine="202"/>
        <w:jc w:val="both"/>
      </w:pPr>
      <w:r>
        <w:rPr>
          <w:rFonts w:ascii="Times New Roman" w:cs="Times New Roman" w:eastAsia="Times New Roman" w:hAnsi="Times New Roman"/>
          <w:i/>
          <w:iCs/>
          <w:sz w:val="20"/>
          <w:szCs w:val="20"/>
        </w:rPr>
        <w:t xml:space="preserve">Sahana</w:t>
      </w:r>
      <w:r>
        <w:rPr>
          <w:rFonts w:ascii="Times New Roman" w:cs="Times New Roman" w:eastAsia="Times New Roman" w:hAnsi="Times New Roman"/>
          <w:sz w:val="20"/>
          <w:szCs w:val="20"/>
        </w:rPr>
        <w:t xml:space="preserve"> was developed in Sri Lanka after the 2004 tsunami. It provides organisation, camp and people registries and a request-management module that matches pledges of assistance to requests [11], but it was not adopted nationally in later Sri Lankan floods [12]. Ushahidi-style crowdsourcing surfaces needs quickly [13], and crisis informatics has since added social-media analytics and machine classification of messages [14], [15], but such tools suffer from duplicate and mislocated reports [16] and stop at situational awareness. FloodSupport.org, built during Cyclone Ditwah, collected SOS reports through the web and SMS in three languages [9], [10], but its verification and prioritisation methods are not published. AidTrack [17] verifies pre-registered households with QR codes within one municipality and does not disclose its AI-assisted prioritisation. The official channels of the national Disaster Management Centre (DMC) focus on warnings and situation reports [18].</w:t>
      </w:r>
    </w:p>
    <w:p>
      <w:pPr>
        <w:spacing w:after="40" w:before="100"/>
      </w:pPr>
      <w:r>
        <w:rPr>
          <w:rFonts w:ascii="Times New Roman" w:cs="Times New Roman" w:eastAsia="Times New Roman" w:hAnsi="Times New Roman"/>
          <w:i/>
          <w:iCs/>
          <w:sz w:val="20"/>
          <w:szCs w:val="20"/>
        </w:rPr>
        <w:t xml:space="preserve">B. Allocation, Equity and Explainability</w:t>
      </w:r>
    </w:p>
    <w:p>
      <w:pPr>
        <w:spacing w:after="0" w:line="230"/>
        <w:ind w:firstLine="202"/>
        <w:jc w:val="both"/>
      </w:pPr>
      <w:r>
        <w:rPr>
          <w:rFonts w:ascii="Times New Roman" w:cs="Times New Roman" w:eastAsia="Times New Roman" w:hAnsi="Times New Roman"/>
          <w:sz w:val="20"/>
          <w:szCs w:val="20"/>
        </w:rPr>
        <w:t xml:space="preserve">Relief allocation balances efficiency, efficacy and equity [19], [7], and last-mile distribution models make explicit how scarce supplies are rationed between locations [20]. Optimisation models need data and operators that are rarely available in community-level response. Interest in explainable AI in disaster risk management reflects the difficulty of justifying opaque scores to affected people [21]. Blockchain-based donation tracking makes a transaction traceable once a match has been made but leaves the matching decision open [22].</w:t>
      </w:r>
    </w:p>
    <w:p>
      <w:pPr>
        <w:spacing w:after="0" w:line="230"/>
        <w:ind w:firstLine="202"/>
        <w:jc w:val="both"/>
      </w:pPr>
      <w:r>
        <w:rPr>
          <w:rFonts w:ascii="Times New Roman" w:cs="Times New Roman" w:eastAsia="Times New Roman" w:hAnsi="Times New Roman"/>
          <w:sz w:val="20"/>
          <w:szCs w:val="20"/>
        </w:rPr>
        <w:t xml:space="preserve">Table I compares named systems on stated criteria. Sahana already integrates requests and pledges. The gap we address is therefore narrower than a missing integrated platform: an </w:t>
      </w:r>
      <w:r>
        <w:rPr>
          <w:rFonts w:ascii="Times New Roman" w:cs="Times New Roman" w:eastAsia="Times New Roman" w:hAnsi="Times New Roman"/>
          <w:i/>
          <w:iCs/>
          <w:sz w:val="20"/>
          <w:szCs w:val="20"/>
        </w:rPr>
        <w:t xml:space="preserve">inspectable</w:t>
      </w:r>
      <w:r>
        <w:rPr>
          <w:rFonts w:ascii="Times New Roman" w:cs="Times New Roman" w:eastAsia="Times New Roman" w:hAnsi="Times New Roman"/>
          <w:sz w:val="20"/>
          <w:szCs w:val="20"/>
        </w:rPr>
        <w:t xml:space="preserve"> prioritisation rule, </w:t>
      </w:r>
      <w:r>
        <w:rPr>
          <w:rFonts w:ascii="Times New Roman" w:cs="Times New Roman" w:eastAsia="Times New Roman" w:hAnsi="Times New Roman"/>
          <w:i/>
          <w:iCs/>
          <w:sz w:val="20"/>
          <w:szCs w:val="20"/>
        </w:rPr>
        <w:t xml:space="preserve">verified</w:t>
      </w:r>
      <w:r>
        <w:rPr>
          <w:rFonts w:ascii="Times New Roman" w:cs="Times New Roman" w:eastAsia="Times New Roman" w:hAnsi="Times New Roman"/>
          <w:sz w:val="20"/>
          <w:szCs w:val="20"/>
        </w:rPr>
        <w:t xml:space="preserve"> handover and </w:t>
      </w:r>
      <w:r>
        <w:rPr>
          <w:rFonts w:ascii="Times New Roman" w:cs="Times New Roman" w:eastAsia="Times New Roman" w:hAnsi="Times New Roman"/>
          <w:i/>
          <w:iCs/>
          <w:sz w:val="20"/>
          <w:szCs w:val="20"/>
        </w:rPr>
        <w:t xml:space="preserve">public</w:t>
      </w:r>
      <w:r>
        <w:rPr>
          <w:rFonts w:ascii="Times New Roman" w:cs="Times New Roman" w:eastAsia="Times New Roman" w:hAnsi="Times New Roman"/>
          <w:sz w:val="20"/>
          <w:szCs w:val="20"/>
        </w:rPr>
        <w:t xml:space="preserve"> aggregate reporting, combined in a mobile-first tool for the Sri Lankan setting.</w:t>
      </w:r>
    </w:p>
    <w:p>
      <w:pPr>
        <w:keepNext/>
        <w:keepLines/>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of Named Systems</w:t>
      </w:r>
    </w:p>
    <w:tbl>
      <w:tblPr>
        <w:tblW w:type="dxa" w:w="4890"/>
        <w:jc w:val="center"/>
        <w:tblBorders>
          <w:top w:val="none" w:color="FFFFFF" w:sz="0"/>
          <w:left w:val="none" w:color="FFFFFF" w:sz="0"/>
          <w:bottom w:val="none" w:color="FFFFFF" w:sz="0"/>
          <w:right w:val="none" w:color="FFFFFF" w:sz="0"/>
          <w:insideH w:val="none" w:color="FFFFFF" w:sz="0"/>
          <w:insideV w:val="none" w:color="FFFFFF" w:sz="0"/>
        </w:tblBorders>
      </w:tblPr>
      <w:tblGrid>
        <w:gridCol w:w="1650"/>
        <w:gridCol w:w="640"/>
        <w:gridCol w:w="700"/>
        <w:gridCol w:w="700"/>
        <w:gridCol w:w="700"/>
        <w:gridCol w:w="500"/>
      </w:tblGrid>
      <w:tr>
        <w:trPr>
          <w:cantSplit/>
        </w:trPr>
        <w:tc>
          <w:tcPr>
            <w:tcW w:type="dxa" w:w="16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Criterion</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Sahana</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Ushahidi</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FloodSup.</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AidTrack</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Ours</w:t>
            </w:r>
          </w:p>
        </w:tc>
      </w:tr>
      <w:tr>
        <w:trPr>
          <w:cantSplit/>
        </w:trPr>
        <w:tc>
          <w:tcPr>
            <w:tcW w:type="dxa" w:w="16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Open request intake</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Donation/pledge matching</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Published priority rule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dispatch</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Verified handover</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Public aggregate dashboard</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Native mobile app</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bl>
    <w:p>
      <w:pPr>
        <w:spacing w:after="120"/>
      </w:pPr>
      <w:r>
        <w:rPr>
          <w:rFonts w:ascii="Times New Roman" w:cs="Times New Roman" w:eastAsia="Times New Roman" w:hAnsi="Times New Roman"/>
          <w:sz w:val="14"/>
          <w:szCs w:val="14"/>
        </w:rPr>
        <w:t xml:space="preserve">✓ = documented in the cited source; P = partial (a related feature exists but does not meet the criterion in full); ? = not documented; × = documented as absent or out of scope. Assessed from [11], [13], [10], [17].</w:t>
      </w:r>
    </w:p>
    <w:p>
      <w:pPr>
        <w:spacing w:after="80" w:before="160"/>
        <w:jc w:val="center"/>
      </w:pPr>
      <w:r>
        <w:rPr>
          <w:rFonts w:ascii="Times New Roman" w:cs="Times New Roman" w:eastAsia="Times New Roman" w:hAnsi="Times New Roman"/>
          <w:smallCaps/>
          <w:sz w:val="20"/>
          <w:szCs w:val="20"/>
        </w:rPr>
        <w:t xml:space="preserve">III. Method</w:t>
      </w:r>
    </w:p>
    <w:p>
      <w:pPr>
        <w:spacing w:after="0" w:line="230"/>
        <w:ind w:firstLine="202"/>
        <w:jc w:val="both"/>
      </w:pPr>
      <w:r>
        <w:rPr>
          <w:rFonts w:ascii="Times New Roman" w:cs="Times New Roman" w:eastAsia="Times New Roman" w:hAnsi="Times New Roman"/>
          <w:sz w:val="20"/>
          <w:szCs w:val="20"/>
        </w:rPr>
        <w:t xml:space="preserve">We followed design science research [23] using the six DSRM phases [24]. In Gregor and Hevner's terms [25], the contribution is an </w:t>
      </w:r>
      <w:r>
        <w:rPr>
          <w:rFonts w:ascii="Times New Roman" w:cs="Times New Roman" w:eastAsia="Times New Roman" w:hAnsi="Times New Roman"/>
          <w:i/>
          <w:iCs/>
          <w:sz w:val="20"/>
          <w:szCs w:val="20"/>
        </w:rPr>
        <w:t xml:space="preserve">improvement</w:t>
      </w:r>
      <w:r>
        <w:rPr>
          <w:rFonts w:ascii="Times New Roman" w:cs="Times New Roman" w:eastAsia="Times New Roman" w:hAnsi="Times New Roman"/>
          <w:sz w:val="20"/>
          <w:szCs w:val="20"/>
        </w:rPr>
        <w:t xml:space="preserve">: a new solution to a known problem. Four design principles guided the artefact: </w:t>
      </w:r>
      <w:r>
        <w:rPr>
          <w:rFonts w:ascii="Times New Roman" w:cs="Times New Roman" w:eastAsia="Times New Roman" w:hAnsi="Times New Roman"/>
          <w:b/>
          <w:bCs/>
          <w:sz w:val="20"/>
          <w:szCs w:val="20"/>
        </w:rPr>
        <w:t xml:space="preserve">DP1</w:t>
      </w:r>
      <w:r>
        <w:rPr>
          <w:rFonts w:ascii="Times New Roman" w:cs="Times New Roman" w:eastAsia="Times New Roman" w:hAnsi="Times New Roman"/>
          <w:sz w:val="20"/>
          <w:szCs w:val="20"/>
        </w:rPr>
        <w:t xml:space="preserve"> every allocation decision can be traced to disclosed inputs; </w:t>
      </w:r>
      <w:r>
        <w:rPr>
          <w:rFonts w:ascii="Times New Roman" w:cs="Times New Roman" w:eastAsia="Times New Roman" w:hAnsi="Times New Roman"/>
          <w:b/>
          <w:bCs/>
          <w:sz w:val="20"/>
          <w:szCs w:val="20"/>
        </w:rPr>
        <w:t xml:space="preserve">DP2</w:t>
      </w:r>
      <w:r>
        <w:rPr>
          <w:rFonts w:ascii="Times New Roman" w:cs="Times New Roman" w:eastAsia="Times New Roman" w:hAnsi="Times New Roman"/>
          <w:sz w:val="20"/>
          <w:szCs w:val="20"/>
        </w:rPr>
        <w:t xml:space="preserve"> a delivery closes only with evidence produced at handover; </w:t>
      </w:r>
      <w:r>
        <w:rPr>
          <w:rFonts w:ascii="Times New Roman" w:cs="Times New Roman" w:eastAsia="Times New Roman" w:hAnsi="Times New Roman"/>
          <w:b/>
          <w:bCs/>
          <w:sz w:val="20"/>
          <w:szCs w:val="20"/>
        </w:rPr>
        <w:t xml:space="preserve">DP3</w:t>
      </w:r>
      <w:r>
        <w:rPr>
          <w:rFonts w:ascii="Times New Roman" w:cs="Times New Roman" w:eastAsia="Times New Roman" w:hAnsi="Times New Roman"/>
          <w:sz w:val="20"/>
          <w:szCs w:val="20"/>
        </w:rPr>
        <w:t xml:space="preserve"> public views show aggregates only, never personal data; </w:t>
      </w:r>
      <w:r>
        <w:rPr>
          <w:rFonts w:ascii="Times New Roman" w:cs="Times New Roman" w:eastAsia="Times New Roman" w:hAnsi="Times New Roman"/>
          <w:b/>
          <w:bCs/>
          <w:sz w:val="20"/>
          <w:szCs w:val="20"/>
        </w:rPr>
        <w:t xml:space="preserve">DP4</w:t>
      </w:r>
      <w:r>
        <w:rPr>
          <w:rFonts w:ascii="Times New Roman" w:cs="Times New Roman" w:eastAsia="Times New Roman" w:hAnsi="Times New Roman"/>
          <w:sz w:val="20"/>
          <w:szCs w:val="20"/>
        </w:rPr>
        <w:t xml:space="preserve"> every write passes server-side business rules. Requirements came from secondary sources and the comparison in Section II, giving 33 functional requirements (FR-01 to FR-33). No domain experts were consulted, which is a threat to validity (Section VI-A).</w:t>
      </w:r>
    </w:p>
    <w:p>
      <w:pPr>
        <w:spacing w:after="0" w:line="230"/>
        <w:ind w:firstLine="202"/>
        <w:jc w:val="both"/>
      </w:pPr>
      <w:r>
        <w:rPr>
          <w:rFonts w:ascii="Times New Roman" w:cs="Times New Roman" w:eastAsia="Times New Roman" w:hAnsi="Times New Roman"/>
          <w:sz w:val="20"/>
          <w:szCs w:val="20"/>
        </w:rPr>
        <w:t xml:space="preserve">The evaluation followed the FEDS “technical risk and efficacy” strategy [26]: artificial evaluation first (unit, integration and security-rule tests, load tests, simulation), then a small naturalistic usability pilot. Participation was voluntary and anonymised, with written consent. </w:t>
      </w:r>
      <w:r>
        <w:rPr>
          <w:rFonts w:ascii="Times New Roman" w:cs="Times New Roman" w:eastAsia="Times New Roman" w:hAnsi="Times New Roman"/>
          <w:color w:val="C00000"/>
          <w:sz w:val="20"/>
          <w:szCs w:val="20"/>
        </w:rPr>
        <w:t xml:space="preserve">[Ethics: state approval body and reference number, or exemption.]</w:t>
      </w:r>
    </w:p>
    <w:p>
      <w:pPr>
        <w:spacing w:after="80" w:before="160"/>
        <w:jc w:val="center"/>
      </w:pPr>
      <w:r>
        <w:rPr>
          <w:rFonts w:ascii="Times New Roman" w:cs="Times New Roman" w:eastAsia="Times New Roman" w:hAnsi="Times New Roman"/>
          <w:smallCaps/>
          <w:sz w:val="20"/>
          <w:szCs w:val="20"/>
        </w:rPr>
        <w:t xml:space="preserve">IV. Design</w:t>
      </w:r>
    </w:p>
    <w:p>
      <w:pPr>
        <w:spacing w:after="40" w:before="100"/>
      </w:pPr>
      <w:r>
        <w:rPr>
          <w:rFonts w:ascii="Times New Roman" w:cs="Times New Roman" w:eastAsia="Times New Roman" w:hAnsi="Times New Roman"/>
          <w:i/>
          <w:iCs/>
          <w:sz w:val="20"/>
          <w:szCs w:val="20"/>
        </w:rPr>
        <w:t xml:space="preserve">A. Architecture</w:t>
      </w:r>
    </w:p>
    <w:p>
      <w:pPr>
        <w:spacing w:after="0" w:line="230"/>
        <w:ind w:firstLine="202"/>
        <w:jc w:val="both"/>
      </w:pPr>
      <w:r>
        <w:rPr>
          <w:rFonts w:ascii="Times New Roman" w:cs="Times New Roman" w:eastAsia="Times New Roman" w:hAnsi="Times New Roman"/>
          <w:sz w:val="20"/>
          <w:szCs w:val="20"/>
        </w:rPr>
        <w:t xml:space="preserve">Fig. 1 shows the layers. React (web) and Expo/React Native (mobile) clients call one Node.js/Express API, which enforces role middleware and all business rules. Firestore and Firebase Authentication store data. Clients may </w:t>
      </w:r>
      <w:r>
        <w:rPr>
          <w:rFonts w:ascii="Times New Roman" w:cs="Times New Roman" w:eastAsia="Times New Roman" w:hAnsi="Times New Roman"/>
          <w:i/>
          <w:iCs/>
          <w:sz w:val="20"/>
          <w:szCs w:val="20"/>
        </w:rPr>
        <w:t xml:space="preserve">read</w:t>
      </w:r>
      <w:r>
        <w:rPr>
          <w:rFonts w:ascii="Times New Roman" w:cs="Times New Roman" w:eastAsia="Times New Roman" w:hAnsi="Times New Roman"/>
          <w:sz w:val="20"/>
          <w:szCs w:val="20"/>
        </w:rPr>
        <w:t xml:space="preserve"> live data through Firestore listeners, but every </w:t>
      </w:r>
      <w:r>
        <w:rPr>
          <w:rFonts w:ascii="Times New Roman" w:cs="Times New Roman" w:eastAsia="Times New Roman" w:hAnsi="Times New Roman"/>
          <w:i/>
          <w:iCs/>
          <w:sz w:val="20"/>
          <w:szCs w:val="20"/>
        </w:rPr>
        <w:t xml:space="preserve">write</w:t>
      </w:r>
      <w:r>
        <w:rPr>
          <w:rFonts w:ascii="Times New Roman" w:cs="Times New Roman" w:eastAsia="Times New Roman" w:hAnsi="Times New Roman"/>
          <w:sz w:val="20"/>
          <w:szCs w:val="20"/>
        </w:rPr>
        <w:t xml:space="preserve"> goes through the API (DP4), and Firestore security rules repeat the role and ownership checks. External services provide hazard feeds (DMC, GDACS, USGS, Irrigation Department gauges), routing, and parallel push (FCM) and SMS notifications. The API runs as serverless functions on Vercel.</w:t>
      </w:r>
    </w:p>
    <w:p>
      <w:pPr>
        <w:keepNext/>
        <w:spacing w:after="40" w:before="120"/>
        <w:jc w:val="center"/>
      </w:pPr>
      <w:r>
        <w:drawing>
          <wp:inline distT="0" distB="0" distL="0" distR="0">
            <wp:extent cx="3017520" cy="1421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421506"/>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Architecture. Solid arrows: requests through the API, the only write path. Dashed: read-only Firestore listeners, constrained by security rules.</w:t>
      </w:r>
    </w:p>
    <w:p>
      <w:pPr>
        <w:spacing w:after="40" w:before="100"/>
      </w:pPr>
      <w:r>
        <w:rPr>
          <w:rFonts w:ascii="Times New Roman" w:cs="Times New Roman" w:eastAsia="Times New Roman" w:hAnsi="Times New Roman"/>
          <w:i/>
          <w:iCs/>
          <w:sz w:val="20"/>
          <w:szCs w:val="20"/>
        </w:rPr>
        <w:t xml:space="preserve">B. Priority Rule</w:t>
      </w:r>
    </w:p>
    <w:p>
      <w:pPr>
        <w:spacing w:after="0" w:line="230"/>
        <w:ind w:firstLine="202"/>
        <w:jc w:val="both"/>
      </w:pPr>
      <w:r>
        <w:rPr>
          <w:rFonts w:ascii="Times New Roman" w:cs="Times New Roman" w:eastAsia="Times New Roman" w:hAnsi="Times New Roman"/>
          <w:sz w:val="20"/>
          <w:szCs w:val="20"/>
        </w:rPr>
        <w:t xml:space="preserve">Each request r is scored at submission:</w:t>
      </w:r>
    </w:p>
    <w:p>
      <w:pPr>
        <w:tabs>
          <w:tab w:val="right" w:pos="4890"/>
        </w:tabs>
        <w:spacing w:after="80" w:before="80"/>
        <w:jc w:val="left"/>
      </w:pP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w</w:t>
      </w:r>
      <w:r>
        <w:rPr>
          <w:rFonts w:ascii="Times New Roman" w:cs="Times New Roman" w:eastAsia="Times New Roman" w:hAnsi="Times New Roman"/>
          <w:i/>
          <w:iCs/>
          <w:sz w:val="18"/>
          <w:szCs w:val="18"/>
          <w:vertAlign w:val="subscript"/>
        </w:rPr>
        <w:t xml:space="preserve">sev</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min(2</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30) + 5</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 min(1.5</w:t>
      </w:r>
      <w:r>
        <w:rPr>
          <w:rFonts w:ascii="Times New Roman" w:cs="Times New Roman" w:eastAsia="Times New Roman" w:hAnsi="Times New Roman"/>
          <w:i/>
          <w:iCs/>
          <w:sz w:val="18"/>
          <w:szCs w:val="18"/>
        </w:rPr>
        <w:t xml:space="preserve">h</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20)	(1)</w:t>
      </w:r>
    </w:p>
    <w:p>
      <w:pPr>
        <w:spacing w:after="0" w:line="23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sev</w:t>
      </w:r>
      <w:r>
        <w:rPr>
          <w:rFonts w:ascii="Times New Roman" w:cs="Times New Roman" w:eastAsia="Times New Roman" w:hAnsi="Times New Roman"/>
          <w:sz w:val="20"/>
          <w:szCs w:val="20"/>
        </w:rPr>
        <w:t xml:space="preserve">∈{40,30,20,10} (critical to low),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the number of people affected,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≤4 counts vulnerable groups (children, elderly, pregnant women, people with disabilities)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hours waited. Three points need stating. (i) The vulnerable term reaches at most 20, so the cap of 25 in the code never applies. (ii) The score is computed once, when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≈0, so waiting time does not yet affect rank; the rule effectively has </w:t>
      </w:r>
      <w:r>
        <w:rPr>
          <w:rFonts w:ascii="Times New Roman" w:cs="Times New Roman" w:eastAsia="Times New Roman" w:hAnsi="Times New Roman"/>
          <w:i/>
          <w:iCs/>
          <w:sz w:val="20"/>
          <w:szCs w:val="20"/>
        </w:rPr>
        <w:t xml:space="preserve">three</w:t>
      </w:r>
      <w:r>
        <w:rPr>
          <w:rFonts w:ascii="Times New Roman" w:cs="Times New Roman" w:eastAsia="Times New Roman" w:hAnsi="Times New Roman"/>
          <w:sz w:val="20"/>
          <w:szCs w:val="20"/>
        </w:rPr>
        <w:t xml:space="preserve"> active criteria and ranges from 10 to 90. (iii) The people term saturates at 15 people, so a household of 15 and a village of 1,500 score the same. The weights were set by the designers and are not taken from Sphere standards or DMC guidance. Section V-C tests their sensitivity.</w:t>
      </w:r>
    </w:p>
    <w:p>
      <w:pPr>
        <w:spacing w:after="40" w:before="100"/>
      </w:pPr>
      <w:r>
        <w:rPr>
          <w:rFonts w:ascii="Times New Roman" w:cs="Times New Roman" w:eastAsia="Times New Roman" w:hAnsi="Times New Roman"/>
          <w:i/>
          <w:iCs/>
          <w:sz w:val="20"/>
          <w:szCs w:val="20"/>
        </w:rPr>
        <w:t xml:space="preserve">C. Matching and Assignment</w:t>
      </w:r>
    </w:p>
    <w:p>
      <w:pPr>
        <w:spacing w:after="0" w:line="230"/>
        <w:ind w:firstLine="202"/>
        <w:jc w:val="both"/>
      </w:pPr>
      <w:r>
        <w:rPr>
          <w:rFonts w:ascii="Times New Roman" w:cs="Times New Roman" w:eastAsia="Times New Roman" w:hAnsi="Times New Roman"/>
          <w:sz w:val="20"/>
          <w:szCs w:val="20"/>
        </w:rPr>
        <w:t xml:space="preserve">Algorithm 1 picks the highest-scoring verified request item in the donation's category and uses Haversine distance only to break ties. Each match consumes the smaller of the donation's remainder and the item's need. Volunteers are ranked by distance to pickup and then by active workload. Siblings from one multi-item drop-off are kept with the same volunteer where possible. The matcher reads and then writes </w:t>
      </w:r>
      <w:r>
        <w:rPr>
          <w:rFonts w:ascii="Times New Roman" w:cs="Times New Roman" w:eastAsia="Times New Roman" w:hAnsi="Times New Roman"/>
          <w:i/>
          <w:iCs/>
          <w:sz w:val="20"/>
          <w:szCs w:val="20"/>
        </w:rPr>
        <w:t xml:space="preserve">without</w:t>
      </w:r>
      <w:r>
        <w:rPr>
          <w:rFonts w:ascii="Times New Roman" w:cs="Times New Roman" w:eastAsia="Times New Roman" w:hAnsi="Times New Roman"/>
          <w:sz w:val="20"/>
          <w:szCs w:val="20"/>
        </w:rPr>
        <w:t xml:space="preserve"> a Firestore transaction (Section V-B).</w:t>
      </w:r>
    </w:p>
    <w:p>
      <w:pPr>
        <w:spacing w:before="120"/>
      </w:pPr>
    </w:p>
    <w:tbl>
      <w:tblPr>
        <w:tblW w:type="dxa" w:w="4900"/>
        <w:jc w:val="center"/>
        <w:tblBorders>
          <w:top w:val="none" w:color="FFFFFF" w:sz="0"/>
          <w:left w:val="none" w:color="FFFFFF" w:sz="0"/>
          <w:bottom w:val="none" w:color="FFFFFF" w:sz="0"/>
          <w:right w:val="none" w:color="FFFFFF" w:sz="0"/>
          <w:insideH w:val="none" w:color="FFFFFF" w:sz="0"/>
          <w:insideV w:val="none" w:color="FFFFFF" w:sz="0"/>
        </w:tblBorders>
      </w:tblPr>
      <w:tblGrid>
        <w:gridCol w:w="4900"/>
      </w:tblGrid>
      <w:tr>
        <w:tc>
          <w:tcPr>
            <w:tcW w:type="dxa" w:w="4900"/>
            <w:tcBorders>
              <w:top w:val="single" w:color="000000" w:sz="6"/>
              <w:left w:val="none" w:color="FFFFFF" w:sz="0"/>
              <w:bottom w:val="single" w:color="000000" w:sz="6"/>
              <w:right w:val="none" w:color="FFFFFF" w:sz="0"/>
            </w:tcBorders>
            <w:tcMar>
              <w:top w:type="dxa" w:w="40"/>
              <w:left w:type="dxa" w:w="60"/>
              <w:bottom w:type="dxa" w:w="40"/>
              <w:right w:type="dxa" w:w="60"/>
            </w:tcMar>
          </w:tcPr>
          <w:p>
            <w:pPr>
              <w:pBdr>
                <w:bottom w:val="single" w:color="000000" w:sz="3" w:space="2"/>
              </w:pBdr>
              <w:spacing w:after="4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Priority-First Matching (Deployed)</w:t>
            </w:r>
          </w:p>
          <w:p>
            <w:pPr>
              <w:spacing w:after="0"/>
            </w:pPr>
            <w:r>
              <w:rPr>
                <w:rFonts w:ascii="Times New Roman" w:cs="Times New Roman" w:eastAsia="Times New Roman" w:hAnsi="Times New Roman"/>
                <w:sz w:val="15"/>
                <w:szCs w:val="15"/>
              </w:rPr>
              <w:t xml:space="preserve"/>
            </w:r>
            <w:r>
              <w:rPr>
                <w:rFonts w:ascii="Times New Roman" w:cs="Times New Roman" w:eastAsia="Times New Roman" w:hAnsi="Times New Roman"/>
                <w:b/>
                <w:bCs/>
                <w:sz w:val="17"/>
                <w:szCs w:val="17"/>
              </w:rPr>
              <w:t xml:space="preserve">Require:</w:t>
            </w:r>
            <w:r>
              <w:rPr>
                <w:rFonts w:ascii="Times New Roman" w:cs="Times New Roman" w:eastAsia="Times New Roman" w:hAnsi="Times New Roman"/>
                <w:sz w:val="17"/>
                <w:szCs w:val="17"/>
              </w:rPr>
              <w:t xml:space="preserve"> donation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location 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remainder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p>
          <w:p>
            <w:pPr>
              <w:spacing w:after="0"/>
            </w:pPr>
            <w:r>
              <w:rPr>
                <w:rFonts w:ascii="Times New Roman" w:cs="Times New Roman" w:eastAsia="Times New Roman" w:hAnsi="Times New Roman"/>
                <w:sz w:val="15"/>
                <w:szCs w:val="15"/>
              </w:rPr>
              <w:t xml:space="preserve">1: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pending items of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verified requests</w:t>
            </w:r>
          </w:p>
          <w:p>
            <w:pPr>
              <w:spacing w:after="0"/>
            </w:pPr>
            <w:r>
              <w:rPr>
                <w:rFonts w:ascii="Times New Roman" w:cs="Times New Roman" w:eastAsia="Times New Roman" w:hAnsi="Times New Roman"/>
                <w:sz w:val="15"/>
                <w:szCs w:val="15"/>
              </w:rPr>
              <w:t xml:space="preserve">2: </w:t>
            </w:r>
            <w:r>
              <w:rPr>
                <w:rFonts w:ascii="Times New Roman" w:cs="Times New Roman" w:eastAsia="Times New Roman" w:hAnsi="Times New Roman"/>
                <w:sz w:val="17"/>
                <w:szCs w:val="17"/>
              </w:rPr>
              <w:t xml:space="preserve">sort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by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desc., then Haversine(ℓ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ℓ</w:t>
            </w:r>
            <w:r>
              <w:rPr>
                <w:rFonts w:ascii="Times New Roman" w:cs="Times New Roman" w:eastAsia="Times New Roman" w:hAnsi="Times New Roman"/>
                <w:i/>
                <w:iCs/>
                <w:sz w:val="17"/>
                <w:szCs w:val="17"/>
                <w:vertAlign w:val="subscript"/>
              </w:rPr>
              <w:t xml:space="preserve">r</w:t>
            </w:r>
            <w:r>
              <w:rPr>
                <w:rFonts w:ascii="Times New Roman" w:cs="Times New Roman" w:eastAsia="Times New Roman" w:hAnsi="Times New Roman"/>
                <w:sz w:val="17"/>
                <w:szCs w:val="17"/>
              </w:rPr>
              <w:t xml:space="preserve">) asc.</w:t>
            </w:r>
          </w:p>
          <w:p>
            <w:pPr>
              <w:spacing w:after="0"/>
            </w:pPr>
            <w:r>
              <w:rPr>
                <w:rFonts w:ascii="Times New Roman" w:cs="Times New Roman" w:eastAsia="Times New Roman" w:hAnsi="Times New Roman"/>
                <w:sz w:val="15"/>
                <w:szCs w:val="15"/>
              </w:rPr>
              <w:t xml:space="preserve">3: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 </w:t>
            </w:r>
            <w:r>
              <w:rPr>
                <w:rFonts w:ascii="Times New Roman" w:cs="Times New Roman" w:eastAsia="Times New Roman" w:hAnsi="Times New Roman"/>
                <w:b/>
                <w:bCs/>
                <w:sz w:val="17"/>
                <w:szCs w:val="17"/>
              </w:rPr>
              <w:t xml:space="preserve">then return</w:t>
            </w:r>
            <w:r>
              <w:rPr>
                <w:rFonts w:ascii="Times New Roman" w:cs="Times New Roman" w:eastAsia="Times New Roman" w:hAnsi="Times New Roman"/>
                <w:sz w:val="17"/>
                <w:szCs w:val="17"/>
              </w:rPr>
              <w:t xml:space="preserve"> no match</w:t>
            </w:r>
          </w:p>
          <w:p>
            <w:pPr>
              <w:spacing w:after="0"/>
            </w:pPr>
            <w:r>
              <w:rPr>
                <w:rFonts w:ascii="Times New Roman" w:cs="Times New Roman" w:eastAsia="Times New Roman" w:hAnsi="Times New Roman"/>
                <w:sz w:val="15"/>
                <w:szCs w:val="15"/>
              </w:rPr>
              <w:t xml:space="preserve">4: </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[0]; mark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matched;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min(</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need</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w:t>
            </w:r>
          </w:p>
          <w:p>
            <w:pPr>
              <w:spacing w:after="0"/>
            </w:pPr>
            <w:r>
              <w:rPr>
                <w:rFonts w:ascii="Times New Roman" w:cs="Times New Roman" w:eastAsia="Times New Roman" w:hAnsi="Times New Roman"/>
                <w:sz w:val="15"/>
                <w:szCs w:val="15"/>
              </w:rPr>
              <w:t xml:space="preserve">5: </w:t>
            </w:r>
            <w:r>
              <w:rPr>
                <w:rFonts w:ascii="Times New Roman" w:cs="Times New Roman" w:eastAsia="Times New Roman" w:hAnsi="Times New Roman"/>
                <w:sz w:val="17"/>
                <w:szCs w:val="17"/>
              </w:rPr>
              <w:t xml:space="preserve">create delivery; self-delivery is auto-accepted, otherwise assign the nearest available volunteer (ties: fewest active deliveries)</w:t>
            </w:r>
          </w:p>
        </w:tc>
      </w:tr>
    </w:tbl>
    <w:p>
      <w:pPr>
        <w:spacing w:after="80"/>
      </w:pPr>
    </w:p>
    <w:p>
      <w:pPr>
        <w:spacing w:after="40" w:before="100"/>
      </w:pPr>
      <w:r>
        <w:rPr>
          <w:rFonts w:ascii="Times New Roman" w:cs="Times New Roman" w:eastAsia="Times New Roman" w:hAnsi="Times New Roman"/>
          <w:i/>
          <w:iCs/>
          <w:sz w:val="20"/>
          <w:szCs w:val="20"/>
        </w:rPr>
        <w:t xml:space="preserve">D. Handover Check and Threat Model</w:t>
      </w:r>
    </w:p>
    <w:p>
      <w:pPr>
        <w:spacing w:after="0" w:line="230"/>
        <w:ind w:firstLine="202"/>
        <w:jc w:val="both"/>
      </w:pPr>
      <w:r>
        <w:rPr>
          <w:rFonts w:ascii="Times New Roman" w:cs="Times New Roman" w:eastAsia="Times New Roman" w:hAnsi="Times New Roman"/>
          <w:sz w:val="20"/>
          <w:szCs w:val="20"/>
        </w:rPr>
        <w:t xml:space="preserve">When a delivery is marked </w:t>
      </w:r>
      <w:r>
        <w:rPr>
          <w:rFonts w:ascii="Times New Roman" w:cs="Times New Roman" w:eastAsia="Times New Roman" w:hAnsi="Times New Roman"/>
          <w:i/>
          <w:iCs/>
          <w:sz w:val="20"/>
          <w:szCs w:val="20"/>
        </w:rPr>
        <w:t xml:space="preserve">delivered</w:t>
      </w:r>
      <w:r>
        <w:rPr>
          <w:rFonts w:ascii="Times New Roman" w:cs="Times New Roman" w:eastAsia="Times New Roman" w:hAnsi="Times New Roman"/>
          <w:sz w:val="20"/>
          <w:szCs w:val="20"/>
        </w:rPr>
        <w:t xml:space="preserve">, the server issues a single-use 128-bit token. The token is shown as a QR code only to the party holding the goods and is removed from the victim's API responses. The server confirms the delivery only if the caller owns the request and the token matches; otherwise it returns HTTP 403. This prevents (a) one-sided confirmation by a deliverer, (b) confirmation of someone else's delivery and (c) guessing the token. It does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prove that goods physically changed hands. A photographed QR code could be relayed remotely, and a colluding victim and volunteer can confirm a delivery that never happened. We therefore treat the scan as evidence of handover (DP2), not proof, and recommend audit sampling. Self-reported severity and vulnerability can also be inflated. Mitigations are administrator verification, duplicate flags on NIC number or address, and an append-only audit log. Verification approves or rejects a request but does not adjust its score, which leaves a gap.</w:t>
      </w:r>
    </w:p>
    <w:p>
      <w:pPr>
        <w:spacing w:after="40" w:before="100"/>
      </w:pPr>
      <w:r>
        <w:rPr>
          <w:rFonts w:ascii="Times New Roman" w:cs="Times New Roman" w:eastAsia="Times New Roman" w:hAnsi="Times New Roman"/>
          <w:i/>
          <w:iCs/>
          <w:sz w:val="20"/>
          <w:szCs w:val="20"/>
        </w:rPr>
        <w:t xml:space="preserve">E. Privacy and Other Safeguards</w:t>
      </w:r>
    </w:p>
    <w:p>
      <w:pPr>
        <w:spacing w:after="0" w:line="230"/>
        <w:ind w:firstLine="202"/>
        <w:jc w:val="both"/>
      </w:pPr>
      <w:r>
        <w:rPr>
          <w:rFonts w:ascii="Times New Roman" w:cs="Times New Roman" w:eastAsia="Times New Roman" w:hAnsi="Times New Roman"/>
          <w:sz w:val="20"/>
          <w:szCs w:val="20"/>
        </w:rPr>
        <w:t xml:space="preserve">NIC numbers, addresses and exact locations are visible only to their owner and to administrators. Public endpoints return district aggregates (DP3), in line with Sri Lanka's Personal Data Protection Act, No. 9 of 2022 [27]. People without an NIC, such as children or undocumented people, cannot be checked for duplicates by NIC. The SOS module is a supplementary channel and links users to the official DMC 117 hotline [28]. It does not replace official dispatch and has not been evaluated in a real emergency.</w:t>
      </w:r>
    </w:p>
    <w:p>
      <w:pPr>
        <w:spacing w:after="0" w:line="230"/>
        <w:ind w:firstLine="202"/>
        <w:jc w:val="both"/>
      </w:pPr>
      <w:r>
        <w:rPr>
          <w:rFonts w:ascii="Times New Roman" w:cs="Times New Roman" w:eastAsia="Times New Roman" w:hAnsi="Times New Roman"/>
          <w:sz w:val="20"/>
          <w:szCs w:val="20"/>
        </w:rPr>
        <w:t xml:space="preserve">An auxiliary, separately evaluated flood-risk layer (a logistic regression trained on DesInventar and NASA POWER data) is shown on the maps. It never affects allocation.</w:t>
      </w:r>
    </w:p>
    <w:p>
      <w:pPr>
        <w:spacing w:after="80" w:before="160"/>
        <w:jc w:val="center"/>
      </w:pPr>
      <w:r>
        <w:rPr>
          <w:rFonts w:ascii="Times New Roman" w:cs="Times New Roman" w:eastAsia="Times New Roman" w:hAnsi="Times New Roman"/>
          <w:smallCaps/>
          <w:sz w:val="20"/>
          <w:szCs w:val="20"/>
        </w:rPr>
        <w:t xml:space="preserve">V. Evaluation</w:t>
      </w:r>
    </w:p>
    <w:p>
      <w:pPr>
        <w:spacing w:after="40" w:before="100"/>
      </w:pPr>
      <w:r>
        <w:rPr>
          <w:rFonts w:ascii="Times New Roman" w:cs="Times New Roman" w:eastAsia="Times New Roman" w:hAnsi="Times New Roman"/>
          <w:i/>
          <w:iCs/>
          <w:sz w:val="20"/>
          <w:szCs w:val="20"/>
        </w:rPr>
        <w:t xml:space="preserve">A. Verification and Traceability</w:t>
      </w:r>
    </w:p>
    <w:p>
      <w:pPr>
        <w:spacing w:after="0" w:line="230"/>
        <w:ind w:firstLine="202"/>
        <w:jc w:val="both"/>
      </w:pPr>
      <w:r>
        <w:rPr>
          <w:rFonts w:ascii="Times New Roman" w:cs="Times New Roman" w:eastAsia="Times New Roman" w:hAnsi="Times New Roman"/>
          <w:sz w:val="20"/>
          <w:szCs w:val="20"/>
        </w:rPr>
        <w:t xml:space="preserve">Table II maps the 33 FRs to the strongest evidence available for each. Twenty-one FRs have a passing formal test case, eleven were checked only live during development, and FR-11 (rejection reopening a donation) is implemented but was not separately tested. Evidence for FR-12 is partial because the camera round trip could not be exercised. Evidence for FR-27 is partial because on-device push delivery was not observed. Evidence for FR-30 is partial because the mobile app compiles and runs, but its maps and push notifications have not been verified on a physical device. The automated suites passed 77/77 unit tests, 48/48 API checks across 14 route files and 45/45 direct Firestore security-rule checks. The rule tests found an over-broad read rule on deliveries, which was corrected and re-verified.</w:t>
      </w:r>
    </w:p>
    <w:p>
      <w:pPr>
        <w:keepNext/>
        <w:keepLines/>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Requirement Evidence by Feature Area</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600"/>
        <w:gridCol w:w="750"/>
        <w:gridCol w:w="950"/>
        <w:gridCol w:w="850"/>
      </w:tblGrid>
      <w:tr>
        <w:trPr>
          <w:cantSplit/>
        </w:trPr>
        <w:tc>
          <w:tcPr>
            <w:tcW w:type="dxa" w:w="1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Area</w:t>
            </w:r>
          </w:p>
        </w:tc>
        <w:tc>
          <w:tcPr>
            <w:tcW w:type="dxa" w:w="6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FRs</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Formal test</w:t>
            </w:r>
          </w:p>
        </w:tc>
        <w:tc>
          <w:tcPr>
            <w:tcW w:type="dxa" w:w="9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Dev. check only</w:t>
            </w:r>
          </w:p>
        </w:tc>
        <w:tc>
          <w:tcPr>
            <w:tcW w:type="dxa" w:w="8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Not tested</w:t>
            </w:r>
          </w:p>
        </w:tc>
      </w:tr>
      <w:tr>
        <w:trPr>
          <w:cantSplit/>
        </w:trPr>
        <w:tc>
          <w:tcPr>
            <w:tcW w:type="dxa" w:w="1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 Intake &amp; administration</w:t>
            </w:r>
          </w:p>
        </w:tc>
        <w:tc>
          <w:tcPr>
            <w:tcW w:type="dxa" w:w="6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01–07</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w:t>
            </w:r>
          </w:p>
        </w:tc>
        <w:tc>
          <w:tcPr>
            <w:tcW w:type="dxa" w:w="9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B Donation &amp; delivery</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08–14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 (FR-11)</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C Maps &amp; forecasting</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15–19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 Emergency oversight</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20–24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E Engagement &amp; platforms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25–30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 Inventory &amp; coordination</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31–33</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sz w:val="15"/>
                <w:szCs w:val="15"/>
              </w:rPr>
              <w:t xml:space="preserve">Total</w:t>
            </w:r>
          </w:p>
        </w:tc>
        <w:tc>
          <w:tcPr>
            <w:tcW w:type="dxa" w:w="6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33</w:t>
            </w:r>
          </w:p>
        </w:tc>
        <w:tc>
          <w:tcPr>
            <w:tcW w:type="dxa" w:w="7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21</w:t>
            </w:r>
          </w:p>
        </w:tc>
        <w:tc>
          <w:tcPr>
            <w:tcW w:type="dxa" w:w="9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11</w:t>
            </w:r>
          </w:p>
        </w:tc>
        <w:tc>
          <w:tcPr>
            <w:tcW w:type="dxa" w:w="8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w:t>
            </w:r>
          </w:p>
        </w:tc>
      </w:tr>
    </w:tbl>
    <w:p>
      <w:pPr>
        <w:spacing w:after="100"/>
      </w:pPr>
    </w:p>
    <w:p>
      <w:pPr>
        <w:spacing w:after="40" w:before="100"/>
      </w:pPr>
      <w:r>
        <w:rPr>
          <w:rFonts w:ascii="Times New Roman" w:cs="Times New Roman" w:eastAsia="Times New Roman" w:hAnsi="Times New Roman"/>
          <w:i/>
          <w:iCs/>
          <w:sz w:val="20"/>
          <w:szCs w:val="20"/>
        </w:rPr>
        <w:t xml:space="preserve">B. Concurrency and Performance</w:t>
      </w:r>
    </w:p>
    <w:p>
      <w:pPr>
        <w:spacing w:after="0" w:line="230"/>
        <w:ind w:firstLine="202"/>
        <w:jc w:val="both"/>
      </w:pPr>
      <w:r>
        <w:rPr>
          <w:rFonts w:ascii="Times New Roman" w:cs="Times New Roman" w:eastAsia="Times New Roman" w:hAnsi="Times New Roman"/>
          <w:sz w:val="20"/>
          <w:szCs w:val="20"/>
        </w:rPr>
        <w:t xml:space="preserve">A script created 76 accounts and sent concurrent requests to a single local API instance backed by cloud Firestore. In a race probe, 30 donations competed for the same 30 items. No double allocation occurred in any recorded run. Because the matcher reads and writes without a transaction, this shows only that the race was not triggered in these runs, not that the code is correct. A partial-quantity decrement is a classic lost-update pattern, and a Firestore transaction is the appropriate fix. In two later runs, every HTTP request succeeded (the test harness skipped one acceptance because no delivery had been assigned). Mean latency per phase was 0.9–8.4 s, and concurrent matching was slowest (p95 about 9.1 s).</w:t>
      </w:r>
    </w:p>
    <w:p>
      <w:pPr>
        <w:spacing w:after="0" w:line="230"/>
        <w:ind w:firstLine="202"/>
        <w:jc w:val="both"/>
      </w:pPr>
      <w:r>
        <w:rPr>
          <w:rFonts w:ascii="Times New Roman" w:cs="Times New Roman" w:eastAsia="Times New Roman" w:hAnsi="Times New Roman"/>
          <w:sz w:val="20"/>
          <w:szCs w:val="20"/>
        </w:rPr>
        <w:t xml:space="preserve">The dashboard statistics endpoints scanned whole collections on every call, giving a p95 of about 11 s for 50 concurrent reads. A 30 s cache made this worse (p95 about 25 s) because concurrent cache misses each started their own scan, a cache stampede. Caching the in-flight promise (a single-flight pattern) reduced p95 to about 2.4 s, compared with the original uncached 11 s. The remaining 2.4 s is the cost of one full scan on a cold cache. The cache is held in memory, so on serverless hosting each new instance starts cold and instances do not share results. Precomputed aggregate documents or Firestore count queries would remove the scans. A third back-to-back run slowed markedly. We suspect Firebase rate limiting after repeated account creation, but this was not verified.</w:t>
      </w:r>
    </w:p>
    <w:p>
      <w:pPr>
        <w:spacing w:after="40" w:before="100"/>
      </w:pPr>
      <w:r>
        <w:rPr>
          <w:rFonts w:ascii="Times New Roman" w:cs="Times New Roman" w:eastAsia="Times New Roman" w:hAnsi="Times New Roman"/>
          <w:i/>
          <w:iCs/>
          <w:sz w:val="20"/>
          <w:szCs w:val="20"/>
        </w:rPr>
        <w:t xml:space="preserve">C. Allocation Simulation and Sensitivity</w:t>
      </w:r>
    </w:p>
    <w:p>
      <w:pPr>
        <w:spacing w:after="0" w:line="230"/>
        <w:ind w:firstLine="202"/>
        <w:jc w:val="both"/>
      </w:pPr>
      <w:r>
        <w:rPr>
          <w:rFonts w:ascii="Times New Roman" w:cs="Times New Roman" w:eastAsia="Times New Roman" w:hAnsi="Times New Roman"/>
          <w:sz w:val="20"/>
          <w:szCs w:val="20"/>
        </w:rPr>
        <w:t xml:space="preserve">To cover the scenario demonstration (DSRM phase 4), we simulated a 72-hour response with 3,000 requests. Requests were placed by districts' historical flood frequency from DesInventar. Supply was 70% of demand, 60% of donors were in Colombo, Gampaha and Kandy, and matching ran hourly. We ran 30 seeds and compared the deployed rule with first-in-first-out (FIFO), nearest-first and random matching, and with two variants: aging, which re-scores with the wait term each cycle, and a 100 km distance cap. The simulation models allocation only, not travel or delivery. Table III reports the results.</w:t>
      </w:r>
    </w:p>
    <w:p>
      <w:pPr>
        <w:keepNext/>
        <w:keepLines/>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Simulated Allocation (Mean of 30 Seeds; SD ≤ 0.03 for Rates)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560"/>
        <w:gridCol w:w="560"/>
        <w:gridCol w:w="720"/>
        <w:gridCol w:w="520"/>
        <w:gridCol w:w="500"/>
        <w:gridCol w:w="640"/>
      </w:tblGrid>
      <w:tr>
        <w:trPr>
          <w:cantSplit/>
        </w:trPr>
        <w:tc>
          <w:tcPr>
            <w:tcW w:type="dxa" w:w="13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Policy</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served</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Low served</w:t>
            </w:r>
          </w:p>
        </w:tc>
        <w:tc>
          <w:tcPr>
            <w:tcW w:type="dxa" w:w="7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wait (h, med.)</w:t>
            </w:r>
          </w:p>
        </w:tc>
        <w:tc>
          <w:tcPr>
            <w:tcW w:type="dxa" w:w="5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Mean km</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Gini</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Worst district</w:t>
            </w:r>
          </w:p>
        </w:tc>
      </w:tr>
      <w:tr>
        <w:trPr>
          <w:cantSplit/>
        </w:trPr>
        <w:tc>
          <w:tcPr>
            <w:tcW w:type="dxa" w:w="13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(deployed)</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.996</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.371</w:t>
            </w:r>
          </w:p>
        </w:tc>
        <w:tc>
          <w:tcPr>
            <w:tcW w:type="dxa" w:w="7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1.3</w:t>
            </w:r>
          </w:p>
        </w:tc>
        <w:tc>
          <w:tcPr>
            <w:tcW w:type="dxa" w:w="5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115</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FIFO</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28.8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.71</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Nearest-first</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16.5</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.178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.29</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Random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19.7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.72</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aging</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.379</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123</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+ 100 km</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.982</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.493</w:t>
            </w:r>
          </w:p>
        </w:tc>
        <w:tc>
          <w:tcPr>
            <w:tcW w:type="dxa" w:w="7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w:t>
            </w:r>
          </w:p>
        </w:tc>
        <w:tc>
          <w:tcPr>
            <w:tcW w:type="dxa" w:w="5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63</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.127</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.43</w:t>
            </w:r>
          </w:p>
        </w:tc>
      </w:tr>
    </w:tbl>
    <w:p>
      <w:pPr>
        <w:spacing w:after="120"/>
      </w:pPr>
      <w:r>
        <w:rPr>
          <w:rFonts w:ascii="Times New Roman" w:cs="Times New Roman" w:eastAsia="Times New Roman" w:hAnsi="Times New Roman"/>
          <w:sz w:val="14"/>
          <w:szCs w:val="14"/>
        </w:rPr>
        <w:t xml:space="preserve">Overall item fulfilment was 0.78–0.79 for every policy, so supply sets how much is delivered and the policy sets who receives it. “Served” = share of items matched within 72 h. Gini = Gini coefficient of district fulfilment ratios; Worst district = lowest district fulfilment ratio.</w:t>
      </w:r>
    </w:p>
    <w:p>
      <w:pPr>
        <w:keepNext/>
        <w:spacing w:after="40" w:before="120"/>
        <w:jc w:val="center"/>
      </w:pPr>
      <w:r>
        <w:drawing>
          <wp:inline distT="0" distB="0" distL="0" distR="0">
            <wp:extent cx="2743200" cy="20093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00933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2. Simulated service by severity (30 seeds; Deployed = priority-first; Aging and Cap 100 km are priority-first variants). Priority-first serves critical needs at the expense of low-severity ones; capped aging does not close the gap.</w:t>
      </w:r>
    </w:p>
    <w:p>
      <w:pPr>
        <w:spacing w:after="0" w:line="230"/>
        <w:ind w:firstLine="202"/>
        <w:jc w:val="both"/>
      </w:pPr>
      <w:r>
        <w:rPr>
          <w:rFonts w:ascii="Times New Roman" w:cs="Times New Roman" w:eastAsia="Times New Roman" w:hAnsi="Times New Roman"/>
          <w:sz w:val="20"/>
          <w:szCs w:val="20"/>
        </w:rPr>
        <w:t xml:space="preserve">Priority-first matching (Fig. 2) gave critical needs near-complete and fast service. Low-severity needs, however, were mostly left unmet (37% vs. 78%), confirming the risk of starvation. Aging with the current 20-point wait cap did not fix this (38%), because the cap is smaller than the 30-point severity gap between critical and low, and it delayed critical items. Any aging scheme therefore needs a larger or uncapped wait term. Distance broke ties in 72% of matches, and 28% of matches were more than 150 km apart, which is impractical for self-delivery. Nearest-first matching shortened distances but served the worst district only 29% of the time. A 100 km cap halved mean distance but lowered equity across districts (Gini 0.127). This trade-off between feasibility and equity matches [19].</w:t>
      </w:r>
    </w:p>
    <w:p>
      <w:pPr>
        <w:spacing w:after="0" w:line="230"/>
        <w:ind w:firstLine="202"/>
        <w:jc w:val="both"/>
      </w:pPr>
      <w:r>
        <w:rPr>
          <w:rFonts w:ascii="Times New Roman" w:cs="Times New Roman" w:eastAsia="Times New Roman" w:hAnsi="Times New Roman"/>
          <w:sz w:val="20"/>
          <w:szCs w:val="20"/>
        </w:rPr>
        <w:t xml:space="preserve">For sensitivity, we varied each weight by ±25–50% on 15,000 synthetic requests. Kendall's τ against the baseline ranking stayed at or above 0.83, and overlap in the top 10% stayed at or above 0.79. In 1,000 joint random perturbations, the median τ was 0.90 (5th percentile 0.80). The score took only 73 distinct values, so ties are pervasive. Replacing the people term with min(10lo</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iCs/>
          <w:sz w:val="20"/>
          <w:szCs w:val="20"/>
          <w:vertAlign w:val="subscript"/>
        </w:rPr>
        <w:t xml:space="preserve">10</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),30), which saturates near 1,000 people, changed rankings more than any weight change (τ=0.78, top-10% overlap 0.61). How the people term is scaled is therefore the most consequential open choice and should be checked against expert rankings.</w:t>
      </w:r>
    </w:p>
    <w:p>
      <w:pPr>
        <w:spacing w:after="40" w:before="100"/>
      </w:pPr>
      <w:r>
        <w:rPr>
          <w:rFonts w:ascii="Times New Roman" w:cs="Times New Roman" w:eastAsia="Times New Roman" w:hAnsi="Times New Roman"/>
          <w:i/>
          <w:iCs/>
          <w:sz w:val="20"/>
          <w:szCs w:val="20"/>
        </w:rPr>
        <w:t xml:space="preserve">D. Flood-Risk Layer</w:t>
      </w:r>
    </w:p>
    <w:p>
      <w:pPr>
        <w:spacing w:after="0" w:line="230"/>
        <w:ind w:firstLine="202"/>
        <w:jc w:val="both"/>
      </w:pPr>
      <w:r>
        <w:rPr>
          <w:rFonts w:ascii="Times New Roman" w:cs="Times New Roman" w:eastAsia="Times New Roman" w:hAnsi="Times New Roman"/>
          <w:sz w:val="20"/>
          <w:szCs w:val="20"/>
        </w:rPr>
        <w:t xml:space="preserve">In-sample, the model scored AUC-ROC 0.825, with recall of only 12.4% at a 0.5 threshold. For a temporal hold-out (training 1981–2010, testing 2011–2019, district rate computed from training years only), climatology baselines reached AUC 0.687 (district×month) and 0.720 (month only), with Brier scores of 0.123 and 0.121 against 0.128 for a constant. The model scored AUC </w:t>
      </w:r>
      <w:r>
        <w:rPr>
          <w:rFonts w:ascii="Times New Roman" w:cs="Times New Roman" w:eastAsia="Times New Roman" w:hAnsi="Times New Roman"/>
          <w:color w:val="C00000"/>
          <w:sz w:val="20"/>
          <w:szCs w:val="20"/>
        </w:rPr>
        <w:t xml:space="preserve">[X]</w:t>
      </w:r>
      <w:r>
        <w:rPr>
          <w:rFonts w:ascii="Times New Roman" w:cs="Times New Roman" w:eastAsia="Times New Roman" w:hAnsi="Times New Roman"/>
          <w:sz w:val="20"/>
          <w:szCs w:val="20"/>
        </w:rPr>
        <w:t xml:space="preserve"> and Brier </w:t>
      </w:r>
      <w:r>
        <w:rPr>
          <w:rFonts w:ascii="Times New Roman" w:cs="Times New Roman" w:eastAsia="Times New Roman" w:hAnsi="Times New Roman"/>
          <w:color w:val="C00000"/>
          <w:sz w:val="20"/>
          <w:szCs w:val="20"/>
        </w:rPr>
        <w:t xml:space="preserve">[X]</w:t>
      </w:r>
      <w:r>
        <w:rPr>
          <w:rFonts w:ascii="Times New Roman" w:cs="Times New Roman" w:eastAsia="Times New Roman" w:hAnsi="Times New Roman"/>
          <w:sz w:val="20"/>
          <w:szCs w:val="20"/>
        </w:rPr>
        <w:t xml:space="preserve">. DesInventar reporting grows sharply after 2002 and almost stops in 2020: the test-period positive rate is 0.146, against 0.087 in training. This reporting bias limits calibration, so the layer is presented as a ranking aid, not a warning tool.</w:t>
      </w:r>
    </w:p>
    <w:p>
      <w:pPr>
        <w:spacing w:after="40" w:before="100"/>
      </w:pPr>
      <w:r>
        <w:rPr>
          <w:rFonts w:ascii="Times New Roman" w:cs="Times New Roman" w:eastAsia="Times New Roman" w:hAnsi="Times New Roman"/>
          <w:i/>
          <w:iCs/>
          <w:sz w:val="20"/>
          <w:szCs w:val="20"/>
        </w:rPr>
        <w:t xml:space="preserve">E. Usability Pilot</w:t>
      </w:r>
    </w:p>
    <w:p>
      <w:pPr>
        <w:spacing w:after="0" w:line="230"/>
        <w:ind w:firstLine="202"/>
        <w:jc w:val="both"/>
      </w:pPr>
      <w:r>
        <w:rPr>
          <w:rFonts w:ascii="Times New Roman" w:cs="Times New Roman" w:eastAsia="Times New Roman" w:hAnsi="Times New Roman"/>
          <w:sz w:val="20"/>
          <w:szCs w:val="20"/>
        </w:rPr>
        <w:t xml:space="preserve">Nine participants (2 victim, 3 donor, 2 volunteer and 2 administrator roles), all students and acquaintances recruited by convenience, completed scripted think-aloud scenarios with seeded accounts in </w:t>
      </w:r>
      <w:r>
        <w:rPr>
          <w:rFonts w:ascii="Times New Roman" w:cs="Times New Roman" w:eastAsia="Times New Roman" w:hAnsi="Times New Roman"/>
          <w:color w:val="C00000"/>
          <w:sz w:val="20"/>
          <w:szCs w:val="20"/>
        </w:rPr>
        <w:t xml:space="preserve">[session language(s)]</w:t>
      </w:r>
      <w:r>
        <w:rPr>
          <w:rFonts w:ascii="Times New Roman" w:cs="Times New Roman" w:eastAsia="Times New Roman" w:hAnsi="Times New Roman"/>
          <w:sz w:val="20"/>
          <w:szCs w:val="20"/>
        </w:rPr>
        <w:t xml:space="preserve">. The developer facilitated, read each task aloud and performed back-end steps (e.g., matching) where a scenario required them. A task counted as “unaided” when no help was recorded for any of its steps. The SUS score [29] had a mean of 91.1 (SD 8.6, 95% CI 84.5–97.7, range 80–100) [30]. All tasks were completed, with six errors in total. Per-role SUS and Cronbach's α are not reported because n≤3 per role. No participant was a DMC or NGO worker or a Sinhala- or Tamil-speaking affected person. Social desirability and familiarity with the developer probably inflated scores. Three participants criticised the density and font sizes of the mobile interface.</w:t>
      </w:r>
    </w:p>
    <w:p>
      <w:pPr>
        <w:spacing w:after="80" w:before="160"/>
        <w:jc w:val="center"/>
      </w:pPr>
      <w:r>
        <w:rPr>
          <w:rFonts w:ascii="Times New Roman" w:cs="Times New Roman" w:eastAsia="Times New Roman" w:hAnsi="Times New Roman"/>
          <w:smallCaps/>
          <w:sz w:val="20"/>
          <w:szCs w:val="20"/>
        </w:rPr>
        <w:t xml:space="preserve">VI. Discussion</w:t>
      </w:r>
    </w:p>
    <w:p>
      <w:pPr>
        <w:spacing w:after="0" w:line="230"/>
        <w:jc w:val="both"/>
      </w:pPr>
      <w:r>
        <w:rPr>
          <w:rFonts w:ascii="Times New Roman" w:cs="Times New Roman" w:eastAsia="Times New Roman" w:hAnsi="Times New Roman"/>
          <w:i/>
          <w:iCs/>
          <w:sz w:val="20"/>
          <w:szCs w:val="20"/>
        </w:rPr>
        <w:t xml:space="preserve">Research question.</w:t>
      </w:r>
      <w:r>
        <w:rPr>
          <w:rFonts w:ascii="Times New Roman" w:cs="Times New Roman" w:eastAsia="Times New Roman" w:hAnsi="Times New Roman"/>
          <w:sz w:val="20"/>
          <w:szCs w:val="20"/>
        </w:rPr>
        <w:t xml:space="preserve"> The artefact </w:t>
      </w:r>
      <w:r>
        <w:rPr>
          <w:rFonts w:ascii="Times New Roman" w:cs="Times New Roman" w:eastAsia="Times New Roman" w:hAnsi="Times New Roman"/>
          <w:i/>
          <w:iCs/>
          <w:sz w:val="20"/>
          <w:szCs w:val="20"/>
        </w:rPr>
        <w:t xml:space="preserve">supports</w:t>
      </w:r>
      <w:r>
        <w:rPr>
          <w:rFonts w:ascii="Times New Roman" w:cs="Times New Roman" w:eastAsia="Times New Roman" w:hAnsi="Times New Roman"/>
          <w:sz w:val="20"/>
          <w:szCs w:val="20"/>
        </w:rPr>
        <w:t xml:space="preserve"> transparency and coordination: allocations can be traced to disclosed inputs (DP1), handovers leave verifiable evidence (DP2), and aggregate status is public (DP3). It does not yet show improved efficiency or equity. The simulation instead shows that a disclosed priority rule makes its trade-offs visible, including starvation of low-severity needs and long matching distances, so they can be debated and tuned. That visibility is the main practical value of an explainable rule. Compared with Sahana [11], the added value lies in the published rule, the handover check and public aggregates. It does not lie in integration itself.</w:t>
      </w:r>
    </w:p>
    <w:p>
      <w:pPr>
        <w:spacing w:after="0" w:line="230"/>
        <w:jc w:val="both"/>
      </w:pPr>
      <w:r>
        <w:rPr>
          <w:rFonts w:ascii="Times New Roman" w:cs="Times New Roman" w:eastAsia="Times New Roman" w:hAnsi="Times New Roman"/>
          <w:i/>
          <w:iCs/>
          <w:sz w:val="20"/>
          <w:szCs w:val="20"/>
        </w:rPr>
        <w:t xml:space="preserve">Engineering lesson.</w:t>
      </w:r>
      <w:r>
        <w:rPr>
          <w:rFonts w:ascii="Times New Roman" w:cs="Times New Roman" w:eastAsia="Times New Roman" w:hAnsi="Times New Roman"/>
          <w:sz w:val="20"/>
          <w:szCs w:val="20"/>
        </w:rPr>
        <w:t xml:space="preserve"> Single-flight caching avoids stampedes but, on serverless hosting, should be backed by precomputed aggregates.</w:t>
      </w:r>
    </w:p>
    <w:p>
      <w:pPr>
        <w:spacing w:after="40" w:before="100"/>
      </w:pPr>
      <w:r>
        <w:rPr>
          <w:rFonts w:ascii="Times New Roman" w:cs="Times New Roman" w:eastAsia="Times New Roman" w:hAnsi="Times New Roman"/>
          <w:i/>
          <w:iCs/>
          <w:sz w:val="20"/>
          <w:szCs w:val="20"/>
        </w:rPr>
        <w:t xml:space="preserve">A. Threats to Validity</w:t>
      </w:r>
    </w:p>
    <w:p>
      <w:pPr>
        <w:spacing w:after="0" w:line="230"/>
        <w:ind w:firstLine="202"/>
        <w:jc w:val="both"/>
      </w:pP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the race probe cannot prove that concurrent matching is correct. The load tests ran against one local instance, not the serverless deployment. The usability sessions were facilitated by the developer.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simulation's inputs (severity mix, donor concentration, supply ratio) are assumptions. The usability sample is small and unrepresentative, and the rule weights are not validated by experts.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“served” measures allocation, not delivered aid. SUS measures perceived usability, not coordination outcomes. Flood labels record reported incidents, not floods that occurred. </w:t>
      </w:r>
      <w:r>
        <w:rPr>
          <w:rFonts w:ascii="Times New Roman" w:cs="Times New Roman" w:eastAsia="Times New Roman" w:hAnsi="Times New Roman"/>
          <w:i/>
          <w:iCs/>
          <w:sz w:val="20"/>
          <w:szCs w:val="20"/>
        </w:rPr>
        <w:t xml:space="preserve">Coverage:</w:t>
      </w:r>
      <w:r>
        <w:rPr>
          <w:rFonts w:ascii="Times New Roman" w:cs="Times New Roman" w:eastAsia="Times New Roman" w:hAnsi="Times New Roman"/>
          <w:sz w:val="20"/>
          <w:szCs w:val="20"/>
        </w:rPr>
        <w:t xml:space="preserve"> the platform needs connectivity and a smartphone. SMS is outbound only; there is no USSD, call-centre or offline QR fallback. Sinhala and Tamil strings are machine-translated and unreviewed, per-request scoring treats water and clothing as equally urgent, and every request waits for manual administrator verification, which becomes a bottleneck in a surge unless verification is delegated to district officers.</w:t>
      </w:r>
    </w:p>
    <w:p>
      <w:pPr>
        <w:spacing w:after="80" w:before="160"/>
        <w:jc w:val="center"/>
      </w:pPr>
      <w:r>
        <w:rPr>
          <w:rFonts w:ascii="Times New Roman" w:cs="Times New Roman" w:eastAsia="Times New Roman" w:hAnsi="Times New Roman"/>
          <w:smallCaps/>
          <w:sz w:val="20"/>
          <w:szCs w:val="20"/>
        </w:rPr>
        <w:t xml:space="preserve">VII. Conclusion</w:t>
      </w:r>
    </w:p>
    <w:p>
      <w:pPr>
        <w:spacing w:after="0" w:line="230"/>
        <w:ind w:firstLine="202"/>
        <w:jc w:val="both"/>
      </w:pPr>
      <w:r>
        <w:rPr>
          <w:rFonts w:ascii="Times New Roman" w:cs="Times New Roman" w:eastAsia="Times New Roman" w:hAnsi="Times New Roman"/>
          <w:sz w:val="20"/>
          <w:szCs w:val="20"/>
        </w:rPr>
        <w:t xml:space="preserve">We presented a disaster-aid platform for Sri Lanka built on explicit design principles and evaluated with complementary methods. The disclosed rule served critical needs quickly. Simulation exposed its starvation and distance costs, and testing exposed and fixed real concurrency and caching defects. Future work comprises: transactional matching; uncapped aging; a distance-feasibility threshold and category-specific urgency; validation of the weights through expert ranking with DMC and NGO staff; offline and SMS intake; held-out model validation; and a larger, representative usability study before any field pilot.</w:t>
      </w:r>
    </w:p>
    <w:p>
      <w:pPr>
        <w:spacing w:after="0" w:line="230"/>
        <w:ind w:firstLine="202"/>
        <w:jc w:val="both"/>
      </w:pPr>
      <w:r>
        <w:rPr>
          <w:rFonts w:ascii="Times New Roman" w:cs="Times New Roman" w:eastAsia="Times New Roman" w:hAnsi="Times New Roman"/>
          <w:i/>
          <w:iCs/>
          <w:sz w:val="20"/>
          <w:szCs w:val="20"/>
        </w:rPr>
        <w:t xml:space="preserve">Data availability:</w:t>
      </w:r>
      <w:r>
        <w:rPr>
          <w:rFonts w:ascii="Times New Roman" w:cs="Times New Roman" w:eastAsia="Times New Roman" w:hAnsi="Times New Roman"/>
          <w:sz w:val="20"/>
          <w:szCs w:val="20"/>
        </w:rPr>
        <w:t xml:space="preserve"> code, test scripts and simulation inputs are available at </w:t>
      </w:r>
      <w:r>
        <w:rPr>
          <w:rFonts w:ascii="Times New Roman" w:cs="Times New Roman" w:eastAsia="Times New Roman" w:hAnsi="Times New Roman"/>
          <w:color w:val="C00000"/>
          <w:sz w:val="20"/>
          <w:szCs w:val="20"/>
        </w:rPr>
        <w:t xml:space="preserve">[anonymised repository link]</w:t>
      </w:r>
      <w:r>
        <w:rPr>
          <w:rFonts w:ascii="Times New Roman" w:cs="Times New Roman" w:eastAsia="Times New Roman" w:hAnsi="Times New Roman"/>
          <w:sz w:val="20"/>
          <w:szCs w:val="20"/>
        </w:rPr>
        <w:t xml:space="preserve">.</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ACAPS, “Anticipatory briefing note: Sri Lanka – flooding,” [Online]. Available: https://www.acaps.org/fileadmin/Data_Product/Main_media/20240612_ACAPS_Anticipatory_note_Sri_Lanka_Flooding.pdf, Jun. 2024,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UN Office for the Coordination of Humanitarian Affairs, “Sri Lanka: Cyclone Ditwah – situation report no. 11 (as of 3 April 2026),” [Online]. Available: https://reliefweb.int/report/sri-lanka/sri-lanka-cyclone-ditwah-situation-report-no-11-3-april-2026, Apr. 2026,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United Nations Sri Lanka, “UN and partners mark the end of their emergency response to Cyclone Ditwah,” [Online]. Available: https://srilanka.un.org/en/317103-un-and-partners-mark-end-their-emergency-response-cyclone-ditwah, Jun.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World Bank, “Damage from Cyclone Ditwah in Sri Lanka estimated at $4.1 billion,” [Online]. Available: https://www.worldbank.org/en/news/press-release/2025/12/22/damage-from-cyclone-ditwah-in-sri-lanka-estimated-at-4-1-billion, Dec. 2025,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U. Rajapaksha, C. Abeysena, A. Balasuriya, M. S. D. Wijesinghe, S. Manilgama, and Y. A. Alemu, “Incidence management system of the healthcare institutions for disaster management in Sri Lanka,” </w:t>
      </w:r>
      <w:r>
        <w:rPr>
          <w:rFonts w:ascii="Times New Roman" w:cs="Times New Roman" w:eastAsia="Times New Roman" w:hAnsi="Times New Roman"/>
          <w:i/>
          <w:iCs/>
          <w:sz w:val="16"/>
          <w:szCs w:val="16"/>
        </w:rPr>
        <w:t xml:space="preserve">BMC Emergency Medicine</w:t>
      </w:r>
      <w:r>
        <w:rPr>
          <w:rFonts w:ascii="Times New Roman" w:cs="Times New Roman" w:eastAsia="Times New Roman" w:hAnsi="Times New Roman"/>
          <w:sz w:val="16"/>
          <w:szCs w:val="16"/>
        </w:rPr>
        <w:t xml:space="preserve">, vol. 23, no. 1, p. 10, 2023.</w:t>
      </w:r>
    </w:p>
    <w:p>
      <w:pPr>
        <w:tabs>
          <w:tab w:val="left" w:pos="360"/>
        </w:tabs>
        <w:spacing w:after="3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Y. Karunarathne and D. R. Gress, “The role of organizational networks in ameliorating flood disaster impacts: A case study of flood inundated rural and urban areas in Sri Lanka,”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p. 102819, 2022.</w:t>
      </w:r>
    </w:p>
    <w:p>
      <w:pPr>
        <w:tabs>
          <w:tab w:val="left" w:pos="360"/>
        </w:tabs>
        <w:spacing w:after="3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Yáñez-Sandivari, C. E. Cortés, and P. A. Rey, “Humanitarian logistics and emergencies management: New perspectives to a sociotechnical problem and its optimization approach management,”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52, p. 101952, 2021.</w:t>
      </w:r>
    </w:p>
    <w:p>
      <w:pPr>
        <w:tabs>
          <w:tab w:val="left" w:pos="360"/>
        </w:tabs>
        <w:spacing w:after="3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Holguín-Veras, M. Jaller, L. N. Van Wassenhove, N. Pérez, and T. Wachtendorf, “On the unique features of post-disaster humanitarian logistics,” </w:t>
      </w:r>
      <w:r>
        <w:rPr>
          <w:rFonts w:ascii="Times New Roman" w:cs="Times New Roman" w:eastAsia="Times New Roman" w:hAnsi="Times New Roman"/>
          <w:i/>
          <w:iCs/>
          <w:sz w:val="16"/>
          <w:szCs w:val="16"/>
        </w:rPr>
        <w:t xml:space="preserve">Journal of Operations Management</w:t>
      </w:r>
      <w:r>
        <w:rPr>
          <w:rFonts w:ascii="Times New Roman" w:cs="Times New Roman" w:eastAsia="Times New Roman" w:hAnsi="Times New Roman"/>
          <w:sz w:val="16"/>
          <w:szCs w:val="16"/>
        </w:rPr>
        <w:t xml:space="preserve">, vol. 30, no. 7–8, pp. 494–506, 2012.</w:t>
      </w:r>
    </w:p>
    <w:p>
      <w:pPr>
        <w:tabs>
          <w:tab w:val="left" w:pos="360"/>
        </w:tabs>
        <w:spacing w:after="3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 Abeyawardene, “Addressing the information chaos of Cyclone Ditwah,” Groundviews. [Online]. Available: https://groundviews.org/2025/12/11/addressing-the-information-chaos-of-cyclone-ditwah/, Dec.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FloodSupport.org, “FloodSupport.org,” [Online]. Available: https://floodsupport.org/,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de Silva, S. Weerawarana, and J. Weeratunga, “Humanitarian IT with open source: A case study on disaster management,” Lanka Software Foundation, Colombo, Sri Lanka, Tech. Rep., 2005, [Online]. Available: https://ict4peace.org/wp-content/uploads/2007/05/humanitarian-FOSS-casestudy-sahana.pdf.</w:t>
      </w:r>
    </w:p>
    <w:p>
      <w:pPr>
        <w:tabs>
          <w:tab w:val="left" w:pos="360"/>
        </w:tabs>
        <w:spacing w:after="30"/>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R. Samarajiva, “On Sri Lanka's failure to deploy home-grown disaster-response software,” LIRNEasia. [Online]. Available: https://lirneasia.net/2016/05/on-sri-lankas-failure-to-deploy-home-grown-disaster-response-software/, May 2016.</w:t>
      </w:r>
    </w:p>
    <w:p>
      <w:pPr>
        <w:tabs>
          <w:tab w:val="left" w:pos="360"/>
        </w:tabs>
        <w:spacing w:after="30"/>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Heinzelman and C. Waters, “Crowdsourcing crisis information in disaster-affected Haiti,” United States Institute of Peace, Washington, DC, USA, Tech. Rep., 2010.</w:t>
      </w:r>
    </w:p>
    <w:p>
      <w:pPr>
        <w:tabs>
          <w:tab w:val="left" w:pos="360"/>
        </w:tabs>
        <w:spacing w:after="30"/>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C. Reuter and M.-A. Kaufhold, “Fifteen years of social media in emergencies: A retrospective review and future directions for crisis informatics,” </w:t>
      </w:r>
      <w:r>
        <w:rPr>
          <w:rFonts w:ascii="Times New Roman" w:cs="Times New Roman" w:eastAsia="Times New Roman" w:hAnsi="Times New Roman"/>
          <w:i/>
          <w:iCs/>
          <w:sz w:val="16"/>
          <w:szCs w:val="16"/>
        </w:rPr>
        <w:t xml:space="preserve">Journal of Contingencies and Crisis Management</w:t>
      </w:r>
      <w:r>
        <w:rPr>
          <w:rFonts w:ascii="Times New Roman" w:cs="Times New Roman" w:eastAsia="Times New Roman" w:hAnsi="Times New Roman"/>
          <w:sz w:val="16"/>
          <w:szCs w:val="16"/>
        </w:rPr>
        <w:t xml:space="preserve">, vol. 26, no. 1, pp. 41–57, 2018.</w:t>
      </w:r>
    </w:p>
    <w:p>
      <w:pPr>
        <w:tabs>
          <w:tab w:val="left" w:pos="360"/>
        </w:tabs>
        <w:spacing w:after="30"/>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M. Imran, C. Castillo, J. Lucas, P. Meier, and S. Vieweg, “AIDR: Artificial intelligence for disaster response,” in </w:t>
      </w:r>
      <w:r>
        <w:rPr>
          <w:rFonts w:ascii="Times New Roman" w:cs="Times New Roman" w:eastAsia="Times New Roman" w:hAnsi="Times New Roman"/>
          <w:i/>
          <w:iCs/>
          <w:sz w:val="16"/>
          <w:szCs w:val="16"/>
        </w:rPr>
        <w:t xml:space="preserve">Proc. 23rd Int. Conf. World Wide Web (WWW '14 Companion)</w:t>
      </w:r>
      <w:r>
        <w:rPr>
          <w:rFonts w:ascii="Times New Roman" w:cs="Times New Roman" w:eastAsia="Times New Roman" w:hAnsi="Times New Roman"/>
          <w:sz w:val="16"/>
          <w:szCs w:val="16"/>
        </w:rPr>
        <w:t xml:space="preserve">, Seoul, Korea, 2014, pp. 159–162.</w:t>
      </w:r>
    </w:p>
    <w:p>
      <w:pPr>
        <w:tabs>
          <w:tab w:val="left" w:pos="360"/>
        </w:tabs>
        <w:spacing w:after="30"/>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M. Tavra, A. Lisec, M. G. Divic, and V. Cetl, “Unpacking the role of volunteered geographic information in disaster management: Focus on data quality,” </w:t>
      </w:r>
      <w:r>
        <w:rPr>
          <w:rFonts w:ascii="Times New Roman" w:cs="Times New Roman" w:eastAsia="Times New Roman" w:hAnsi="Times New Roman"/>
          <w:i/>
          <w:iCs/>
          <w:sz w:val="16"/>
          <w:szCs w:val="16"/>
        </w:rPr>
        <w:t xml:space="preserve">Geomatics, Natural Hazards and Risk</w:t>
      </w:r>
      <w:r>
        <w:rPr>
          <w:rFonts w:ascii="Times New Roman" w:cs="Times New Roman" w:eastAsia="Times New Roman" w:hAnsi="Times New Roman"/>
          <w:sz w:val="16"/>
          <w:szCs w:val="16"/>
        </w:rPr>
        <w:t xml:space="preserve">, vol. 15, no. 1, p. 2300825, 2024.</w:t>
      </w:r>
    </w:p>
    <w:p>
      <w:pPr>
        <w:tabs>
          <w:tab w:val="left" w:pos="360"/>
        </w:tabs>
        <w:spacing w:after="30"/>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A. Ronquillo, S. A. M. Simon, J. M. I. Salas, M. A. D. Madalipay, and J. M. Suba, “AidTrack: An intelligent relief distribution and tracking system for disaster response management,” </w:t>
      </w:r>
      <w:r>
        <w:rPr>
          <w:rFonts w:ascii="Times New Roman" w:cs="Times New Roman" w:eastAsia="Times New Roman" w:hAnsi="Times New Roman"/>
          <w:i/>
          <w:iCs/>
          <w:sz w:val="16"/>
          <w:szCs w:val="16"/>
        </w:rPr>
        <w:t xml:space="preserve">International Journal for Multidisciplinary Research (IJFMR)</w:t>
      </w:r>
      <w:r>
        <w:rPr>
          <w:rFonts w:ascii="Times New Roman" w:cs="Times New Roman" w:eastAsia="Times New Roman" w:hAnsi="Times New Roman"/>
          <w:sz w:val="16"/>
          <w:szCs w:val="16"/>
        </w:rPr>
        <w:t xml:space="preserve">, vol. 8, no. 3, 2026.</w:t>
      </w:r>
    </w:p>
    <w:p>
      <w:pPr>
        <w:tabs>
          <w:tab w:val="left" w:pos="360"/>
        </w:tabs>
        <w:spacing w:after="30"/>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Disaster Management Centre, Sri Lanka, “Disaster Management Centre: Official website,” [Online]. Available: https://www.dmc.gov.lk/,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M. Huang, K. R. Smilowitz, and B. Balcik, “Models for relief routing: Equity, efficiency and efficacy,” </w:t>
      </w:r>
      <w:r>
        <w:rPr>
          <w:rFonts w:ascii="Times New Roman" w:cs="Times New Roman" w:eastAsia="Times New Roman" w:hAnsi="Times New Roman"/>
          <w:i/>
          <w:iCs/>
          <w:sz w:val="16"/>
          <w:szCs w:val="16"/>
        </w:rPr>
        <w:t xml:space="preserve">Transportation Research Part E: Logistics and Transportation Review</w:t>
      </w:r>
      <w:r>
        <w:rPr>
          <w:rFonts w:ascii="Times New Roman" w:cs="Times New Roman" w:eastAsia="Times New Roman" w:hAnsi="Times New Roman"/>
          <w:sz w:val="16"/>
          <w:szCs w:val="16"/>
        </w:rPr>
        <w:t xml:space="preserve">, vol. 48, no. 1, pp. 2–18, 2012.</w:t>
      </w:r>
    </w:p>
    <w:p>
      <w:pPr>
        <w:tabs>
          <w:tab w:val="left" w:pos="360"/>
        </w:tabs>
        <w:spacing w:after="30"/>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B. Balcik, B. M. Beamon, and K. Smilowitz, “Last mile distribution in humanitarian relief,” </w:t>
      </w:r>
      <w:r>
        <w:rPr>
          <w:rFonts w:ascii="Times New Roman" w:cs="Times New Roman" w:eastAsia="Times New Roman" w:hAnsi="Times New Roman"/>
          <w:i/>
          <w:iCs/>
          <w:sz w:val="16"/>
          <w:szCs w:val="16"/>
        </w:rPr>
        <w:t xml:space="preserve">Journal of Intelligent Transportation Systems</w:t>
      </w:r>
      <w:r>
        <w:rPr>
          <w:rFonts w:ascii="Times New Roman" w:cs="Times New Roman" w:eastAsia="Times New Roman" w:hAnsi="Times New Roman"/>
          <w:sz w:val="16"/>
          <w:szCs w:val="16"/>
        </w:rPr>
        <w:t xml:space="preserve">, vol. 12, no. 2, pp. 51–63, 2008.</w:t>
      </w:r>
    </w:p>
    <w:p>
      <w:pPr>
        <w:tabs>
          <w:tab w:val="left" w:pos="360"/>
        </w:tabs>
        <w:spacing w:after="30"/>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Ghaffarian, F. R. Taghikhah, and H. R. Maier, “Explainable artificial intelligence in disaster risk management: Achievements and prospective futures,”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98, p. 104123, 2023.</w:t>
      </w:r>
    </w:p>
    <w:p>
      <w:pPr>
        <w:tabs>
          <w:tab w:val="left" w:pos="360"/>
        </w:tabs>
        <w:spacing w:after="30"/>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K C, “Blockchain based donation management in disaster response,” </w:t>
      </w:r>
      <w:r>
        <w:rPr>
          <w:rFonts w:ascii="Times New Roman" w:cs="Times New Roman" w:eastAsia="Times New Roman" w:hAnsi="Times New Roman"/>
          <w:i/>
          <w:iCs/>
          <w:sz w:val="16"/>
          <w:szCs w:val="16"/>
        </w:rPr>
        <w:t xml:space="preserve">Journal of Innovation Information Technology and Application (JINITA)</w:t>
      </w:r>
      <w:r>
        <w:rPr>
          <w:rFonts w:ascii="Times New Roman" w:cs="Times New Roman" w:eastAsia="Times New Roman" w:hAnsi="Times New Roman"/>
          <w:sz w:val="16"/>
          <w:szCs w:val="16"/>
        </w:rPr>
        <w:t xml:space="preserve">, vol. 6, no. 1, pp. 45–59, 2024.</w:t>
      </w:r>
    </w:p>
    <w:p>
      <w:pPr>
        <w:tabs>
          <w:tab w:val="left" w:pos="360"/>
        </w:tabs>
        <w:spacing w:after="30"/>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A. R. Hevner, S. T. March, J. Park, and S. Ram, “Design science in information systems research,”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28, no. 1, pp. 75–105, 2004.</w:t>
      </w:r>
    </w:p>
    <w:p>
      <w:pPr>
        <w:tabs>
          <w:tab w:val="left" w:pos="360"/>
        </w:tabs>
        <w:spacing w:after="30"/>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K. Peffers, T. Tuunanen, M. A. Rothenberger, and S. Chatterjee, “A design science research methodology for information systems research,” </w:t>
      </w:r>
      <w:r>
        <w:rPr>
          <w:rFonts w:ascii="Times New Roman" w:cs="Times New Roman" w:eastAsia="Times New Roman" w:hAnsi="Times New Roman"/>
          <w:i/>
          <w:iCs/>
          <w:sz w:val="16"/>
          <w:szCs w:val="16"/>
        </w:rPr>
        <w:t xml:space="preserve">Journal of Management Information Systems</w:t>
      </w:r>
      <w:r>
        <w:rPr>
          <w:rFonts w:ascii="Times New Roman" w:cs="Times New Roman" w:eastAsia="Times New Roman" w:hAnsi="Times New Roman"/>
          <w:sz w:val="16"/>
          <w:szCs w:val="16"/>
        </w:rPr>
        <w:t xml:space="preserve">, vol. 24, no. 3, pp. 45–77, 2007.</w:t>
      </w:r>
    </w:p>
    <w:p>
      <w:pPr>
        <w:tabs>
          <w:tab w:val="left" w:pos="360"/>
        </w:tabs>
        <w:spacing w:after="30"/>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S. Gregor and A. R. Hevner, “Positioning and presenting design science research for maximum impact,”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37, no. 2, pp. 337–355, 2013.</w:t>
      </w:r>
    </w:p>
    <w:p>
      <w:pPr>
        <w:tabs>
          <w:tab w:val="left" w:pos="360"/>
        </w:tabs>
        <w:spacing w:after="30"/>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Venable, J. Pries-Heje, and R. Baskerville, “FEDS: A framework for evaluation in design science research,” </w:t>
      </w:r>
      <w:r>
        <w:rPr>
          <w:rFonts w:ascii="Times New Roman" w:cs="Times New Roman" w:eastAsia="Times New Roman" w:hAnsi="Times New Roman"/>
          <w:i/>
          <w:iCs/>
          <w:sz w:val="16"/>
          <w:szCs w:val="16"/>
        </w:rPr>
        <w:t xml:space="preserve">European Journal of Information Systems</w:t>
      </w:r>
      <w:r>
        <w:rPr>
          <w:rFonts w:ascii="Times New Roman" w:cs="Times New Roman" w:eastAsia="Times New Roman" w:hAnsi="Times New Roman"/>
          <w:sz w:val="16"/>
          <w:szCs w:val="16"/>
        </w:rPr>
        <w:t xml:space="preserve">, vol. 25, no. 1, pp. 77–89, 2016.</w:t>
      </w:r>
    </w:p>
    <w:p>
      <w:pPr>
        <w:tabs>
          <w:tab w:val="left" w:pos="360"/>
        </w:tabs>
        <w:spacing w:after="30"/>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Parliament of the Democratic Socialist Republic of Sri Lanka, “Personal data protection act, no. 9 of 2022,” Colombo, Sri Lanka, 2022.</w:t>
      </w:r>
    </w:p>
    <w:p>
      <w:pPr>
        <w:tabs>
          <w:tab w:val="left" w:pos="360"/>
        </w:tabs>
        <w:spacing w:after="30"/>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Ada Derana, “Hotline to inform any emergency due to adverse weather,” [Online]. Available: https://www.adaderana.lk/news/49417/hotline-to-inform-any-emergency-due-to-adverse-weather, Aug. 2018.</w:t>
      </w:r>
    </w:p>
    <w:p>
      <w:pPr>
        <w:tabs>
          <w:tab w:val="left" w:pos="360"/>
        </w:tabs>
        <w:spacing w:after="30"/>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J. Brooke, “SUS: A quick and dirty usability scale,” in </w:t>
      </w:r>
      <w:r>
        <w:rPr>
          <w:rFonts w:ascii="Times New Roman" w:cs="Times New Roman" w:eastAsia="Times New Roman" w:hAnsi="Times New Roman"/>
          <w:i/>
          <w:iCs/>
          <w:sz w:val="16"/>
          <w:szCs w:val="16"/>
        </w:rPr>
        <w:t xml:space="preserve">Usability Evaluation in Industry</w:t>
      </w:r>
      <w:r>
        <w:rPr>
          <w:rFonts w:ascii="Times New Roman" w:cs="Times New Roman" w:eastAsia="Times New Roman" w:hAnsi="Times New Roman"/>
          <w:sz w:val="16"/>
          <w:szCs w:val="16"/>
        </w:rPr>
        <w:t xml:space="preserve">, P. W. Jordan, B. Thomas, B. A. Weerdmeester, and A. L. McClelland, Eds. London, U.K.: Taylor &amp; Francis, 1996, pp. 189–194.</w:t>
      </w:r>
    </w:p>
    <w:p>
      <w:pPr>
        <w:tabs>
          <w:tab w:val="left" w:pos="360"/>
        </w:tabs>
        <w:spacing w:after="30"/>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A. Bangor, P. Kortum, and J. Miller, “Determining what individual SUS scores mean: Adding an adjective rating scale,” </w:t>
      </w:r>
      <w:r>
        <w:rPr>
          <w:rFonts w:ascii="Times New Roman" w:cs="Times New Roman" w:eastAsia="Times New Roman" w:hAnsi="Times New Roman"/>
          <w:i/>
          <w:iCs/>
          <w:sz w:val="16"/>
          <w:szCs w:val="16"/>
        </w:rPr>
        <w:t xml:space="preserve">Journal of Usability Studies</w:t>
      </w:r>
      <w:r>
        <w:rPr>
          <w:rFonts w:ascii="Times New Roman" w:cs="Times New Roman" w:eastAsia="Times New Roman" w:hAnsi="Times New Roman"/>
          <w:sz w:val="16"/>
          <w:szCs w:val="16"/>
        </w:rPr>
        <w:t xml:space="preserve">, vol. 4, no. 3, pp. 114–123, 2009.</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51c6ac7b39f132f00d48bdbefd36281839925d.png"/><Relationship Id="rId8" Type="http://schemas.openxmlformats.org/officeDocument/2006/relationships/image" Target="media/6a7706941bc7daf38fa37e814a136e88e48c62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aid platform (anonymised submission)</dc:title>
  <dc:creator>Anonymous</dc:creator>
  <cp:lastModifiedBy>Anonymous</cp:lastModifiedBy>
  <cp:revision>1</cp:revision>
  <dcterms:created xsi:type="dcterms:W3CDTF">2026-10-20T14:38:16.069Z</dcterms:created>
  <dcterms:modified xsi:type="dcterms:W3CDTF">2026-10-20T14:38:16.069Z</dcterms:modified>
</cp:coreProperties>
</file>

<file path=docProps/custom.xml><?xml version="1.0" encoding="utf-8"?>
<Properties xmlns="http://schemas.openxmlformats.org/officeDocument/2006/custom-properties" xmlns:vt="http://schemas.openxmlformats.org/officeDocument/2006/docPropsVTypes"/>
</file>