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Revised</w:t>
      </w:r>
      <w:r>
        <w:t xml:space="preserve"> </w:t>
      </w:r>
      <w:r>
        <w:t xml:space="preserve">IEEE</w:t>
      </w:r>
      <w:r>
        <w:t xml:space="preserve"> </w:t>
      </w:r>
      <w:r>
        <w:t xml:space="preserve">Paper</w:t>
      </w:r>
      <w:r>
        <w:t xml:space="preserve"> </w:t>
      </w:r>
      <w:r>
        <w:t xml:space="preserve">—</w:t>
      </w:r>
      <w:r>
        <w:t xml:space="preserve"> </w:t>
      </w:r>
      <w:r>
        <w:t xml:space="preserve">Supervisor</w:t>
      </w:r>
      <w:r>
        <w:t xml:space="preserve"> </w:t>
      </w:r>
      <w:r>
        <w:t xml:space="preserve">Review</w:t>
      </w:r>
      <w:r>
        <w:t xml:space="preserve"> </w:t>
      </w:r>
      <w:r>
        <w:t xml:space="preserve">Pack</w:t>
      </w:r>
    </w:p>
    <w:p>
      <w:pPr>
        <w:pStyle w:val="Subtitle"/>
      </w:pPr>
      <w:r>
        <w:t xml:space="preserve">An</w:t>
      </w:r>
      <w:r>
        <w:t xml:space="preserve"> </w:t>
      </w:r>
      <w:r>
        <w:t xml:space="preserve">Explainable,</w:t>
      </w:r>
      <w:r>
        <w:t xml:space="preserve"> </w:t>
      </w:r>
      <w:r>
        <w:t xml:space="preserve">Verifiable</w:t>
      </w:r>
      <w:r>
        <w:t xml:space="preserve"> </w:t>
      </w:r>
      <w:r>
        <w:t xml:space="preserve">Platform</w:t>
      </w:r>
      <w:r>
        <w:t xml:space="preserve"> </w:t>
      </w:r>
      <w:r>
        <w:t xml:space="preserve">for</w:t>
      </w:r>
      <w:r>
        <w:t xml:space="preserve"> </w:t>
      </w:r>
      <w:r>
        <w:t xml:space="preserve">Disaster</w:t>
      </w:r>
      <w:r>
        <w:t xml:space="preserve"> </w:t>
      </w:r>
      <w:r>
        <w:t xml:space="preserve">Aid</w:t>
      </w:r>
      <w:r>
        <w:t xml:space="preserve"> </w:t>
      </w:r>
      <w:r>
        <w:t xml:space="preserve">Request,</w:t>
      </w:r>
      <w:r>
        <w:t xml:space="preserve"> </w:t>
      </w:r>
      <w:r>
        <w:t xml:space="preserve">Tracking</w:t>
      </w:r>
      <w:r>
        <w:t xml:space="preserve"> </w:t>
      </w:r>
      <w:r>
        <w:t xml:space="preserve">and</w:t>
      </w:r>
      <w:r>
        <w:t xml:space="preserve"> </w:t>
      </w:r>
      <w:r>
        <w:t xml:space="preserve">Distribution</w:t>
      </w:r>
      <w:r>
        <w:t xml:space="preserve"> </w:t>
      </w:r>
      <w:r>
        <w:t xml:space="preserve">in</w:t>
      </w:r>
      <w:r>
        <w:t xml:space="preserve"> </w:t>
      </w:r>
      <w:r>
        <w:t xml:space="preserve">Sri</w:t>
      </w:r>
      <w:r>
        <w:t xml:space="preserve"> </w:t>
      </w:r>
      <w:r>
        <w:t xml:space="preserve">Lanka</w:t>
      </w:r>
    </w:p>
    <w:bookmarkStart w:id="20" w:name="what-is-attached"/>
    <w:p>
      <w:pPr>
        <w:pStyle w:val="Heading1"/>
      </w:pPr>
      <w:r>
        <w:t xml:space="preserve">1. What is attached</w:t>
      </w:r>
    </w:p>
    <w:p>
      <w:pPr>
        <w:numPr>
          <w:ilvl w:val="0"/>
          <w:numId w:val="1001"/>
        </w:numPr>
        <w:pStyle w:val="Compact"/>
      </w:pPr>
      <w:r>
        <w:rPr>
          <w:bCs/>
          <w:b/>
        </w:rPr>
        <w:t xml:space="preserve">IEEE_Paper_Submission_Anonymised_v8.pdf / .docx</w:t>
      </w:r>
      <w:r>
        <w:t xml:space="preserve">: revised paper. It is 6 A4 pages (the limit is 6) in the IEEE conference template and anonymised for double-blind review. No red placeholders remain.</w:t>
      </w:r>
    </w:p>
    <w:p>
      <w:pPr>
        <w:numPr>
          <w:ilvl w:val="0"/>
          <w:numId w:val="1001"/>
        </w:numPr>
        <w:pStyle w:val="Compact"/>
      </w:pPr>
      <w:r>
        <w:t xml:space="preserve">This document covers three things: the status of each review comment, a summary of the changes since the first draft, and the points that need your confirmation.</w:t>
      </w:r>
    </w:p>
    <w:bookmarkEnd w:id="20"/>
    <w:bookmarkStart w:id="21" w:name="status-of-each-review-comment"/>
    <w:p>
      <w:pPr>
        <w:pStyle w:val="Heading1"/>
      </w:pPr>
      <w:r>
        <w:t xml:space="preserve">2. Status of each review comment</w:t>
      </w:r>
    </w:p>
    <w:p>
      <w:pPr>
        <w:pStyle w:val="FirstParagraph"/>
      </w:pPr>
      <w:r>
        <w:rPr>
          <w:bCs/>
          <w:b/>
        </w:rPr>
        <w:t xml:space="preserve">Key:</w:t>
      </w:r>
      <w:r>
        <w:t xml:space="preserve"> </w:t>
      </w:r>
      <w:r>
        <w:t xml:space="preserve">✅ addressed · ◐ partly addressed (disclosed as a limitation) · ✗ not addressed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Review comment</w:t>
            </w:r>
          </w:p>
        </w:tc>
        <w:tc>
          <w:tcPr/>
          <w:p>
            <w:pPr>
              <w:pStyle w:val="Compact"/>
              <w:jc w:val="left"/>
            </w:pPr>
            <w:r>
              <w:t xml:space="preserve">Status</w:t>
            </w:r>
          </w:p>
        </w:tc>
        <w:tc>
          <w:tcPr/>
          <w:p>
            <w:pPr>
              <w:pStyle w:val="Compact"/>
              <w:jc w:val="left"/>
            </w:pPr>
            <w:r>
              <w:t xml:space="preserve">How it was handled</w:t>
            </w:r>
          </w:p>
        </w:tc>
      </w:tr>
      <w:tr>
        <w:tc>
          <w:tcPr/>
          <w:p>
            <w:pPr>
              <w:pStyle w:val="Compact"/>
              <w:jc w:val="left"/>
            </w:pPr>
            <w:r>
              <w:t xml:space="preserve">A1</w:t>
            </w:r>
          </w:p>
        </w:tc>
        <w:tc>
          <w:tcPr/>
          <w:p>
            <w:pPr>
              <w:pStyle w:val="Compact"/>
              <w:jc w:val="left"/>
            </w:pPr>
            <w:r>
              <w:t xml:space="preserve">Priority-score formula inconsistent with code</w:t>
            </w:r>
          </w:p>
        </w:tc>
        <w:tc>
          <w:tcPr/>
          <w:p>
            <w:pPr>
              <w:pStyle w:val="Compact"/>
              <w:jc w:val="left"/>
            </w:pPr>
            <w:r>
              <w:t xml:space="preserve">✅</w:t>
            </w:r>
          </w:p>
        </w:tc>
        <w:tc>
          <w:tcPr/>
          <w:p>
            <w:pPr>
              <w:pStyle w:val="Compact"/>
              <w:jc w:val="left"/>
            </w:pPr>
            <w:r>
              <w:t xml:space="preserve">The equation now matches the code (5·v, uncapped). The paper states the effective range of 10–90, the unreachable vulnerable-group cap of 25, and that the waiting-time term is about 0 at scoring time.</w:t>
            </w:r>
          </w:p>
        </w:tc>
      </w:tr>
      <w:tr>
        <w:tc>
          <w:tcPr/>
          <w:p>
            <w:pPr>
              <w:pStyle w:val="Compact"/>
              <w:jc w:val="left"/>
            </w:pPr>
            <w:r>
              <w:t xml:space="preserve">A2</w:t>
            </w:r>
          </w:p>
        </w:tc>
        <w:tc>
          <w:tcPr/>
          <w:p>
            <w:pPr>
              <w:pStyle w:val="Compact"/>
              <w:jc w:val="left"/>
            </w:pPr>
            <w:r>
              <w:t xml:space="preserve">“</w:t>
            </w:r>
            <w:r>
              <w:t xml:space="preserve">Four disclosed criteria</w:t>
            </w:r>
            <w:r>
              <w:t xml:space="preserve">”</w:t>
            </w:r>
            <w:r>
              <w:t xml:space="preserve"> </w:t>
            </w:r>
            <w:r>
              <w:t xml:space="preserve">overstated</w:t>
            </w:r>
          </w:p>
        </w:tc>
        <w:tc>
          <w:tcPr/>
          <w:p>
            <w:pPr>
              <w:pStyle w:val="Compact"/>
              <w:jc w:val="left"/>
            </w:pPr>
            <w:r>
              <w:t xml:space="preserve">✅</w:t>
            </w:r>
          </w:p>
        </w:tc>
        <w:tc>
          <w:tcPr/>
          <w:p>
            <w:pPr>
              <w:pStyle w:val="Compact"/>
              <w:jc w:val="left"/>
            </w:pPr>
            <w:r>
              <w:t xml:space="preserve">Reworded to three active criteria. Aging was simulated: it does not prevent starvation, because the 20-point wait cap is smaller than the 30-point severity gap.</w:t>
            </w:r>
          </w:p>
        </w:tc>
      </w:tr>
      <w:tr>
        <w:tc>
          <w:tcPr/>
          <w:p>
            <w:pPr>
              <w:pStyle w:val="Compact"/>
              <w:jc w:val="left"/>
            </w:pPr>
            <w:r>
              <w:t xml:space="preserve">A3</w:t>
            </w:r>
          </w:p>
        </w:tc>
        <w:tc>
          <w:tcPr/>
          <w:p>
            <w:pPr>
              <w:pStyle w:val="Compact"/>
              <w:jc w:val="left"/>
            </w:pPr>
            <w:r>
              <w:t xml:space="preserve">Weights not validated</w:t>
            </w:r>
          </w:p>
        </w:tc>
        <w:tc>
          <w:tcPr/>
          <w:p>
            <w:pPr>
              <w:pStyle w:val="Compact"/>
              <w:jc w:val="left"/>
            </w:pPr>
            <w:r>
              <w:t xml:space="preserve">◐</w:t>
            </w:r>
          </w:p>
        </w:tc>
        <w:tc>
          <w:tcPr/>
          <w:p>
            <w:pPr>
              <w:pStyle w:val="Compact"/>
              <w:jc w:val="left"/>
            </w:pPr>
            <w:r>
              <w:t xml:space="preserve">Added a sensitivity analysis (Kendall’s τ ≥ 0.83, top-10% overlap). The paper states that the weights are not taken from Sphere or DMC guidance. Expert ranking is listed as a threat to validity and as future work.</w:t>
            </w:r>
          </w:p>
        </w:tc>
      </w:tr>
      <w:tr>
        <w:tc>
          <w:tcPr/>
          <w:p>
            <w:pPr>
              <w:pStyle w:val="Compact"/>
              <w:jc w:val="left"/>
            </w:pPr>
            <w:r>
              <w:t xml:space="preserve">A4</w:t>
            </w:r>
          </w:p>
        </w:tc>
        <w:tc>
          <w:tcPr/>
          <w:p>
            <w:pPr>
              <w:pStyle w:val="Compact"/>
              <w:jc w:val="left"/>
            </w:pPr>
            <w:r>
              <w:t xml:space="preserve">People term saturates at 15</w:t>
            </w:r>
          </w:p>
        </w:tc>
        <w:tc>
          <w:tcPr/>
          <w:p>
            <w:pPr>
              <w:pStyle w:val="Compact"/>
              <w:jc w:val="left"/>
            </w:pPr>
            <w:r>
              <w:t xml:space="preserve">✅</w:t>
            </w:r>
          </w:p>
        </w:tc>
        <w:tc>
          <w:tcPr/>
          <w:p>
            <w:pPr>
              <w:pStyle w:val="Compact"/>
              <w:jc w:val="left"/>
            </w:pPr>
            <w:r>
              <w:t xml:space="preserve">Stated explicitly. A log-scaled alternative was tested (τ = 0.78).</w:t>
            </w:r>
          </w:p>
        </w:tc>
      </w:tr>
      <w:tr>
        <w:tc>
          <w:tcPr/>
          <w:p>
            <w:pPr>
              <w:pStyle w:val="Compact"/>
              <w:jc w:val="left"/>
            </w:pPr>
            <w:r>
              <w:t xml:space="preserve">A5</w:t>
            </w:r>
          </w:p>
        </w:tc>
        <w:tc>
          <w:tcPr/>
          <w:p>
            <w:pPr>
              <w:pStyle w:val="Compact"/>
              <w:jc w:val="left"/>
            </w:pPr>
            <w:r>
              <w:t xml:space="preserve">Race condition in matching</w:t>
            </w:r>
          </w:p>
        </w:tc>
        <w:tc>
          <w:tcPr/>
          <w:p>
            <w:pPr>
              <w:pStyle w:val="Compact"/>
              <w:jc w:val="left"/>
            </w:pPr>
            <w:r>
              <w:t xml:space="preserve">✅</w:t>
            </w:r>
          </w:p>
        </w:tc>
        <w:tc>
          <w:tcPr/>
          <w:p>
            <w:pPr>
              <w:pStyle w:val="Compact"/>
              <w:jc w:val="left"/>
            </w:pPr>
            <w:r>
              <w:t xml:space="preserve">Matching now runs in a Firestore transaction. Both load-test runs showed zero double allocations. The cost is reported: matching p95 was 25 s in one run and 271 s in the other under a 30-way burst.</w:t>
            </w:r>
          </w:p>
        </w:tc>
      </w:tr>
      <w:tr>
        <w:tc>
          <w:tcPr/>
          <w:p>
            <w:pPr>
              <w:pStyle w:val="Compact"/>
              <w:jc w:val="left"/>
            </w:pPr>
            <w:r>
              <w:t xml:space="preserve">A6</w:t>
            </w:r>
          </w:p>
        </w:tc>
        <w:tc>
          <w:tcPr/>
          <w:p>
            <w:pPr>
              <w:pStyle w:val="Compact"/>
              <w:jc w:val="left"/>
            </w:pPr>
            <w:r>
              <w:t xml:space="preserve">RQ answered by assertion; no DSRM demonstration</w:t>
            </w:r>
          </w:p>
        </w:tc>
        <w:tc>
          <w:tcPr/>
          <w:p>
            <w:pPr>
              <w:pStyle w:val="Compact"/>
              <w:jc w:val="left"/>
            </w:pPr>
            <w:r>
              <w:t xml:space="preserve">✅</w:t>
            </w:r>
          </w:p>
        </w:tc>
        <w:tc>
          <w:tcPr/>
          <w:p>
            <w:pPr>
              <w:pStyle w:val="Compact"/>
              <w:jc w:val="left"/>
            </w:pPr>
            <w:r>
              <w:t xml:space="preserve">New 30-seed allocation simulation against FIFO, nearest-first, random, aging and a 100 km cap. Claims softened to</w:t>
            </w:r>
            <w:r>
              <w:t xml:space="preserve"> </w:t>
            </w:r>
            <w:r>
              <w:t xml:space="preserve">“</w:t>
            </w:r>
            <w:r>
              <w:t xml:space="preserve">supports</w:t>
            </w:r>
            <w:r>
              <w:t xml:space="preserve">”</w:t>
            </w:r>
            <w:r>
              <w:t xml:space="preserve">.</w:t>
            </w:r>
          </w:p>
        </w:tc>
      </w:tr>
      <w:tr>
        <w:tc>
          <w:tcPr/>
          <w:p>
            <w:pPr>
              <w:pStyle w:val="Compact"/>
              <w:jc w:val="left"/>
            </w:pPr>
            <w:r>
              <w:t xml:space="preserve">B1</w:t>
            </w:r>
          </w:p>
        </w:tc>
        <w:tc>
          <w:tcPr/>
          <w:p>
            <w:pPr>
              <w:pStyle w:val="Compact"/>
              <w:jc w:val="left"/>
            </w:pPr>
            <w:r>
              <w:t xml:space="preserve">Usability reporting thin</w:t>
            </w:r>
          </w:p>
        </w:tc>
        <w:tc>
          <w:tcPr/>
          <w:p>
            <w:pPr>
              <w:pStyle w:val="Compact"/>
              <w:jc w:val="left"/>
            </w:pPr>
            <w:r>
              <w:t xml:space="preserve">✅</w:t>
            </w:r>
          </w:p>
        </w:tc>
        <w:tc>
          <w:tcPr/>
          <w:p>
            <w:pPr>
              <w:pStyle w:val="Compact"/>
              <w:jc w:val="left"/>
            </w:pPr>
            <w:r>
              <w:t xml:space="preserve">Rebuilt from the original SUS record (19 participants): mean 76.7, SD 11.9, 95% CI 71.0–82.4, Cronbach’s α 0.93. Also reports per-role means, task outcomes (58/76 unaided), errors and time on task.</w:t>
            </w:r>
          </w:p>
        </w:tc>
      </w:tr>
      <w:tr>
        <w:tc>
          <w:tcPr/>
          <w:p>
            <w:pPr>
              <w:pStyle w:val="Compact"/>
              <w:jc w:val="left"/>
            </w:pPr>
            <w:r>
              <w:t xml:space="preserve">B2</w:t>
            </w:r>
          </w:p>
        </w:tc>
        <w:tc>
          <w:tcPr/>
          <w:p>
            <w:pPr>
              <w:pStyle w:val="Compact"/>
              <w:jc w:val="left"/>
            </w:pPr>
            <w:r>
              <w:t xml:space="preserve">No domain experts</w:t>
            </w:r>
          </w:p>
        </w:tc>
        <w:tc>
          <w:tcPr/>
          <w:p>
            <w:pPr>
              <w:pStyle w:val="Compact"/>
              <w:jc w:val="left"/>
            </w:pPr>
            <w:r>
              <w:t xml:space="preserve">◐</w:t>
            </w:r>
          </w:p>
        </w:tc>
        <w:tc>
          <w:tcPr/>
          <w:p>
            <w:pPr>
              <w:pStyle w:val="Compact"/>
              <w:jc w:val="left"/>
            </w:pPr>
            <w:r>
              <w:t xml:space="preserve">Some participants had DMC or NGO involvement, or had been affected by a disaster; their number is withheld for anonymity. There was no formal expert review of the weights.</w:t>
            </w:r>
          </w:p>
        </w:tc>
      </w:tr>
      <w:tr>
        <w:tc>
          <w:tcPr/>
          <w:p>
            <w:pPr>
              <w:pStyle w:val="Compact"/>
              <w:jc w:val="left"/>
            </w:pPr>
            <w:r>
              <w:t xml:space="preserve">B3</w:t>
            </w:r>
          </w:p>
        </w:tc>
        <w:tc>
          <w:tcPr/>
          <w:p>
            <w:pPr>
              <w:pStyle w:val="Compact"/>
              <w:jc w:val="left"/>
            </w:pPr>
            <w:r>
              <w:t xml:space="preserve">Load test: single run, no variance</w:t>
            </w:r>
          </w:p>
        </w:tc>
        <w:tc>
          <w:tcPr/>
          <w:p>
            <w:pPr>
              <w:pStyle w:val="Compact"/>
              <w:jc w:val="left"/>
            </w:pPr>
            <w:r>
              <w:t xml:space="preserve">◐</w:t>
            </w:r>
          </w:p>
        </w:tc>
        <w:tc>
          <w:tcPr/>
          <w:p>
            <w:pPr>
              <w:pStyle w:val="Compact"/>
              <w:jc w:val="left"/>
            </w:pPr>
            <w:r>
              <w:t xml:space="preserve">Table III now reports p50/p95 for each of 2 runs (100% success, zero double matches). The runs differ widely (for example, a uniform 74 s stall on volunteer acceptance in run 2), so the paper calls the figures indicative. More runs are needed.</w:t>
            </w:r>
          </w:p>
        </w:tc>
      </w:tr>
      <w:tr>
        <w:tc>
          <w:tcPr/>
          <w:p>
            <w:pPr>
              <w:pStyle w:val="Compact"/>
              <w:jc w:val="left"/>
            </w:pPr>
            <w:r>
              <w:t xml:space="preserve">B4</w:t>
            </w:r>
          </w:p>
        </w:tc>
        <w:tc>
          <w:tcPr/>
          <w:p>
            <w:pPr>
              <w:pStyle w:val="Compact"/>
              <w:jc w:val="left"/>
            </w:pPr>
            <w:r>
              <w:t xml:space="preserve">Load test ran locally, not on serverless; harness isolation</w:t>
            </w:r>
          </w:p>
        </w:tc>
        <w:tc>
          <w:tcPr/>
          <w:p>
            <w:pPr>
              <w:pStyle w:val="Compact"/>
              <w:jc w:val="left"/>
            </w:pPr>
            <w:r>
              <w:t xml:space="preserve">◐</w:t>
            </w:r>
          </w:p>
        </w:tc>
        <w:tc>
          <w:tcPr/>
          <w:p>
            <w:pPr>
              <w:pStyle w:val="Compact"/>
              <w:jc w:val="left"/>
            </w:pPr>
            <w:r>
              <w:t xml:space="preserve">Volunteer isolation is fixed: test entities are placed offshore, and all 15 acceptances per run went to test accounts. The test still runs locally, not on Vercel, against the live database.</w:t>
            </w:r>
          </w:p>
        </w:tc>
      </w:tr>
      <w:tr>
        <w:tc>
          <w:tcPr/>
          <w:p>
            <w:pPr>
              <w:pStyle w:val="Compact"/>
              <w:jc w:val="left"/>
            </w:pPr>
            <w:r>
              <w:t xml:space="preserve">B5</w:t>
            </w:r>
          </w:p>
        </w:tc>
        <w:tc>
          <w:tcPr/>
          <w:p>
            <w:pPr>
              <w:pStyle w:val="Compact"/>
              <w:jc w:val="left"/>
            </w:pPr>
            <w:r>
              <w:t xml:space="preserve">Misleading latency framing (25 s → 2.4 s)</w:t>
            </w:r>
          </w:p>
        </w:tc>
        <w:tc>
          <w:tcPr/>
          <w:p>
            <w:pPr>
              <w:pStyle w:val="Compact"/>
              <w:jc w:val="left"/>
            </w:pPr>
            <w:r>
              <w:t xml:space="preserve">✅</w:t>
            </w:r>
          </w:p>
        </w:tc>
        <w:tc>
          <w:tcPr/>
          <w:p>
            <w:pPr>
              <w:pStyle w:val="Compact"/>
              <w:jc w:val="left"/>
            </w:pPr>
            <w:r>
              <w:t xml:space="preserve">Now framed as about 11 s → 2.4 s, with the 25 s figure explained as the cache-stampede intermediate.</w:t>
            </w:r>
          </w:p>
        </w:tc>
      </w:tr>
      <w:tr>
        <w:tc>
          <w:tcPr/>
          <w:p>
            <w:pPr>
              <w:pStyle w:val="Compact"/>
              <w:jc w:val="left"/>
            </w:pPr>
            <w:r>
              <w:t xml:space="preserve">B6</w:t>
            </w:r>
          </w:p>
        </w:tc>
        <w:tc>
          <w:tcPr/>
          <w:p>
            <w:pPr>
              <w:pStyle w:val="Compact"/>
              <w:jc w:val="left"/>
            </w:pPr>
            <w:r>
              <w:t xml:space="preserve">Serverless cache caveat</w:t>
            </w:r>
          </w:p>
        </w:tc>
        <w:tc>
          <w:tcPr/>
          <w:p>
            <w:pPr>
              <w:pStyle w:val="Compact"/>
              <w:jc w:val="left"/>
            </w:pPr>
            <w:r>
              <w:t xml:space="preserve">✅</w:t>
            </w:r>
          </w:p>
        </w:tc>
        <w:tc>
          <w:tcPr/>
          <w:p>
            <w:pPr>
              <w:pStyle w:val="Compact"/>
              <w:jc w:val="left"/>
            </w:pPr>
            <w:r>
              <w:t xml:space="preserve">States that the cache is per instance. Recommends precomputed aggregates or count queries.</w:t>
            </w:r>
          </w:p>
        </w:tc>
      </w:tr>
      <w:tr>
        <w:tc>
          <w:tcPr/>
          <w:p>
            <w:pPr>
              <w:pStyle w:val="Compact"/>
              <w:jc w:val="left"/>
            </w:pPr>
            <w:r>
              <w:t xml:space="preserve">B7</w:t>
            </w:r>
          </w:p>
        </w:tc>
        <w:tc>
          <w:tcPr/>
          <w:p>
            <w:pPr>
              <w:pStyle w:val="Compact"/>
              <w:jc w:val="left"/>
            </w:pPr>
            <w:r>
              <w:t xml:space="preserve">Requirement traceability</w:t>
            </w:r>
          </w:p>
        </w:tc>
        <w:tc>
          <w:tcPr/>
          <w:p>
            <w:pPr>
              <w:pStyle w:val="Compact"/>
              <w:jc w:val="left"/>
            </w:pPr>
            <w:r>
              <w:t xml:space="preserve">✅</w:t>
            </w:r>
          </w:p>
        </w:tc>
        <w:tc>
          <w:tcPr/>
          <w:p>
            <w:pPr>
              <w:pStyle w:val="Compact"/>
              <w:jc w:val="left"/>
            </w:pPr>
            <w:r>
              <w:t xml:space="preserve">New Table II: 21 FRs with a formal test, 11 checked during development only, 1 untested (FR-11).</w:t>
            </w:r>
          </w:p>
        </w:tc>
      </w:tr>
      <w:tr>
        <w:tc>
          <w:tcPr/>
          <w:p>
            <w:pPr>
              <w:pStyle w:val="Compact"/>
              <w:jc w:val="left"/>
            </w:pPr>
            <w:r>
              <w:t xml:space="preserve">B8</w:t>
            </w:r>
          </w:p>
        </w:tc>
        <w:tc>
          <w:tcPr/>
          <w:p>
            <w:pPr>
              <w:pStyle w:val="Compact"/>
              <w:jc w:val="left"/>
            </w:pPr>
            <w:r>
              <w:t xml:space="preserve">Ethics and data availability</w:t>
            </w:r>
          </w:p>
        </w:tc>
        <w:tc>
          <w:tcPr/>
          <w:p>
            <w:pPr>
              <w:pStyle w:val="Compact"/>
              <w:jc w:val="left"/>
            </w:pPr>
            <w:r>
              <w:t xml:space="preserve">✅</w:t>
            </w:r>
          </w:p>
        </w:tc>
        <w:tc>
          <w:tcPr/>
          <w:p>
            <w:pPr>
              <w:pStyle w:val="Compact"/>
              <w:jc w:val="left"/>
            </w:pPr>
            <w:r>
              <w:t xml:space="preserve">Exempt from formal committee review, approved by the supervisor, anonymised. Repository to be released on acceptance.</w:t>
            </w:r>
          </w:p>
        </w:tc>
      </w:tr>
      <w:tr>
        <w:tc>
          <w:tcPr/>
          <w:p>
            <w:pPr>
              <w:pStyle w:val="Compact"/>
              <w:jc w:val="left"/>
            </w:pPr>
            <w:r>
              <w:t xml:space="preserve">C1</w:t>
            </w:r>
          </w:p>
        </w:tc>
        <w:tc>
          <w:tcPr/>
          <w:p>
            <w:pPr>
              <w:pStyle w:val="Compact"/>
              <w:jc w:val="left"/>
            </w:pPr>
            <w:r>
              <w:t xml:space="preserve">Distance feasibility</w:t>
            </w:r>
          </w:p>
        </w:tc>
        <w:tc>
          <w:tcPr/>
          <w:p>
            <w:pPr>
              <w:pStyle w:val="Compact"/>
              <w:jc w:val="left"/>
            </w:pPr>
            <w:r>
              <w:t xml:space="preserve">✅</w:t>
            </w:r>
          </w:p>
        </w:tc>
        <w:tc>
          <w:tcPr/>
          <w:p>
            <w:pPr>
              <w:pStyle w:val="Compact"/>
              <w:jc w:val="left"/>
            </w:pPr>
            <w:r>
              <w:t xml:space="preserve">The simulation shows 28% of matches over 150 km and that the tie-break decides 72% of matches. A 100 km cap variant was tested.</w:t>
            </w:r>
          </w:p>
        </w:tc>
      </w:tr>
      <w:tr>
        <w:tc>
          <w:tcPr/>
          <w:p>
            <w:pPr>
              <w:pStyle w:val="Compact"/>
              <w:jc w:val="left"/>
            </w:pPr>
            <w:r>
              <w:t xml:space="preserve">C2</w:t>
            </w:r>
          </w:p>
        </w:tc>
        <w:tc>
          <w:tcPr/>
          <w:p>
            <w:pPr>
              <w:pStyle w:val="Compact"/>
              <w:jc w:val="left"/>
            </w:pPr>
            <w:r>
              <w:t xml:space="preserve">Per-request (not per-item) priority</w:t>
            </w:r>
          </w:p>
        </w:tc>
        <w:tc>
          <w:tcPr/>
          <w:p>
            <w:pPr>
              <w:pStyle w:val="Compact"/>
              <w:jc w:val="left"/>
            </w:pPr>
            <w:r>
              <w:t xml:space="preserve">✅</w:t>
            </w:r>
          </w:p>
        </w:tc>
        <w:tc>
          <w:tcPr/>
          <w:p>
            <w:pPr>
              <w:pStyle w:val="Compact"/>
              <w:jc w:val="left"/>
            </w:pPr>
            <w:r>
              <w:t xml:space="preserve">Listed under coverage threats.</w:t>
            </w:r>
          </w:p>
        </w:tc>
      </w:tr>
      <w:tr>
        <w:tc>
          <w:tcPr/>
          <w:p>
            <w:pPr>
              <w:pStyle w:val="Compact"/>
              <w:jc w:val="left"/>
            </w:pPr>
            <w:r>
              <w:t xml:space="preserve">C3</w:t>
            </w:r>
          </w:p>
        </w:tc>
        <w:tc>
          <w:tcPr/>
          <w:p>
            <w:pPr>
              <w:pStyle w:val="Compact"/>
              <w:jc w:val="left"/>
            </w:pPr>
            <w:r>
              <w:t xml:space="preserve">QR</w:t>
            </w:r>
            <w:r>
              <w:t xml:space="preserve"> </w:t>
            </w:r>
            <w:r>
              <w:t xml:space="preserve">“</w:t>
            </w:r>
            <w:r>
              <w:t xml:space="preserve">proof of co-presence</w:t>
            </w:r>
            <w:r>
              <w:t xml:space="preserve">”</w:t>
            </w:r>
            <w:r>
              <w:t xml:space="preserve"> </w:t>
            </w:r>
            <w:r>
              <w:t xml:space="preserve">overstated</w:t>
            </w:r>
          </w:p>
        </w:tc>
        <w:tc>
          <w:tcPr/>
          <w:p>
            <w:pPr>
              <w:pStyle w:val="Compact"/>
              <w:jc w:val="left"/>
            </w:pPr>
            <w:r>
              <w:t xml:space="preserve">✅</w:t>
            </w:r>
          </w:p>
        </w:tc>
        <w:tc>
          <w:tcPr/>
          <w:p>
            <w:pPr>
              <w:pStyle w:val="Compact"/>
              <w:jc w:val="left"/>
            </w:pPr>
            <w:r>
              <w:t xml:space="preserve">Now</w:t>
            </w:r>
            <w:r>
              <w:t xml:space="preserve"> </w:t>
            </w:r>
            <w:r>
              <w:t xml:space="preserve">“</w:t>
            </w:r>
            <w:r>
              <w:t xml:space="preserve">evidence of handover</w:t>
            </w:r>
            <w:r>
              <w:t xml:space="preserve">”</w:t>
            </w:r>
            <w:r>
              <w:t xml:space="preserve">, with a threat model (relayed photo, collusion) and audit sampling.</w:t>
            </w:r>
          </w:p>
        </w:tc>
      </w:tr>
      <w:tr>
        <w:tc>
          <w:tcPr/>
          <w:p>
            <w:pPr>
              <w:pStyle w:val="Compact"/>
              <w:jc w:val="left"/>
            </w:pPr>
            <w:r>
              <w:t xml:space="preserve">C4</w:t>
            </w:r>
          </w:p>
        </w:tc>
        <w:tc>
          <w:tcPr/>
          <w:p>
            <w:pPr>
              <w:pStyle w:val="Compact"/>
              <w:jc w:val="left"/>
            </w:pPr>
            <w:r>
              <w:t xml:space="preserve">Gaming, digital divide, PDPA, no-NIC users, admin bottleneck</w:t>
            </w:r>
          </w:p>
        </w:tc>
        <w:tc>
          <w:tcPr/>
          <w:p>
            <w:pPr>
              <w:pStyle w:val="Compact"/>
              <w:jc w:val="left"/>
            </w:pPr>
            <w:r>
              <w:t xml:space="preserve">✅</w:t>
            </w:r>
          </w:p>
        </w:tc>
        <w:tc>
          <w:tcPr/>
          <w:p>
            <w:pPr>
              <w:pStyle w:val="Compact"/>
              <w:jc w:val="left"/>
            </w:pPr>
            <w:r>
              <w:t xml:space="preserve">Covered in Sections IV-E and VI-A.</w:t>
            </w:r>
          </w:p>
        </w:tc>
      </w:tr>
      <w:tr>
        <w:tc>
          <w:tcPr/>
          <w:p>
            <w:pPr>
              <w:pStyle w:val="Compact"/>
              <w:jc w:val="left"/>
            </w:pPr>
            <w:r>
              <w:t xml:space="preserve">C5</w:t>
            </w:r>
          </w:p>
        </w:tc>
        <w:tc>
          <w:tcPr/>
          <w:p>
            <w:pPr>
              <w:pStyle w:val="Compact"/>
              <w:jc w:val="left"/>
            </w:pPr>
            <w:r>
              <w:t xml:space="preserve">SOS vs. the 117 hotline</w:t>
            </w:r>
          </w:p>
        </w:tc>
        <w:tc>
          <w:tcPr/>
          <w:p>
            <w:pPr>
              <w:pStyle w:val="Compact"/>
              <w:jc w:val="left"/>
            </w:pPr>
            <w:r>
              <w:t xml:space="preserve">◐</w:t>
            </w:r>
          </w:p>
        </w:tc>
        <w:tc>
          <w:tcPr/>
          <w:p>
            <w:pPr>
              <w:pStyle w:val="Compact"/>
              <w:jc w:val="left"/>
            </w:pPr>
            <w:r>
              <w:t xml:space="preserve">The paper states truthfully that the app does not yet show 117 or a disclaimer, and recommends adding them. The code has not been changed.</w:t>
            </w:r>
          </w:p>
        </w:tc>
      </w:tr>
      <w:tr>
        <w:tc>
          <w:tcPr/>
          <w:p>
            <w:pPr>
              <w:pStyle w:val="Compact"/>
              <w:jc w:val="left"/>
            </w:pPr>
            <w:r>
              <w:t xml:space="preserve">D1</w:t>
            </w:r>
          </w:p>
        </w:tc>
        <w:tc>
          <w:tcPr/>
          <w:p>
            <w:pPr>
              <w:pStyle w:val="Compact"/>
              <w:jc w:val="left"/>
            </w:pPr>
            <w:r>
              <w:t xml:space="preserve">Flood model evaluated in-sample</w:t>
            </w:r>
          </w:p>
        </w:tc>
        <w:tc>
          <w:tcPr/>
          <w:p>
            <w:pPr>
              <w:pStyle w:val="Compact"/>
              <w:jc w:val="left"/>
            </w:pPr>
            <w:r>
              <w:t xml:space="preserve">✅</w:t>
            </w:r>
          </w:p>
        </w:tc>
        <w:tc>
          <w:tcPr/>
          <w:p>
            <w:pPr>
              <w:pStyle w:val="Compact"/>
              <w:jc w:val="left"/>
            </w:pPr>
            <w:r>
              <w:t xml:space="preserve">Temporal hold-out (train 1981–2010, test 2011–2019): AUC 0.761, beating climatology at 0.720. Also reports PR-AUC, Brier score, calibration and an ablation.</w:t>
            </w:r>
          </w:p>
        </w:tc>
      </w:tr>
      <w:tr>
        <w:tc>
          <w:tcPr/>
          <w:p>
            <w:pPr>
              <w:pStyle w:val="Compact"/>
              <w:jc w:val="left"/>
            </w:pPr>
            <w:r>
              <w:t xml:space="preserve">D2</w:t>
            </w:r>
          </w:p>
        </w:tc>
        <w:tc>
          <w:tcPr/>
          <w:p>
            <w:pPr>
              <w:pStyle w:val="Compact"/>
              <w:jc w:val="left"/>
            </w:pPr>
            <w:r>
              <w:t xml:space="preserve">District-rate feature / leakage</w:t>
            </w:r>
          </w:p>
        </w:tc>
        <w:tc>
          <w:tcPr/>
          <w:p>
            <w:pPr>
              <w:pStyle w:val="Compact"/>
              <w:jc w:val="left"/>
            </w:pPr>
            <w:r>
              <w:t xml:space="preserve">◐</w:t>
            </w:r>
          </w:p>
        </w:tc>
        <w:tc>
          <w:tcPr/>
          <w:p>
            <w:pPr>
              <w:pStyle w:val="Compact"/>
              <w:jc w:val="left"/>
            </w:pPr>
            <w:r>
              <w:t xml:space="preserve">The ablation shows that removing the feature improves AUC to 0.787. Removal is recommended but not yet done in code.</w:t>
            </w:r>
          </w:p>
        </w:tc>
      </w:tr>
      <w:tr>
        <w:tc>
          <w:tcPr/>
          <w:p>
            <w:pPr>
              <w:pStyle w:val="Compact"/>
              <w:jc w:val="left"/>
            </w:pPr>
            <w:r>
              <w:t xml:space="preserve">E1</w:t>
            </w:r>
          </w:p>
        </w:tc>
        <w:tc>
          <w:tcPr/>
          <w:p>
            <w:pPr>
              <w:pStyle w:val="Compact"/>
              <w:jc w:val="left"/>
            </w:pPr>
            <w:r>
              <w:t xml:space="preserve">Sahana / FloodSupport missing; generic comparison table</w:t>
            </w:r>
          </w:p>
        </w:tc>
        <w:tc>
          <w:tcPr/>
          <w:p>
            <w:pPr>
              <w:pStyle w:val="Compact"/>
              <w:jc w:val="left"/>
            </w:pPr>
            <w:r>
              <w:t xml:space="preserve">✅</w:t>
            </w:r>
          </w:p>
        </w:tc>
        <w:tc>
          <w:tcPr/>
          <w:p>
            <w:pPr>
              <w:pStyle w:val="Compact"/>
              <w:jc w:val="left"/>
            </w:pPr>
            <w:r>
              <w:t xml:space="preserve">Table I compares named systems with strict ✓/P/?/× criteria. The novelty claim is narrowed.</w:t>
            </w:r>
          </w:p>
        </w:tc>
      </w:tr>
      <w:tr>
        <w:tc>
          <w:tcPr/>
          <w:p>
            <w:pPr>
              <w:pStyle w:val="Compact"/>
              <w:jc w:val="left"/>
            </w:pPr>
            <w:r>
              <w:t xml:space="preserve">E2</w:t>
            </w:r>
          </w:p>
        </w:tc>
        <w:tc>
          <w:tcPr/>
          <w:p>
            <w:pPr>
              <w:pStyle w:val="Compact"/>
              <w:jc w:val="left"/>
            </w:pPr>
            <w:r>
              <w:t xml:space="preserve">Missing literature</w:t>
            </w:r>
          </w:p>
        </w:tc>
        <w:tc>
          <w:tcPr/>
          <w:p>
            <w:pPr>
              <w:pStyle w:val="Compact"/>
              <w:jc w:val="left"/>
            </w:pPr>
            <w:r>
              <w:t xml:space="preserve">✅</w:t>
            </w:r>
          </w:p>
        </w:tc>
        <w:tc>
          <w:tcPr/>
          <w:p>
            <w:pPr>
              <w:pStyle w:val="Compact"/>
              <w:jc w:val="left"/>
            </w:pPr>
            <w:r>
              <w:t xml:space="preserve">Added Holguín-Veras, Huang et al., Balcik et al., Reuter &amp; Kaufhold, Imran (AIDR), Gregor &amp; Hevner, FEDS and the PDPA.</w:t>
            </w:r>
          </w:p>
        </w:tc>
      </w:tr>
      <w:tr>
        <w:tc>
          <w:tcPr/>
          <w:p>
            <w:pPr>
              <w:pStyle w:val="Compact"/>
              <w:jc w:val="left"/>
            </w:pPr>
            <w:r>
              <w:t xml:space="preserve">E3</w:t>
            </w:r>
          </w:p>
        </w:tc>
        <w:tc>
          <w:tcPr/>
          <w:p>
            <w:pPr>
              <w:pStyle w:val="Compact"/>
              <w:jc w:val="left"/>
            </w:pPr>
            <w:r>
              <w:t xml:space="preserve">Mismatched citations and statistics</w:t>
            </w:r>
          </w:p>
        </w:tc>
        <w:tc>
          <w:tcPr/>
          <w:p>
            <w:pPr>
              <w:pStyle w:val="Compact"/>
              <w:jc w:val="left"/>
            </w:pPr>
            <w:r>
              <w:t xml:space="preserve">✅</w:t>
            </w:r>
          </w:p>
        </w:tc>
        <w:tc>
          <w:tcPr/>
          <w:p>
            <w:pPr>
              <w:pStyle w:val="Compact"/>
              <w:jc w:val="left"/>
            </w:pPr>
            <w:r>
              <w:t xml:space="preserve">Citations re-mapped. Ditwah figures re-checked (1.2–2.2 M affected, 646 deaths, US$4.1 B).</w:t>
            </w:r>
          </w:p>
        </w:tc>
      </w:tr>
      <w:tr>
        <w:tc>
          <w:tcPr/>
          <w:p>
            <w:pPr>
              <w:pStyle w:val="Compact"/>
              <w:jc w:val="left"/>
            </w:pPr>
            <w:r>
              <w:t xml:space="preserve">F1</w:t>
            </w:r>
          </w:p>
        </w:tc>
        <w:tc>
          <w:tcPr/>
          <w:p>
            <w:pPr>
              <w:pStyle w:val="Compact"/>
              <w:jc w:val="left"/>
            </w:pPr>
            <w:r>
              <w:t xml:space="preserve">Mobile / trilingual claims; abstract; contribution framing</w:t>
            </w:r>
          </w:p>
        </w:tc>
        <w:tc>
          <w:tcPr/>
          <w:p>
            <w:pPr>
              <w:pStyle w:val="Compact"/>
              <w:jc w:val="left"/>
            </w:pPr>
            <w:r>
              <w:t xml:space="preserve">✅</w:t>
            </w:r>
          </w:p>
        </w:tc>
        <w:tc>
          <w:tcPr/>
          <w:p>
            <w:pPr>
              <w:pStyle w:val="Compact"/>
              <w:jc w:val="left"/>
            </w:pPr>
            <w:r>
              <w:t xml:space="preserve">Mobile is marked partial. Translations are stated as unreviewed and sessions as English-only. Abstract rewritten. Contribution type (</w:t>
            </w:r>
            <w:r>
              <w:t xml:space="preserve">“</w:t>
            </w:r>
            <w:r>
              <w:t xml:space="preserve">improvement</w:t>
            </w:r>
            <w:r>
              <w:t xml:space="preserve">”</w:t>
            </w:r>
            <w:r>
              <w:t xml:space="preserve">), four design principles and the FEDS strategy are stated.</w:t>
            </w:r>
          </w:p>
        </w:tc>
      </w:tr>
      <w:tr>
        <w:tc>
          <w:tcPr/>
          <w:p>
            <w:pPr>
              <w:pStyle w:val="Compact"/>
              <w:jc w:val="left"/>
            </w:pPr>
            <w:r>
              <w:t xml:space="preserve">G1</w:t>
            </w:r>
          </w:p>
        </w:tc>
        <w:tc>
          <w:tcPr/>
          <w:p>
            <w:pPr>
              <w:pStyle w:val="Compact"/>
              <w:jc w:val="left"/>
            </w:pPr>
            <w:r>
              <w:t xml:space="preserve">Presentation (figure legibility, feature list, threats)</w:t>
            </w:r>
          </w:p>
        </w:tc>
        <w:tc>
          <w:tcPr/>
          <w:p>
            <w:pPr>
              <w:pStyle w:val="Compact"/>
              <w:jc w:val="left"/>
            </w:pPr>
            <w:r>
              <w:t xml:space="preserve">✅</w:t>
            </w:r>
          </w:p>
        </w:tc>
        <w:tc>
          <w:tcPr/>
          <w:p>
            <w:pPr>
              <w:pStyle w:val="Compact"/>
              <w:jc w:val="left"/>
            </w:pPr>
            <w:r>
              <w:t xml:space="preserve">Vector architecture figure. Feature list replaced by the traceability table. New Threats to Validity subsection.</w:t>
            </w:r>
          </w:p>
        </w:tc>
      </w:tr>
      <w:tr>
        <w:tc>
          <w:tcPr/>
          <w:p>
            <w:pPr>
              <w:pStyle w:val="Compact"/>
              <w:jc w:val="left"/>
            </w:pPr>
            <w:r>
              <w:t xml:space="preserve">—</w:t>
            </w:r>
          </w:p>
        </w:tc>
        <w:tc>
          <w:tcPr/>
          <w:p>
            <w:pPr>
              <w:pStyle w:val="Compact"/>
              <w:jc w:val="left"/>
            </w:pPr>
            <w:r>
              <w:t xml:space="preserve">IEEE generative-AI disclosure</w:t>
            </w:r>
          </w:p>
        </w:tc>
        <w:tc>
          <w:tcPr/>
          <w:p>
            <w:pPr>
              <w:pStyle w:val="Compact"/>
              <w:jc w:val="left"/>
            </w:pPr>
            <w:r>
              <w:t xml:space="preserve">✅</w:t>
            </w:r>
          </w:p>
        </w:tc>
        <w:tc>
          <w:tcPr/>
          <w:p>
            <w:pPr>
              <w:pStyle w:val="Compact"/>
              <w:jc w:val="left"/>
            </w:pPr>
            <w:r>
              <w:t xml:space="preserve">Disclosure statement added before the references.</w:t>
            </w:r>
          </w:p>
        </w:tc>
      </w:tr>
    </w:tbl>
    <w:p>
      <w:pPr>
        <w:pStyle w:val="BodyText"/>
      </w:pPr>
      <w:r>
        <w:rPr>
          <w:bCs/>
          <w:b/>
        </w:rPr>
        <w:t xml:space="preserve">Summary:</w:t>
      </w:r>
      <w:r>
        <w:t xml:space="preserve"> </w:t>
      </w:r>
      <w:r>
        <w:t xml:space="preserve">21 points are fully addressed. 6 are partly addressed, with each gap stated honestly in the paper. None are left unaddressed. The partial items are code or study work beyond the paper itself:</w:t>
      </w:r>
    </w:p>
    <w:p>
      <w:pPr>
        <w:numPr>
          <w:ilvl w:val="0"/>
          <w:numId w:val="1002"/>
        </w:numPr>
        <w:pStyle w:val="Compact"/>
      </w:pPr>
      <w:r>
        <w:t xml:space="preserve">expert weight validation;</w:t>
      </w:r>
    </w:p>
    <w:p>
      <w:pPr>
        <w:numPr>
          <w:ilvl w:val="0"/>
          <w:numId w:val="1002"/>
        </w:numPr>
        <w:pStyle w:val="Compact"/>
      </w:pPr>
      <w:r>
        <w:t xml:space="preserve">more load-test runs, spaced further apart and run on the serverless deployment;</w:t>
      </w:r>
    </w:p>
    <w:p>
      <w:pPr>
        <w:numPr>
          <w:ilvl w:val="0"/>
          <w:numId w:val="1002"/>
        </w:numPr>
        <w:pStyle w:val="Compact"/>
      </w:pPr>
      <w:r>
        <w:t xml:space="preserve">adding the 117 hotline and disclaimer to the SOS screen;</w:t>
      </w:r>
    </w:p>
    <w:p>
      <w:pPr>
        <w:numPr>
          <w:ilvl w:val="0"/>
          <w:numId w:val="1002"/>
        </w:numPr>
        <w:pStyle w:val="Compact"/>
      </w:pPr>
      <w:r>
        <w:t xml:space="preserve">removing the district-rate feature;</w:t>
      </w:r>
    </w:p>
    <w:p>
      <w:pPr>
        <w:numPr>
          <w:ilvl w:val="0"/>
          <w:numId w:val="1002"/>
        </w:numPr>
        <w:pStyle w:val="Compact"/>
      </w:pPr>
      <w:r>
        <w:t xml:space="preserve">a larger study with domain users.</w:t>
      </w:r>
    </w:p>
    <w:bookmarkEnd w:id="21"/>
    <w:bookmarkStart w:id="22" w:name="main-changes-from-the-first-draft"/>
    <w:p>
      <w:pPr>
        <w:pStyle w:val="Heading1"/>
      </w:pPr>
      <w:r>
        <w:t xml:space="preserve">3. Main changes from the first draft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First draft</w:t>
            </w:r>
          </w:p>
        </w:tc>
        <w:tc>
          <w:tcPr/>
          <w:p>
            <w:pPr>
              <w:pStyle w:val="Compact"/>
              <w:jc w:val="left"/>
            </w:pPr>
            <w:r>
              <w:t xml:space="preserve">Revised (v8)</w:t>
            </w:r>
          </w:p>
        </w:tc>
      </w:tr>
      <w:tr>
        <w:tc>
          <w:tcPr/>
          <w:p>
            <w:pPr>
              <w:pStyle w:val="Compact"/>
              <w:jc w:val="left"/>
            </w:pPr>
            <w:r>
              <w:t xml:space="preserve">Title</w:t>
            </w:r>
          </w:p>
        </w:tc>
        <w:tc>
          <w:tcPr/>
          <w:p>
            <w:pPr>
              <w:pStyle w:val="Compact"/>
              <w:jc w:val="left"/>
            </w:pPr>
            <w:r>
              <w:t xml:space="preserve">“</w:t>
            </w:r>
            <w:r>
              <w:t xml:space="preserve">A Centralised Disaster Aid Request, Tracking and Distribution Management System for Sri Lanka</w:t>
            </w:r>
            <w:r>
              <w:t xml:space="preserve">”</w:t>
            </w:r>
          </w:p>
        </w:tc>
        <w:tc>
          <w:tcPr/>
          <w:p>
            <w:pPr>
              <w:pStyle w:val="Compact"/>
              <w:jc w:val="left"/>
            </w:pPr>
            <w:r>
              <w:t xml:space="preserve">“</w:t>
            </w:r>
            <w:r>
              <w:t xml:space="preserve">An Explainable, Verifiable Platform for Disaster Aid Request, Tracking and Distribution in Sri Lanka: Design and Multi-Method Evaluation</w:t>
            </w:r>
            <w:r>
              <w:t xml:space="preserve">”</w:t>
            </w:r>
          </w:p>
        </w:tc>
      </w:tr>
      <w:tr>
        <w:tc>
          <w:tcPr/>
          <w:p>
            <w:pPr>
              <w:pStyle w:val="Compact"/>
              <w:jc w:val="left"/>
            </w:pPr>
            <w:r>
              <w:t xml:space="preserve">Length</w:t>
            </w:r>
          </w:p>
        </w:tc>
        <w:tc>
          <w:tcPr/>
          <w:p>
            <w:pPr>
              <w:pStyle w:val="Compact"/>
              <w:jc w:val="left"/>
            </w:pPr>
            <w:r>
              <w:t xml:space="preserve">7 pages (over the limit)</w:t>
            </w:r>
          </w:p>
        </w:tc>
        <w:tc>
          <w:tcPr/>
          <w:p>
            <w:pPr>
              <w:pStyle w:val="Compact"/>
              <w:jc w:val="left"/>
            </w:pPr>
            <w:r>
              <w:t xml:space="preserve">6 pages</w:t>
            </w:r>
          </w:p>
        </w:tc>
      </w:tr>
      <w:tr>
        <w:tc>
          <w:tcPr/>
          <w:p>
            <w:pPr>
              <w:pStyle w:val="Compact"/>
              <w:jc w:val="left"/>
            </w:pPr>
            <w:r>
              <w:t xml:space="preserve">References</w:t>
            </w:r>
          </w:p>
        </w:tc>
        <w:tc>
          <w:tcPr/>
          <w:p>
            <w:pPr>
              <w:pStyle w:val="Compact"/>
              <w:jc w:val="left"/>
            </w:pPr>
            <w:r>
              <w:t xml:space="preserve">23</w:t>
            </w:r>
          </w:p>
        </w:tc>
        <w:tc>
          <w:tcPr/>
          <w:p>
            <w:pPr>
              <w:pStyle w:val="Compact"/>
              <w:jc w:val="left"/>
            </w:pPr>
            <w:r>
              <w:t xml:space="preserve">30</w:t>
            </w:r>
          </w:p>
        </w:tc>
      </w:tr>
      <w:tr>
        <w:tc>
          <w:tcPr/>
          <w:p>
            <w:pPr>
              <w:pStyle w:val="Compact"/>
              <w:jc w:val="left"/>
            </w:pPr>
            <w:r>
              <w:t xml:space="preserve">Framing</w:t>
            </w:r>
          </w:p>
        </w:tc>
        <w:tc>
          <w:tcPr/>
          <w:p>
            <w:pPr>
              <w:pStyle w:val="Compact"/>
              <w:jc w:val="left"/>
            </w:pPr>
            <w:r>
              <w:t xml:space="preserve">Feature-led system description</w:t>
            </w:r>
          </w:p>
        </w:tc>
        <w:tc>
          <w:tcPr/>
          <w:p>
            <w:pPr>
              <w:pStyle w:val="Compact"/>
              <w:jc w:val="left"/>
            </w:pPr>
            <w:r>
              <w:t xml:space="preserve">Design science: contribution type, four design principles (DP1–DP4), FEDS evaluation strategy</w:t>
            </w:r>
          </w:p>
        </w:tc>
      </w:tr>
      <w:tr>
        <w:tc>
          <w:tcPr/>
          <w:p>
            <w:pPr>
              <w:pStyle w:val="Compact"/>
              <w:jc w:val="left"/>
            </w:pPr>
            <w:r>
              <w:t xml:space="preserve">Priority rule</w:t>
            </w:r>
          </w:p>
        </w:tc>
        <w:tc>
          <w:tcPr/>
          <w:p>
            <w:pPr>
              <w:pStyle w:val="Compact"/>
              <w:jc w:val="left"/>
            </w:pPr>
            <w:r>
              <w:t xml:space="preserve">“</w:t>
            </w:r>
            <w:r>
              <w:t xml:space="preserve">Four disclosed criteria</w:t>
            </w:r>
            <w:r>
              <w:t xml:space="preserve">”</w:t>
            </w:r>
            <w:r>
              <w:t xml:space="preserve">; equation did not match the code</w:t>
            </w:r>
          </w:p>
        </w:tc>
        <w:tc>
          <w:tcPr/>
          <w:p>
            <w:pPr>
              <w:pStyle w:val="Compact"/>
              <w:jc w:val="left"/>
            </w:pPr>
            <w:r>
              <w:t xml:space="preserve">Matches the code; effective range 10–90; known weaknesses stated</w:t>
            </w:r>
          </w:p>
        </w:tc>
      </w:tr>
      <w:tr>
        <w:tc>
          <w:tcPr/>
          <w:p>
            <w:pPr>
              <w:pStyle w:val="Compact"/>
              <w:jc w:val="left"/>
            </w:pPr>
            <w:r>
              <w:t xml:space="preserve">Matching</w:t>
            </w:r>
          </w:p>
        </w:tc>
        <w:tc>
          <w:tcPr/>
          <w:p>
            <w:pPr>
              <w:pStyle w:val="Compact"/>
              <w:jc w:val="left"/>
            </w:pPr>
            <w:r>
              <w:t xml:space="preserve">No transaction;</w:t>
            </w:r>
            <w:r>
              <w:t xml:space="preserve"> </w:t>
            </w:r>
            <w:r>
              <w:t xml:space="preserve">“</w:t>
            </w:r>
            <w:r>
              <w:t xml:space="preserve">zero double-allocations</w:t>
            </w:r>
            <w:r>
              <w:t xml:space="preserve">”</w:t>
            </w:r>
            <w:r>
              <w:t xml:space="preserve"> </w:t>
            </w:r>
            <w:r>
              <w:t xml:space="preserve">claimed from one test</w:t>
            </w:r>
          </w:p>
        </w:tc>
        <w:tc>
          <w:tcPr/>
          <w:p>
            <w:pPr>
              <w:pStyle w:val="Compact"/>
              <w:jc w:val="left"/>
            </w:pPr>
            <w:r>
              <w:t xml:space="preserve">Transactional matching; zero double allocations by design; the latency cost is reported</w:t>
            </w:r>
          </w:p>
        </w:tc>
      </w:tr>
      <w:tr>
        <w:tc>
          <w:tcPr/>
          <w:p>
            <w:pPr>
              <w:pStyle w:val="Compact"/>
              <w:jc w:val="left"/>
            </w:pPr>
            <w:r>
              <w:t xml:space="preserve">Evaluation of allocation</w:t>
            </w:r>
          </w:p>
        </w:tc>
        <w:tc>
          <w:tcPr/>
          <w:p>
            <w:pPr>
              <w:pStyle w:val="Compact"/>
              <w:jc w:val="left"/>
            </w:pPr>
            <w:r>
              <w:t xml:space="preserve">None (RQ answered by assertion)</w:t>
            </w:r>
          </w:p>
        </w:tc>
        <w:tc>
          <w:tcPr/>
          <w:p>
            <w:pPr>
              <w:pStyle w:val="Compact"/>
              <w:jc w:val="left"/>
            </w:pPr>
            <w:r>
              <w:t xml:space="preserve">30-seed simulation against 3 baselines and 2 variants, plus a weight-sensitivity analysis</w:t>
            </w:r>
          </w:p>
        </w:tc>
      </w:tr>
      <w:tr>
        <w:tc>
          <w:tcPr/>
          <w:p>
            <w:pPr>
              <w:pStyle w:val="Compact"/>
              <w:jc w:val="left"/>
            </w:pPr>
            <w:r>
              <w:t xml:space="preserve">Load test</w:t>
            </w:r>
          </w:p>
        </w:tc>
        <w:tc>
          <w:tcPr/>
          <w:p>
            <w:pPr>
              <w:pStyle w:val="Compact"/>
              <w:jc w:val="left"/>
            </w:pPr>
            <w:r>
              <w:t xml:space="preserve">Single run;</w:t>
            </w:r>
            <w:r>
              <w:t xml:space="preserve"> </w:t>
            </w:r>
            <w:r>
              <w:t xml:space="preserve">“</w:t>
            </w:r>
            <w:r>
              <w:t xml:space="preserve">25 s → 2.4 s</w:t>
            </w:r>
            <w:r>
              <w:t xml:space="preserve">”</w:t>
            </w:r>
          </w:p>
        </w:tc>
        <w:tc>
          <w:tcPr/>
          <w:p>
            <w:pPr>
              <w:pStyle w:val="Compact"/>
              <w:jc w:val="left"/>
            </w:pPr>
            <w:r>
              <w:t xml:space="preserve">Two isolated runs reported per run; transaction cost disclosed;</w:t>
            </w:r>
            <w:r>
              <w:t xml:space="preserve"> </w:t>
            </w:r>
            <w:r>
              <w:t xml:space="preserve">“</w:t>
            </w:r>
            <w:r>
              <w:t xml:space="preserve">11 s → 2.4 s</w:t>
            </w:r>
            <w:r>
              <w:t xml:space="preserve">”</w:t>
            </w:r>
            <w:r>
              <w:t xml:space="preserve"> </w:t>
            </w:r>
            <w:r>
              <w:t xml:space="preserve">with explanation</w:t>
            </w:r>
          </w:p>
        </w:tc>
      </w:tr>
      <w:tr>
        <w:tc>
          <w:tcPr/>
          <w:p>
            <w:pPr>
              <w:pStyle w:val="Compact"/>
              <w:jc w:val="left"/>
            </w:pPr>
            <w:r>
              <w:t xml:space="preserve">Flood model</w:t>
            </w:r>
          </w:p>
        </w:tc>
        <w:tc>
          <w:tcPr/>
          <w:p>
            <w:pPr>
              <w:pStyle w:val="Compact"/>
              <w:jc w:val="left"/>
            </w:pPr>
            <w:r>
              <w:t xml:space="preserve">In-sample AUC 0.825, accuracy-centred</w:t>
            </w:r>
          </w:p>
        </w:tc>
        <w:tc>
          <w:tcPr/>
          <w:p>
            <w:pPr>
              <w:pStyle w:val="Compact"/>
              <w:jc w:val="left"/>
            </w:pPr>
            <w:r>
              <w:t xml:space="preserve">Temporal hold-out AUC 0.761 vs. climatology, plus PR-AUC, Brier, calibration and ablation; shortened to an auxiliary layer</w:t>
            </w:r>
          </w:p>
        </w:tc>
      </w:tr>
      <w:tr>
        <w:tc>
          <w:tcPr/>
          <w:p>
            <w:pPr>
              <w:pStyle w:val="Compact"/>
              <w:jc w:val="left"/>
            </w:pPr>
            <w:r>
              <w:t xml:space="preserve">Usability</w:t>
            </w:r>
          </w:p>
        </w:tc>
        <w:tc>
          <w:tcPr/>
          <w:p>
            <w:pPr>
              <w:pStyle w:val="Compact"/>
              <w:jc w:val="left"/>
            </w:pPr>
            <w:r>
              <w:t xml:space="preserve">9 participants, SUS 91.1, 100% completion</w:t>
            </w:r>
          </w:p>
        </w:tc>
        <w:tc>
          <w:tcPr/>
          <w:p>
            <w:pPr>
              <w:pStyle w:val="Compact"/>
              <w:jc w:val="left"/>
            </w:pPr>
            <w:r>
              <w:t xml:space="preserve">19 participants, SUS 76.7 (CI 71.0–82.4), α 0.93, per-role means, 76% of tasks unaided</w:t>
            </w:r>
          </w:p>
        </w:tc>
      </w:tr>
      <w:tr>
        <w:tc>
          <w:tcPr/>
          <w:p>
            <w:pPr>
              <w:pStyle w:val="Compact"/>
              <w:jc w:val="left"/>
            </w:pPr>
            <w:r>
              <w:t xml:space="preserve">QR handover</w:t>
            </w:r>
          </w:p>
        </w:tc>
        <w:tc>
          <w:tcPr/>
          <w:p>
            <w:pPr>
              <w:pStyle w:val="Compact"/>
              <w:jc w:val="left"/>
            </w:pPr>
            <w:r>
              <w:t xml:space="preserve">“</w:t>
            </w:r>
            <w:r>
              <w:t xml:space="preserve">Proof of co-presence</w:t>
            </w:r>
            <w:r>
              <w:t xml:space="preserve">”</w:t>
            </w:r>
          </w:p>
        </w:tc>
        <w:tc>
          <w:tcPr/>
          <w:p>
            <w:pPr>
              <w:pStyle w:val="Compact"/>
              <w:jc w:val="left"/>
            </w:pPr>
            <w:r>
              <w:t xml:space="preserve">“</w:t>
            </w:r>
            <w:r>
              <w:t xml:space="preserve">Evidence of handover</w:t>
            </w:r>
            <w:r>
              <w:t xml:space="preserve">”</w:t>
            </w:r>
            <w:r>
              <w:t xml:space="preserve">, with a threat model</w:t>
            </w:r>
          </w:p>
        </w:tc>
      </w:tr>
      <w:tr>
        <w:tc>
          <w:tcPr/>
          <w:p>
            <w:pPr>
              <w:pStyle w:val="Compact"/>
              <w:jc w:val="left"/>
            </w:pPr>
            <w:r>
              <w:t xml:space="preserve">Related work</w:t>
            </w:r>
          </w:p>
        </w:tc>
        <w:tc>
          <w:tcPr/>
          <w:p>
            <w:pPr>
              <w:pStyle w:val="Compact"/>
              <w:jc w:val="left"/>
            </w:pPr>
            <w:r>
              <w:t xml:space="preserve">Generic categories; generic comparison</w:t>
            </w:r>
          </w:p>
        </w:tc>
        <w:tc>
          <w:tcPr/>
          <w:p>
            <w:pPr>
              <w:pStyle w:val="Compact"/>
              <w:jc w:val="left"/>
            </w:pPr>
            <w:r>
              <w:t xml:space="preserve">Named systems (Sahana, Ushahidi, FloodSupport, AidTrack) with strict criteria; equity and allocation literature</w:t>
            </w:r>
          </w:p>
        </w:tc>
      </w:tr>
      <w:tr>
        <w:tc>
          <w:tcPr/>
          <w:p>
            <w:pPr>
              <w:pStyle w:val="Compact"/>
              <w:jc w:val="left"/>
            </w:pPr>
            <w:r>
              <w:t xml:space="preserve">Requirements</w:t>
            </w:r>
          </w:p>
        </w:tc>
        <w:tc>
          <w:tcPr/>
          <w:p>
            <w:pPr>
              <w:pStyle w:val="Compact"/>
              <w:jc w:val="left"/>
            </w:pPr>
            <w:r>
              <w:t xml:space="preserve">Feature list</w:t>
            </w:r>
          </w:p>
        </w:tc>
        <w:tc>
          <w:tcPr/>
          <w:p>
            <w:pPr>
              <w:pStyle w:val="Compact"/>
              <w:jc w:val="left"/>
            </w:pPr>
            <w:r>
              <w:t xml:space="preserve">Traceability table for all 33 FRs</w:t>
            </w:r>
          </w:p>
        </w:tc>
      </w:tr>
      <w:tr>
        <w:tc>
          <w:tcPr/>
          <w:p>
            <w:pPr>
              <w:pStyle w:val="Compact"/>
              <w:jc w:val="left"/>
            </w:pPr>
            <w:r>
              <w:t xml:space="preserve">Safeguards</w:t>
            </w:r>
          </w:p>
        </w:tc>
        <w:tc>
          <w:tcPr/>
          <w:p>
            <w:pPr>
              <w:pStyle w:val="Compact"/>
              <w:jc w:val="left"/>
            </w:pPr>
            <w:r>
              <w:t xml:space="preserve">Brief</w:t>
            </w:r>
          </w:p>
        </w:tc>
        <w:tc>
          <w:tcPr/>
          <w:p>
            <w:pPr>
              <w:pStyle w:val="Compact"/>
              <w:jc w:val="left"/>
            </w:pPr>
            <w:r>
              <w:t xml:space="preserve">Privacy (PDPA), people without an NIC, SOS vs. 117, gaming, admin bottleneck</w:t>
            </w:r>
          </w:p>
        </w:tc>
      </w:tr>
      <w:tr>
        <w:tc>
          <w:tcPr/>
          <w:p>
            <w:pPr>
              <w:pStyle w:val="Compact"/>
              <w:jc w:val="left"/>
            </w:pPr>
            <w:r>
              <w:t xml:space="preserve">Limitations</w:t>
            </w:r>
          </w:p>
        </w:tc>
        <w:tc>
          <w:tcPr/>
          <w:p>
            <w:pPr>
              <w:pStyle w:val="Compact"/>
              <w:jc w:val="left"/>
            </w:pPr>
            <w:r>
              <w:t xml:space="preserve">Short list</w:t>
            </w:r>
          </w:p>
        </w:tc>
        <w:tc>
          <w:tcPr/>
          <w:p>
            <w:pPr>
              <w:pStyle w:val="Compact"/>
              <w:jc w:val="left"/>
            </w:pPr>
            <w:r>
              <w:t xml:space="preserve">Threats to Validity (internal, external, construct, coverage)</w:t>
            </w:r>
          </w:p>
        </w:tc>
      </w:tr>
      <w:tr>
        <w:tc>
          <w:tcPr/>
          <w:p>
            <w:pPr>
              <w:pStyle w:val="Compact"/>
              <w:jc w:val="left"/>
            </w:pPr>
            <w:r>
              <w:t xml:space="preserve">Compliance</w:t>
            </w:r>
          </w:p>
        </w:tc>
        <w:tc>
          <w:tcPr/>
          <w:p>
            <w:pPr>
              <w:pStyle w:val="Compact"/>
              <w:jc w:val="left"/>
            </w:pPr>
            <w:r>
              <w:t xml:space="preserve">—</w:t>
            </w:r>
          </w:p>
        </w:tc>
        <w:tc>
          <w:tcPr/>
          <w:p>
            <w:pPr>
              <w:pStyle w:val="Compact"/>
              <w:jc w:val="left"/>
            </w:pPr>
            <w:r>
              <w:t xml:space="preserve">Ethics statement, data availability, generative-AI disclosure</w:t>
            </w:r>
          </w:p>
        </w:tc>
      </w:tr>
    </w:tbl>
    <w:bookmarkEnd w:id="22"/>
    <w:bookmarkStart w:id="23" w:name="points-for-your-confirmation"/>
    <w:p>
      <w:pPr>
        <w:pStyle w:val="Heading1"/>
      </w:pPr>
      <w:r>
        <w:t xml:space="preserve">4. Points for your confirmation</w:t>
      </w:r>
    </w:p>
    <w:p>
      <w:pPr>
        <w:numPr>
          <w:ilvl w:val="0"/>
          <w:numId w:val="1003"/>
        </w:numPr>
        <w:pStyle w:val="Compact"/>
      </w:pPr>
      <w:r>
        <w:rPr>
          <w:bCs/>
          <w:b/>
        </w:rPr>
        <w:t xml:space="preserve">Ethics wording:</w:t>
      </w:r>
      <w:r>
        <w:t xml:space="preserve"> </w:t>
      </w:r>
      <w:r>
        <w:t xml:space="preserve">the paper says the study was exempt from formal committee review and approved by you. Please confirm this is acceptable, or name the body that should be cited.</w:t>
      </w:r>
    </w:p>
    <w:p>
      <w:pPr>
        <w:numPr>
          <w:ilvl w:val="0"/>
          <w:numId w:val="1003"/>
        </w:numPr>
        <w:pStyle w:val="Compact"/>
      </w:pPr>
      <w:r>
        <w:rPr>
          <w:bCs/>
          <w:b/>
        </w:rPr>
        <w:t xml:space="preserve">Usability figures:</w:t>
      </w:r>
      <w:r>
        <w:t xml:space="preserve"> </w:t>
      </w:r>
      <w:r>
        <w:t xml:space="preserve">the paper now reports the 19-participant record. The thesis still shows the earlier 9-participant figures and will be updated to match.</w:t>
      </w:r>
    </w:p>
    <w:p>
      <w:pPr>
        <w:numPr>
          <w:ilvl w:val="0"/>
          <w:numId w:val="1003"/>
        </w:numPr>
        <w:pStyle w:val="Compact"/>
      </w:pPr>
      <w:r>
        <w:rPr>
          <w:bCs/>
          <w:b/>
        </w:rPr>
        <w:t xml:space="preserve">AI disclosure wording</w:t>
      </w:r>
      <w:r>
        <w:t xml:space="preserve">, in the paragraph before the references.</w:t>
      </w:r>
    </w:p>
    <w:p>
      <w:pPr>
        <w:numPr>
          <w:ilvl w:val="0"/>
          <w:numId w:val="1003"/>
        </w:numPr>
        <w:pStyle w:val="Compact"/>
      </w:pPr>
      <w:r>
        <w:rPr>
          <w:bCs/>
          <w:b/>
        </w:rPr>
        <w:t xml:space="preserve">Partial items:</w:t>
      </w:r>
      <w:r>
        <w:t xml:space="preserve"> </w:t>
      </w:r>
      <w:r>
        <w:t xml:space="preserve">are you happy for them to stay as disclosed limitations? Or should any be done before submission (for example, the 117 hotline text in the app, or expert ranking of the weights)?</w:t>
      </w:r>
    </w:p>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Revised IEEE Paper — Supervisor Review Pack</dc:title>
  <dc:creator/>
  <cp:keywords/>
  <dcterms:created xsi:type="dcterms:W3CDTF">2026-10-26T18:08:45Z</dcterms:created>
  <dcterms:modified xsi:type="dcterms:W3CDTF">2026-10-26T18:08:45Z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An Explainable, Verifiable Platform for Disaster Aid Request, Tracking and Distribution in Sri Lanka</vt:lpwstr>
  </property>
</Properties>
</file>