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793" w:rsidRDefault="00272599">
      <w:pPr>
        <w:pStyle w:val="Heading2"/>
      </w:pPr>
      <w:r>
        <w:t>--- title: Scroll group (0.2.3a)</w:t>
      </w:r>
    </w:p>
    <w:p w:rsidR="009F5793" w:rsidRDefault="00272599">
      <w:r>
        <w:t>Scroll groups allow you to look up a different reference without having all the windows scroll to the new reference,</w:t>
      </w:r>
    </w:p>
    <w:p w:rsidR="009F5793" w:rsidRDefault="00272599">
      <w:r>
        <w:t>Paratext allows up to five different scroll groups, A through E. In addition, we can choose “none.”</w:t>
      </w:r>
    </w:p>
    <w:p w:rsidR="009F5793" w:rsidRDefault="00272599">
      <w:r>
        <w:t xml:space="preserve">The </w:t>
      </w:r>
      <w:r>
        <w:t>small dropdown control which contains the letter A is how we control the scroll groups.</w:t>
      </w:r>
    </w:p>
    <w:p w:rsidR="009F5793" w:rsidRDefault="00272599">
      <w:pPr>
        <w:pStyle w:val="Heading3"/>
      </w:pPr>
      <w:bookmarkStart w:id="0" w:name="change-scroll-group"/>
      <w:bookmarkEnd w:id="0"/>
      <w:r>
        <w:t>Change scroll group</w:t>
      </w:r>
    </w:p>
    <w:p w:rsidR="009F5793" w:rsidRDefault="00272599">
      <w:pPr>
        <w:pStyle w:val="ListParagraph"/>
        <w:numPr>
          <w:ilvl w:val="0"/>
          <w:numId w:val="4"/>
        </w:numPr>
      </w:pPr>
      <w:r>
        <w:t>Click to activate the window</w:t>
      </w:r>
    </w:p>
    <w:p w:rsidR="009F5793" w:rsidRDefault="00272599">
      <w:pPr>
        <w:pStyle w:val="ListParagraph"/>
        <w:numPr>
          <w:ilvl w:val="0"/>
          <w:numId w:val="4"/>
        </w:numPr>
      </w:pPr>
      <w:r>
        <w:t>Click the scroll group on the toolbar</w:t>
      </w:r>
    </w:p>
    <w:p w:rsidR="009F5793" w:rsidRDefault="00272599">
      <w:pPr>
        <w:pStyle w:val="ListParagraph"/>
        <w:numPr>
          <w:ilvl w:val="0"/>
          <w:numId w:val="4"/>
        </w:numPr>
      </w:pPr>
      <w:r>
        <w:t>Choose the desired scroll group</w:t>
      </w:r>
      <w:r>
        <w:br/>
      </w:r>
      <w:r>
        <w:rPr>
          <w:noProof/>
        </w:rPr>
        <w:drawing>
          <wp:inline distT="0" distB="0" distL="0" distR="0">
            <wp:extent cx="4105275" cy="33337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5ece9aaab0e2f0af575639dddc89128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3" w:rsidRDefault="00272599">
      <w:pPr>
        <w:pStyle w:val="ListParagraph"/>
        <w:numPr>
          <w:ilvl w:val="1"/>
          <w:numId w:val="4"/>
        </w:numPr>
      </w:pPr>
      <w:r>
        <w:rPr>
          <w:i/>
          <w:iCs/>
        </w:rPr>
        <w:t>Small letters are shown next to the project abb</w:t>
      </w:r>
      <w:r>
        <w:rPr>
          <w:i/>
          <w:iCs/>
        </w:rPr>
        <w:t>reviations on the window title bars when the windows are not all in group A</w:t>
      </w:r>
      <w:r>
        <w:t>.</w:t>
      </w:r>
    </w:p>
    <w:p w:rsidR="00272599" w:rsidRDefault="00272599">
      <w:proofErr w:type="gramStart"/>
      <w:r>
        <w:t>:::</w:t>
      </w:r>
      <w:proofErr w:type="gramEnd"/>
      <w:r>
        <w:t xml:space="preserve">tip </w:t>
      </w:r>
    </w:p>
    <w:p w:rsidR="009F5793" w:rsidRDefault="00272599">
      <w:bookmarkStart w:id="1" w:name="_GoBack"/>
      <w:bookmarkEnd w:id="1"/>
      <w:r>
        <w:lastRenderedPageBreak/>
        <w:t>When you open a new window, it will be in the same scroll group as the last active one. :::</w:t>
      </w:r>
    </w:p>
    <w:sectPr w:rsidR="009F57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124"/>
    <w:multiLevelType w:val="multilevel"/>
    <w:tmpl w:val="EF90301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47E1D87"/>
    <w:multiLevelType w:val="multilevel"/>
    <w:tmpl w:val="192ABD0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36A92923"/>
    <w:multiLevelType w:val="multilevel"/>
    <w:tmpl w:val="DB70FC3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677678CC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DMzMjU0NDNW0lEKTi0uzszPAykwrAUAcoK9ZCwAAAA="/>
  </w:docVars>
  <w:rsids>
    <w:rsidRoot w:val="009F5793"/>
    <w:rsid w:val="00272599"/>
    <w:rsid w:val="009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A4CA"/>
  <w15:docId w15:val="{EB890B0A-496B-4F2A-8A17-DD804468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2022-10-17T17:04:00Z</dcterms:created>
  <dcterms:modified xsi:type="dcterms:W3CDTF">2022-10-17T17:04:00Z</dcterms:modified>
</cp:coreProperties>
</file>